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312" w:beforeLines="100"/>
        <w:jc w:val="center"/>
        <w:textAlignment w:val="auto"/>
        <w:outlineLvl w:val="9"/>
        <w:rPr>
          <w:rFonts w:hint="eastAsia" w:ascii="黑体" w:hAnsi="黑体" w:eastAsia="黑体"/>
          <w:b/>
          <w:color w:val="000000" w:themeColor="text1"/>
          <w:spacing w:val="60"/>
          <w:sz w:val="96"/>
          <w:szCs w:val="9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before="312" w:beforeLines="100"/>
        <w:jc w:val="center"/>
        <w:textAlignment w:val="auto"/>
        <w:outlineLvl w:val="9"/>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lang w:val="en-US" w:eastAsia="zh-CN"/>
          <w14:textFill>
            <w14:solidFill>
              <w14:schemeClr w14:val="tx1"/>
            </w14:solidFill>
          </w14:textFill>
        </w:rPr>
        <w:t>公开</w:t>
      </w:r>
      <w:r>
        <w:rPr>
          <w:rFonts w:hint="eastAsia" w:ascii="黑体" w:hAnsi="黑体" w:eastAsia="黑体"/>
          <w:b/>
          <w:color w:val="000000" w:themeColor="text1"/>
          <w:spacing w:val="60"/>
          <w:sz w:val="96"/>
          <w:szCs w:val="96"/>
          <w14:textFill>
            <w14:solidFill>
              <w14:schemeClr w14:val="tx1"/>
            </w14:solidFill>
          </w14:textFill>
        </w:rPr>
        <w:t>招标文件</w:t>
      </w:r>
    </w:p>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sz w:val="22"/>
          <w:szCs w:val="24"/>
        </w:rPr>
      </w:pPr>
    </w:p>
    <w:tbl>
      <w:tblPr>
        <w:tblStyle w:val="36"/>
        <w:tblW w:w="10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7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2344" w:type="dxa"/>
          </w:tcPr>
          <w:p>
            <w:pPr>
              <w:pageBreakBefore w:val="0"/>
              <w:widowControl w:val="0"/>
              <w:kinsoku/>
              <w:wordWrap/>
              <w:overflowPunct/>
              <w:topLinePunct w:val="0"/>
              <w:autoSpaceDE/>
              <w:autoSpaceDN/>
              <w:bidi w:val="0"/>
              <w:adjustRightInd/>
              <w:snapToGrid/>
              <w:spacing w:before="468" w:beforeLines="150"/>
              <w:jc w:val="center"/>
              <w:textAlignment w:val="auto"/>
              <w:outlineLvl w:val="9"/>
              <w:rPr>
                <w:rFonts w:ascii="黑体" w:hAnsi="黑体" w:eastAsia="黑体"/>
                <w:b/>
                <w:color w:val="000000" w:themeColor="text1"/>
                <w:spacing w:val="40"/>
                <w:sz w:val="32"/>
                <w:szCs w:val="32"/>
                <w14:textFill>
                  <w14:solidFill>
                    <w14:schemeClr w14:val="tx1"/>
                  </w14:solidFill>
                </w14:textFill>
              </w:rPr>
            </w:pPr>
            <w:r>
              <w:rPr>
                <w:rFonts w:hint="eastAsia" w:ascii="黑体" w:hAnsi="黑体" w:eastAsia="黑体"/>
                <w:b/>
                <w:color w:val="000000" w:themeColor="text1"/>
                <w:spacing w:val="40"/>
                <w:sz w:val="32"/>
                <w:szCs w:val="32"/>
                <w14:textFill>
                  <w14:solidFill>
                    <w14:schemeClr w14:val="tx1"/>
                  </w14:solidFill>
                </w14:textFill>
              </w:rPr>
              <w:t>项目名称：</w:t>
            </w:r>
          </w:p>
        </w:tc>
        <w:tc>
          <w:tcPr>
            <w:tcW w:w="7895" w:type="dxa"/>
          </w:tcPr>
          <w:p>
            <w:pPr>
              <w:pageBreakBefore w:val="0"/>
              <w:widowControl w:val="0"/>
              <w:tabs>
                <w:tab w:val="left" w:pos="-108"/>
              </w:tabs>
              <w:kinsoku/>
              <w:wordWrap/>
              <w:overflowPunct/>
              <w:topLinePunct w:val="0"/>
              <w:autoSpaceDE/>
              <w:autoSpaceDN/>
              <w:bidi w:val="0"/>
              <w:adjustRightInd/>
              <w:snapToGrid/>
              <w:spacing w:before="468" w:beforeLines="150"/>
              <w:ind w:left="-107" w:leftChars="-51" w:firstLine="3"/>
              <w:jc w:val="left"/>
              <w:textAlignment w:val="auto"/>
              <w:outlineLvl w:val="9"/>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lang w:eastAsia="zh-CN"/>
                <w14:textFill>
                  <w14:solidFill>
                    <w14:schemeClr w14:val="tx1"/>
                  </w14:solidFill>
                </w14:textFill>
              </w:rPr>
              <w:t>视频、海报及专栏制作服务项目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pacing w:val="40"/>
                <w:sz w:val="32"/>
                <w:szCs w:val="32"/>
                <w14:textFill>
                  <w14:solidFill>
                    <w14:schemeClr w14:val="tx1"/>
                  </w14:solidFill>
                </w14:textFill>
              </w:rPr>
              <w:t>项目编号：</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default" w:ascii="黑体" w:hAnsi="黑体" w:eastAsia="黑体"/>
                <w:b/>
                <w:color w:val="000000" w:themeColor="text1"/>
                <w:sz w:val="32"/>
                <w:szCs w:val="32"/>
                <w:lang w:val="en-US" w:eastAsia="zh-CN"/>
                <w14:textFill>
                  <w14:solidFill>
                    <w14:schemeClr w14:val="tx1"/>
                  </w14:solidFill>
                </w14:textFill>
              </w:rPr>
            </w:pPr>
            <w:r>
              <w:rPr>
                <w:rFonts w:hint="eastAsia" w:ascii="黑体" w:hAnsi="黑体" w:eastAsia="黑体"/>
                <w:b/>
                <w:color w:val="000000" w:themeColor="text1"/>
                <w:sz w:val="32"/>
                <w:szCs w:val="32"/>
                <w:lang w:val="en-US" w:eastAsia="zh-CN"/>
                <w14:textFill>
                  <w14:solidFill>
                    <w14:schemeClr w14:val="tx1"/>
                  </w14:solidFill>
                </w14:textFill>
              </w:rPr>
              <w:t>2024-CICDINFBY-F1003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pacing w:val="40"/>
                <w:sz w:val="32"/>
                <w:szCs w:val="32"/>
                <w:highlight w:val="none"/>
                <w14:textFill>
                  <w14:solidFill>
                    <w14:schemeClr w14:val="tx1"/>
                  </w14:solidFill>
                </w14:textFill>
              </w:rPr>
              <w:t>采购单位：</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default" w:ascii="黑体" w:hAnsi="黑体" w:eastAsia="黑体"/>
                <w:b/>
                <w:color w:val="000000" w:themeColor="text1"/>
                <w:sz w:val="32"/>
                <w:szCs w:val="32"/>
                <w:highlight w:val="none"/>
                <w:lang w:val="en-US" w:eastAsia="zh-CN"/>
                <w14:textFill>
                  <w14:solidFill>
                    <w14:schemeClr w14:val="tx1"/>
                  </w14:solidFill>
                </w14:textFill>
              </w:rPr>
            </w:pPr>
            <w:r>
              <w:rPr>
                <w:rFonts w:hint="eastAsia" w:ascii="黑体" w:hAnsi="黑体" w:eastAsia="黑体"/>
                <w:b/>
                <w:color w:val="000000" w:themeColor="text1"/>
                <w:sz w:val="32"/>
                <w:szCs w:val="32"/>
                <w:highlight w:val="none"/>
                <w:lang w:val="en-US" w:eastAsia="zh-CN"/>
                <w14:textFill>
                  <w14:solidFill>
                    <w14:schemeClr w14:val="tx1"/>
                  </w14:solidFill>
                </w14:textFill>
              </w:rPr>
              <w:t>南方新闻网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pacing w:val="-10"/>
                <w:sz w:val="32"/>
                <w:szCs w:val="32"/>
                <w14:textFill>
                  <w14:solidFill>
                    <w14:schemeClr w14:val="tx1"/>
                  </w14:solidFill>
                </w14:textFill>
              </w:rPr>
              <w:t>采购代理机构</w:t>
            </w:r>
            <w:r>
              <w:rPr>
                <w:rFonts w:hint="eastAsia" w:ascii="黑体" w:hAnsi="黑体" w:eastAsia="黑体"/>
                <w:b/>
                <w:color w:val="000000" w:themeColor="text1"/>
                <w:sz w:val="32"/>
                <w:szCs w:val="32"/>
                <w14:textFill>
                  <w14:solidFill>
                    <w14:schemeClr w14:val="tx1"/>
                  </w14:solidFill>
                </w14:textFill>
              </w:rPr>
              <w:t>：</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default" w:ascii="黑体" w:hAnsi="黑体" w:eastAsia="黑体"/>
                <w:b/>
                <w:color w:val="000000" w:themeColor="text1"/>
                <w:spacing w:val="4"/>
                <w:sz w:val="32"/>
                <w:szCs w:val="32"/>
                <w:lang w:val="en-US" w:eastAsia="zh-CN"/>
                <w14:textFill>
                  <w14:solidFill>
                    <w14:schemeClr w14:val="tx1"/>
                  </w14:solidFill>
                </w14:textFill>
              </w:rPr>
            </w:pPr>
            <w:r>
              <w:rPr>
                <w:rFonts w:hint="eastAsia" w:ascii="黑体" w:hAnsi="黑体" w:eastAsia="黑体"/>
                <w:b/>
                <w:color w:val="000000" w:themeColor="text1"/>
                <w:spacing w:val="4"/>
                <w:sz w:val="32"/>
                <w:szCs w:val="32"/>
                <w:lang w:val="en-US" w:eastAsia="zh-CN"/>
                <w14:textFill>
                  <w14:solidFill>
                    <w14:schemeClr w14:val="tx1"/>
                  </w14:solidFill>
                </w14:textFill>
              </w:rPr>
              <w:t>中通服咨询设计研究院有限公司</w:t>
            </w:r>
          </w:p>
        </w:tc>
      </w:tr>
    </w:tbl>
    <w:p>
      <w:pPr>
        <w:pageBreakBefore w:val="0"/>
        <w:widowControl w:val="0"/>
        <w:kinsoku/>
        <w:wordWrap/>
        <w:overflowPunct/>
        <w:topLinePunct w:val="0"/>
        <w:autoSpaceDE/>
        <w:autoSpaceDN/>
        <w:bidi w:val="0"/>
        <w:adjustRightInd/>
        <w:snapToGrid/>
        <w:textAlignment w:val="auto"/>
        <w:outlineLvl w:val="9"/>
        <w:rPr>
          <w:rFonts w:ascii="黑体" w:hAnsi="黑体" w:eastAsia="黑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9"/>
        <w:rPr>
          <w:sz w:val="22"/>
          <w:szCs w:val="24"/>
        </w:rPr>
      </w:pPr>
    </w:p>
    <w:p>
      <w:pPr>
        <w:rPr>
          <w:rFonts w:hint="eastAsia" w:eastAsiaTheme="minorEastAsia"/>
          <w:sz w:val="22"/>
          <w:szCs w:val="28"/>
          <w:lang w:eastAsia="zh-CN"/>
        </w:rPr>
      </w:pPr>
    </w:p>
    <w:p>
      <w:pPr>
        <w:pStyle w:val="2"/>
        <w:rPr>
          <w:rFonts w:hint="eastAsia"/>
          <w:lang w:eastAsia="zh-CN"/>
        </w:rPr>
      </w:pPr>
    </w:p>
    <w:p>
      <w:pPr>
        <w:pStyle w:val="2"/>
        <w:rPr>
          <w:sz w:val="22"/>
          <w:szCs w:val="28"/>
        </w:rPr>
      </w:pPr>
    </w:p>
    <w:p>
      <w:pPr>
        <w:pStyle w:val="2"/>
        <w:rPr>
          <w:sz w:val="22"/>
          <w:szCs w:val="28"/>
        </w:rPr>
      </w:pPr>
    </w:p>
    <w:p>
      <w:pPr>
        <w:pStyle w:val="2"/>
        <w:rPr>
          <w:sz w:val="22"/>
          <w:szCs w:val="28"/>
        </w:rPr>
      </w:pPr>
    </w:p>
    <w:p>
      <w:pPr>
        <w:spacing w:before="156" w:beforeLines="50" w:line="360" w:lineRule="auto"/>
        <w:jc w:val="center"/>
        <w:rPr>
          <w:rFonts w:hint="eastAsia" w:ascii="黑体" w:hAnsi="黑体" w:eastAsia="黑体"/>
          <w:b/>
          <w:color w:val="000000" w:themeColor="text1"/>
          <w:spacing w:val="60"/>
          <w:sz w:val="40"/>
          <w:szCs w:val="40"/>
          <w14:textFill>
            <w14:solidFill>
              <w14:schemeClr w14:val="tx1"/>
            </w14:solidFill>
          </w14:textFill>
        </w:rPr>
      </w:pPr>
      <w:r>
        <w:rPr>
          <w:rFonts w:hint="eastAsia" w:ascii="黑体" w:hAnsi="黑体" w:eastAsia="黑体"/>
          <w:b/>
          <w:color w:val="000000" w:themeColor="text1"/>
          <w:spacing w:val="60"/>
          <w:sz w:val="40"/>
          <w:szCs w:val="40"/>
          <w:lang w:val="en-US" w:eastAsia="zh-CN"/>
          <w14:textFill>
            <w14:solidFill>
              <w14:schemeClr w14:val="tx1"/>
            </w14:solidFill>
          </w14:textFill>
        </w:rPr>
        <w:t>2024</w:t>
      </w:r>
      <w:r>
        <w:rPr>
          <w:rFonts w:hint="eastAsia" w:ascii="黑体" w:hAnsi="黑体" w:eastAsia="黑体"/>
          <w:b/>
          <w:color w:val="000000" w:themeColor="text1"/>
          <w:spacing w:val="60"/>
          <w:sz w:val="40"/>
          <w:szCs w:val="40"/>
          <w14:textFill>
            <w14:solidFill>
              <w14:schemeClr w14:val="tx1"/>
            </w14:solidFill>
          </w14:textFill>
        </w:rPr>
        <w:t>年</w:t>
      </w:r>
      <w:r>
        <w:rPr>
          <w:rFonts w:hint="eastAsia" w:ascii="黑体" w:hAnsi="黑体" w:eastAsia="黑体"/>
          <w:b/>
          <w:color w:val="000000" w:themeColor="text1"/>
          <w:spacing w:val="60"/>
          <w:sz w:val="40"/>
          <w:szCs w:val="40"/>
          <w:highlight w:val="none"/>
          <w:lang w:val="en-US" w:eastAsia="zh-CN"/>
          <w14:textFill>
            <w14:solidFill>
              <w14:schemeClr w14:val="tx1"/>
            </w14:solidFill>
          </w14:textFill>
        </w:rPr>
        <w:t>9</w:t>
      </w:r>
      <w:r>
        <w:rPr>
          <w:rFonts w:hint="eastAsia" w:ascii="黑体" w:hAnsi="黑体" w:eastAsia="黑体"/>
          <w:b/>
          <w:color w:val="000000" w:themeColor="text1"/>
          <w:spacing w:val="60"/>
          <w:sz w:val="40"/>
          <w:szCs w:val="40"/>
          <w14:textFill>
            <w14:solidFill>
              <w14:schemeClr w14:val="tx1"/>
            </w14:solidFill>
          </w14:textFill>
        </w:rPr>
        <w:t>月</w:t>
      </w:r>
    </w:p>
    <w:p>
      <w:pPr>
        <w:rPr>
          <w:rFonts w:hint="eastAsia" w:ascii="黑体" w:hAnsi="黑体" w:eastAsia="黑体"/>
          <w:b/>
          <w:color w:val="000000" w:themeColor="text1"/>
          <w:spacing w:val="60"/>
          <w:sz w:val="40"/>
          <w:szCs w:val="40"/>
          <w14:textFill>
            <w14:solidFill>
              <w14:schemeClr w14:val="tx1"/>
            </w14:solidFill>
          </w14:textFill>
        </w:rPr>
      </w:pPr>
      <w:r>
        <w:rPr>
          <w:rFonts w:hint="eastAsia" w:ascii="黑体" w:hAnsi="黑体" w:eastAsia="黑体"/>
          <w:b/>
          <w:color w:val="000000" w:themeColor="text1"/>
          <w:spacing w:val="60"/>
          <w:sz w:val="40"/>
          <w:szCs w:val="40"/>
          <w14:textFill>
            <w14:solidFill>
              <w14:schemeClr w14:val="tx1"/>
            </w14:solidFill>
          </w14:textFill>
        </w:rPr>
        <w:br w:type="page"/>
      </w:r>
    </w:p>
    <w:p>
      <w:pPr>
        <w:pageBreakBefore/>
        <w:spacing w:before="156" w:beforeLines="50" w:after="312" w:afterLines="100" w:line="480" w:lineRule="auto"/>
        <w:jc w:val="center"/>
        <w:rPr>
          <w:rFonts w:ascii="黑体" w:hAnsi="黑体" w:eastAsia="黑体"/>
          <w:b/>
          <w:color w:val="000000" w:themeColor="text1"/>
          <w:spacing w:val="60"/>
          <w:sz w:val="48"/>
          <w:szCs w:val="48"/>
          <w14:textFill>
            <w14:solidFill>
              <w14:schemeClr w14:val="tx1"/>
            </w14:solidFill>
          </w14:textFill>
        </w:rPr>
      </w:pPr>
      <w:r>
        <w:rPr>
          <w:rFonts w:hint="eastAsia" w:ascii="黑体" w:hAnsi="黑体" w:eastAsia="黑体"/>
          <w:b/>
          <w:color w:val="000000" w:themeColor="text1"/>
          <w:spacing w:val="60"/>
          <w:sz w:val="48"/>
          <w:szCs w:val="48"/>
          <w14:textFill>
            <w14:solidFill>
              <w14:schemeClr w14:val="tx1"/>
            </w14:solidFill>
          </w14:textFill>
        </w:rPr>
        <w:t>温馨提示</w:t>
      </w:r>
    </w:p>
    <w:p>
      <w:pPr>
        <w:pStyle w:val="46"/>
        <w:numPr>
          <w:ilvl w:val="0"/>
          <w:numId w:val="1"/>
        </w:numPr>
        <w:spacing w:line="600" w:lineRule="exact"/>
        <w:ind w:firstLineChars="0"/>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投标截止时间一到，本公司不接收任何投标文件，因此，请适当提前到达。</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请正确填写《开标一览表》。多包项目请仔细检查包组号，包组号跟包组名称必须一致。</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请仔细检查投标文件是否已按招标文件盖章、签名(或</w:t>
      </w:r>
      <w:r>
        <w:rPr>
          <w:rFonts w:hint="eastAsia" w:ascii="黑体" w:hAnsi="黑体" w:eastAsia="黑体"/>
          <w:color w:val="000000" w:themeColor="text1"/>
          <w:sz w:val="22"/>
          <w:szCs w:val="24"/>
          <w:lang w:eastAsia="zh-CN"/>
          <w14:textFill>
            <w14:solidFill>
              <w14:schemeClr w14:val="tx1"/>
            </w14:solidFill>
          </w14:textFill>
        </w:rPr>
        <w:t>签章</w:t>
      </w:r>
      <w:r>
        <w:rPr>
          <w:rFonts w:hint="eastAsia" w:ascii="黑体" w:hAnsi="黑体" w:eastAsia="黑体"/>
          <w:color w:val="000000" w:themeColor="text1"/>
          <w:sz w:val="22"/>
          <w:szCs w:val="24"/>
          <w14:textFill>
            <w14:solidFill>
              <w14:schemeClr w14:val="tx1"/>
            </w14:solidFill>
          </w14:textFill>
        </w:rPr>
        <w:t>)、签署日期。</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加★号的条款必须一一响应。</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投标文件应按顺序编制页码</w:t>
      </w:r>
      <w:r>
        <w:rPr>
          <w:rFonts w:hint="eastAsia" w:ascii="黑体" w:hAnsi="黑体" w:eastAsia="黑体"/>
          <w:color w:val="000000" w:themeColor="text1"/>
          <w:sz w:val="22"/>
          <w:szCs w:val="24"/>
          <w:lang w:eastAsia="zh-CN"/>
          <w14:textFill>
            <w14:solidFill>
              <w14:schemeClr w14:val="tx1"/>
            </w14:solidFill>
          </w14:textFill>
        </w:rPr>
        <w:t>，</w:t>
      </w:r>
      <w:r>
        <w:rPr>
          <w:rFonts w:hint="eastAsia" w:ascii="黑体" w:hAnsi="黑体" w:eastAsia="黑体"/>
          <w:color w:val="000000" w:themeColor="text1"/>
          <w:sz w:val="22"/>
          <w:szCs w:val="24"/>
          <w:lang w:val="en-US" w:eastAsia="zh-CN"/>
          <w14:textFill>
            <w14:solidFill>
              <w14:schemeClr w14:val="tx1"/>
            </w14:solidFill>
          </w14:textFill>
        </w:rPr>
        <w:t>制作目录和索引</w:t>
      </w:r>
      <w:r>
        <w:rPr>
          <w:rFonts w:hint="eastAsia" w:ascii="黑体" w:hAnsi="黑体" w:eastAsia="黑体"/>
          <w:color w:val="000000" w:themeColor="text1"/>
          <w:sz w:val="22"/>
          <w:szCs w:val="24"/>
          <w14:textFill>
            <w14:solidFill>
              <w14:schemeClr w14:val="tx1"/>
            </w14:solidFill>
          </w14:textFill>
        </w:rPr>
        <w:t>。</w:t>
      </w:r>
    </w:p>
    <w:p>
      <w:pPr>
        <w:numPr>
          <w:ilvl w:val="0"/>
          <w:numId w:val="1"/>
        </w:numPr>
        <w:tabs>
          <w:tab w:val="left" w:pos="709"/>
        </w:tabs>
        <w:spacing w:line="60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投标人如需对项目提出询问或质疑，应按招标文件附件中的询问函和质疑函的格式提交。</w:t>
      </w:r>
    </w:p>
    <w:p>
      <w:pPr>
        <w:tabs>
          <w:tab w:val="left" w:pos="709"/>
        </w:tabs>
        <w:spacing w:before="156" w:beforeLines="50" w:line="600" w:lineRule="exact"/>
        <w:jc w:val="center"/>
        <w:rPr>
          <w:rFonts w:hint="eastAsia" w:ascii="黑体" w:hAnsi="黑体" w:eastAsia="黑体"/>
          <w:b/>
          <w:color w:val="000000" w:themeColor="text1"/>
          <w:sz w:val="22"/>
          <w:szCs w:val="24"/>
          <w14:textFill>
            <w14:solidFill>
              <w14:schemeClr w14:val="tx1"/>
            </w14:solidFill>
          </w14:textFill>
        </w:rPr>
        <w:sectPr>
          <w:footerReference r:id="rId3" w:type="default"/>
          <w:pgSz w:w="11906" w:h="16838"/>
          <w:pgMar w:top="1020" w:right="1134" w:bottom="1020" w:left="1134"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黑体" w:hAnsi="黑体" w:eastAsia="黑体"/>
          <w:b/>
          <w:color w:val="000000" w:themeColor="text1"/>
          <w:sz w:val="22"/>
          <w:szCs w:val="24"/>
          <w14:textFill>
            <w14:solidFill>
              <w14:schemeClr w14:val="tx1"/>
            </w14:solidFill>
          </w14:textFill>
        </w:rPr>
        <w:t xml:space="preserve"> (本提示内容非招标文件的组成部分，仅为善意提醒。如有不一致，以招标文件为准。)</w:t>
      </w:r>
    </w:p>
    <w:sdt>
      <w:sdtPr>
        <w:rPr>
          <w:rFonts w:ascii="黑体" w:hAnsi="黑体" w:eastAsia="黑体" w:cstheme="minorBidi"/>
          <w:b w:val="0"/>
          <w:bCs w:val="0"/>
          <w:color w:val="000000" w:themeColor="text1"/>
          <w:kern w:val="2"/>
          <w:sz w:val="22"/>
          <w:szCs w:val="24"/>
          <w:lang w:val="zh-CN"/>
          <w14:textFill>
            <w14:solidFill>
              <w14:schemeClr w14:val="tx1"/>
            </w14:solidFill>
          </w14:textFill>
        </w:rPr>
        <w:id w:val="-671422043"/>
        <w:docPartObj>
          <w:docPartGallery w:val="Table of Contents"/>
          <w:docPartUnique/>
        </w:docPartObj>
      </w:sdtPr>
      <w:sdtEndPr>
        <w:rPr>
          <w:rFonts w:ascii="黑体" w:hAnsi="黑体" w:eastAsia="黑体" w:cstheme="minorBidi"/>
          <w:b w:val="0"/>
          <w:bCs w:val="0"/>
          <w:color w:val="000000" w:themeColor="text1"/>
          <w:kern w:val="2"/>
          <w:sz w:val="22"/>
          <w:szCs w:val="24"/>
          <w:lang w:val="zh-CN"/>
          <w14:textFill>
            <w14:solidFill>
              <w14:schemeClr w14:val="tx1"/>
            </w14:solidFill>
          </w14:textFill>
        </w:rPr>
      </w:sdtEndPr>
      <w:sdtContent>
        <w:p>
          <w:pPr>
            <w:pStyle w:val="51"/>
            <w:keepNext w:val="0"/>
            <w:keepLines w:val="0"/>
            <w:pageBreakBefore/>
            <w:widowControl w:val="0"/>
            <w:kinsoku/>
            <w:wordWrap/>
            <w:overflowPunct/>
            <w:topLinePunct w:val="0"/>
            <w:autoSpaceDE/>
            <w:autoSpaceDN/>
            <w:bidi w:val="0"/>
            <w:adjustRightInd/>
            <w:snapToGrid/>
            <w:spacing w:before="0" w:line="360" w:lineRule="auto"/>
            <w:jc w:val="center"/>
            <w:textAlignment w:val="auto"/>
            <w:outlineLvl w:val="0"/>
            <w:rPr>
              <w:rFonts w:ascii="黑体" w:hAnsi="黑体" w:eastAsia="黑体"/>
              <w:color w:val="000000" w:themeColor="text1"/>
              <w:sz w:val="40"/>
              <w:szCs w:val="40"/>
              <w14:textFill>
                <w14:solidFill>
                  <w14:schemeClr w14:val="tx1"/>
                </w14:solidFill>
              </w14:textFill>
            </w:rPr>
          </w:pPr>
          <w:bookmarkStart w:id="0" w:name="_Toc2607"/>
          <w:bookmarkStart w:id="1" w:name="_Toc30392"/>
          <w:bookmarkStart w:id="2" w:name="_Toc14751"/>
          <w:bookmarkStart w:id="3" w:name="_Toc391367873"/>
          <w:bookmarkStart w:id="4" w:name="_Toc391627747"/>
          <w:bookmarkStart w:id="5" w:name="_Toc405313951"/>
          <w:r>
            <w:rPr>
              <w:rFonts w:hint="eastAsia" w:ascii="黑体" w:hAnsi="黑体" w:eastAsia="黑体"/>
              <w:color w:val="000000" w:themeColor="text1"/>
              <w:sz w:val="40"/>
              <w:szCs w:val="40"/>
              <w:lang w:val="zh-CN"/>
              <w14:textFill>
                <w14:solidFill>
                  <w14:schemeClr w14:val="tx1"/>
                </w14:solidFill>
              </w14:textFill>
            </w:rPr>
            <w:t>目   录</w:t>
          </w:r>
          <w:bookmarkEnd w:id="0"/>
          <w:bookmarkEnd w:id="1"/>
          <w:bookmarkEnd w:id="2"/>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TOC \o "1-1" \h \u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_Toc4664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第一部分 投标邀请函</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_Toc4664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_Toc5361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第二部分 采购需求</w:t>
          </w:r>
          <w:r>
            <w:rPr>
              <w:rFonts w:hint="eastAsia" w:ascii="微软雅黑" w:hAnsi="微软雅黑" w:eastAsia="微软雅黑" w:cs="微软雅黑"/>
              <w:b/>
              <w:bCs/>
              <w:spacing w:val="20"/>
              <w:sz w:val="24"/>
              <w:szCs w:val="24"/>
              <w:lang w:val="en-US" w:eastAsia="zh-CN"/>
            </w:rPr>
            <w:t>书</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_Toc5361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8</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_Toc27178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第三部分 投标须知前附表</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_Toc27178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10</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_Toc2435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第四部分 投标须知</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_Toc2435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12</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_Toc26844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第五部分 评标方法、步骤、标准</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_Toc26844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29</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_Toc853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第六部分　合同书文本</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_Toc853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37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_Toc30800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rPr>
            <w:t>第七部分 投标文件格式</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_Toc30800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44</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pStyle w:val="24"/>
            <w:tabs>
              <w:tab w:val="right" w:leader="dot" w:pos="8306"/>
              <w:tab w:val="clear" w:pos="8273"/>
            </w:tabs>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\l _Toc16983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pacing w:val="20"/>
              <w:sz w:val="24"/>
              <w:szCs w:val="24"/>
              <w:lang w:val="en-US" w:eastAsia="zh-CN"/>
            </w:rPr>
            <w:t xml:space="preserve">第八部分 </w:t>
          </w:r>
          <w:r>
            <w:rPr>
              <w:rFonts w:hint="eastAsia" w:ascii="微软雅黑" w:hAnsi="微软雅黑" w:eastAsia="微软雅黑" w:cs="微软雅黑"/>
              <w:b/>
              <w:bCs/>
              <w:spacing w:val="20"/>
              <w:sz w:val="24"/>
              <w:szCs w:val="24"/>
            </w:rPr>
            <w:t>唱标信封格式</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_Toc16983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67</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fldChar w:fldCharType="end"/>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fldChar w:fldCharType="end"/>
          </w:r>
        </w:p>
        <w:p>
          <w:pPr>
            <w:keepNext w:val="0"/>
            <w:keepLines w:val="0"/>
            <w:pageBreakBefore/>
            <w:widowControl w:val="0"/>
            <w:kinsoku/>
            <w:wordWrap/>
            <w:overflowPunct/>
            <w:topLinePunct w:val="0"/>
            <w:autoSpaceDE/>
            <w:autoSpaceDN/>
            <w:bidi w:val="0"/>
            <w:adjustRightInd/>
            <w:snapToGrid/>
            <w:spacing w:before="120" w:after="120" w:line="240" w:lineRule="auto"/>
            <w:jc w:val="both"/>
            <w:textAlignment w:val="auto"/>
            <w:outlineLvl w:val="9"/>
          </w:pPr>
        </w:p>
      </w:sdtContent>
    </w:sd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hAnsi="黑体" w:eastAsia="黑体"/>
          <w:b/>
          <w:bCs/>
          <w:color w:val="000000" w:themeColor="text1"/>
          <w:spacing w:val="20"/>
          <w:sz w:val="36"/>
          <w:szCs w:val="36"/>
          <w14:textFill>
            <w14:solidFill>
              <w14:schemeClr w14:val="tx1"/>
            </w14:solidFill>
          </w14:textFill>
        </w:rPr>
      </w:pPr>
      <w:bookmarkStart w:id="6" w:name="_Toc4664"/>
      <w:bookmarkStart w:id="7" w:name="_Toc25476"/>
      <w:bookmarkStart w:id="8" w:name="_Toc22729"/>
      <w:r>
        <w:rPr>
          <w:rFonts w:hint="eastAsia" w:ascii="黑体" w:hAnsi="黑体" w:eastAsia="黑体"/>
          <w:b/>
          <w:bCs/>
          <w:color w:val="000000" w:themeColor="text1"/>
          <w:spacing w:val="20"/>
          <w:sz w:val="36"/>
          <w:szCs w:val="36"/>
          <w14:textFill>
            <w14:solidFill>
              <w14:schemeClr w14:val="tx1"/>
            </w14:solidFill>
          </w14:textFill>
        </w:rPr>
        <w:t>第一部分</w:t>
      </w:r>
      <w:r>
        <w:rPr>
          <w:rFonts w:ascii="黑体" w:hAnsi="黑体" w:eastAsia="黑体"/>
          <w:b/>
          <w:bCs/>
          <w:color w:val="000000" w:themeColor="text1"/>
          <w:spacing w:val="20"/>
          <w:sz w:val="36"/>
          <w:szCs w:val="36"/>
          <w14:textFill>
            <w14:solidFill>
              <w14:schemeClr w14:val="tx1"/>
            </w14:solidFill>
          </w14:textFill>
        </w:rPr>
        <w:t xml:space="preserve"> </w:t>
      </w:r>
      <w:r>
        <w:rPr>
          <w:rFonts w:hint="eastAsia" w:ascii="黑体" w:hAnsi="黑体" w:eastAsia="黑体"/>
          <w:b/>
          <w:bCs/>
          <w:color w:val="000000" w:themeColor="text1"/>
          <w:spacing w:val="20"/>
          <w:sz w:val="36"/>
          <w:szCs w:val="36"/>
          <w14:textFill>
            <w14:solidFill>
              <w14:schemeClr w14:val="tx1"/>
            </w14:solidFill>
          </w14:textFill>
        </w:rPr>
        <w:t>投标邀请函</w:t>
      </w:r>
      <w:bookmarkEnd w:id="3"/>
      <w:bookmarkEnd w:id="4"/>
      <w:bookmarkEnd w:id="5"/>
      <w:bookmarkEnd w:id="6"/>
      <w:bookmarkEnd w:id="7"/>
      <w:bookmarkEnd w:id="8"/>
    </w:p>
    <w:p>
      <w:pPr>
        <w:tabs>
          <w:tab w:val="left" w:pos="426"/>
        </w:tabs>
        <w:spacing w:before="312" w:beforeLines="100" w:line="360" w:lineRule="auto"/>
        <w:ind w:firstLine="480" w:firstLineChars="200"/>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u w:val="single"/>
          <w:lang w:eastAsia="zh-CN"/>
          <w14:textFill>
            <w14:solidFill>
              <w14:schemeClr w14:val="tx1"/>
            </w14:solidFill>
          </w14:textFill>
        </w:rPr>
        <w:t>中通服咨询设计研究院有限公司</w:t>
      </w:r>
      <w:r>
        <w:rPr>
          <w:rFonts w:hint="eastAsia" w:ascii="宋体" w:hAnsi="宋体" w:eastAsia="宋体" w:cs="宋体"/>
          <w:color w:val="000000" w:themeColor="text1"/>
          <w:kern w:val="0"/>
          <w:sz w:val="24"/>
          <w:szCs w:val="24"/>
          <w:u w:val="none"/>
          <w14:textFill>
            <w14:solidFill>
              <w14:schemeClr w14:val="tx1"/>
            </w14:solidFill>
          </w14:textFill>
        </w:rPr>
        <w:t>受</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南方新闻网</w:t>
      </w:r>
      <w:r>
        <w:rPr>
          <w:rFonts w:hint="eastAsia" w:ascii="宋体" w:hAnsi="宋体" w:eastAsia="宋体" w:cs="宋体"/>
          <w:color w:val="000000" w:themeColor="text1"/>
          <w:kern w:val="0"/>
          <w:sz w:val="24"/>
          <w:szCs w:val="24"/>
          <w:u w:val="none"/>
          <w14:textFill>
            <w14:solidFill>
              <w14:schemeClr w14:val="tx1"/>
            </w14:solidFill>
          </w14:textFill>
        </w:rPr>
        <w:t>的委托，采用公开招标方式组织采购</w:t>
      </w:r>
      <w:r>
        <w:rPr>
          <w:rFonts w:hint="eastAsia" w:ascii="宋体" w:hAnsi="宋体" w:eastAsia="宋体" w:cs="宋体"/>
          <w:color w:val="000000" w:themeColor="text1"/>
          <w:kern w:val="0"/>
          <w:sz w:val="24"/>
          <w:szCs w:val="24"/>
          <w:u w:val="single"/>
          <w:lang w:eastAsia="zh-CN"/>
          <w14:textFill>
            <w14:solidFill>
              <w14:schemeClr w14:val="tx1"/>
            </w14:solidFill>
          </w14:textFill>
        </w:rPr>
        <w:t>视频、海报及专栏制作服务项目</w:t>
      </w:r>
      <w:r>
        <w:rPr>
          <w:rFonts w:hint="eastAsia" w:ascii="宋体" w:hAnsi="宋体" w:eastAsia="宋体" w:cs="宋体"/>
          <w:color w:val="000000" w:themeColor="text1"/>
          <w:kern w:val="0"/>
          <w:sz w:val="24"/>
          <w:szCs w:val="24"/>
          <w:u w:val="none"/>
          <w14:textFill>
            <w14:solidFill>
              <w14:schemeClr w14:val="tx1"/>
            </w14:solidFill>
          </w14:textFill>
        </w:rPr>
        <w:t>。欢迎符合资格条件的国内供应商参加投标。</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color w:val="000000" w:themeColor="text1"/>
          <w:sz w:val="28"/>
          <w:szCs w:val="28"/>
          <w14:textFill>
            <w14:solidFill>
              <w14:schemeClr w14:val="tx1"/>
            </w14:solidFill>
          </w14:textFill>
        </w:rPr>
      </w:pPr>
      <w:bookmarkStart w:id="9" w:name="_Toc18391"/>
      <w:bookmarkStart w:id="10" w:name="_Toc31732"/>
      <w:r>
        <w:rPr>
          <w:rFonts w:hint="eastAsia" w:ascii="微软雅黑" w:hAnsi="微软雅黑" w:eastAsia="微软雅黑" w:cs="微软雅黑"/>
          <w:b/>
          <w:color w:val="000000" w:themeColor="text1"/>
          <w:sz w:val="28"/>
          <w:szCs w:val="28"/>
          <w:lang w:val="en-US" w:eastAsia="zh-CN"/>
          <w14:textFill>
            <w14:solidFill>
              <w14:schemeClr w14:val="tx1"/>
            </w14:solidFill>
          </w14:textFill>
        </w:rPr>
        <w:t xml:space="preserve">一 </w:t>
      </w:r>
      <w:r>
        <w:rPr>
          <w:rFonts w:hint="eastAsia" w:ascii="微软雅黑" w:hAnsi="微软雅黑" w:eastAsia="微软雅黑" w:cs="微软雅黑"/>
          <w:b/>
          <w:color w:val="000000" w:themeColor="text1"/>
          <w:sz w:val="28"/>
          <w:szCs w:val="28"/>
          <w14:textFill>
            <w14:solidFill>
              <w14:schemeClr w14:val="tx1"/>
            </w14:solidFill>
          </w14:textFill>
        </w:rPr>
        <w:t>项目基本情况：</w:t>
      </w:r>
      <w:bookmarkEnd w:id="9"/>
      <w:bookmarkEnd w:id="10"/>
    </w:p>
    <w:p>
      <w:pPr>
        <w:tabs>
          <w:tab w:val="left" w:pos="426"/>
        </w:tabs>
        <w:spacing w:line="360" w:lineRule="auto"/>
        <w:ind w:left="420" w:hanging="480" w:hangingChars="200"/>
        <w:rPr>
          <w:rFonts w:hint="eastAsia" w:ascii="宋体" w:hAnsi="宋体" w:eastAsia="宋体" w:cs="宋体"/>
          <w:color w:val="000000" w:themeColor="text1"/>
          <w:sz w:val="24"/>
          <w:szCs w:val="24"/>
          <w:lang w:val="en-US" w:eastAsia="zh-CN"/>
          <w14:textFill>
            <w14:solidFill>
              <w14:schemeClr w14:val="tx1"/>
            </w14:solidFill>
          </w14:textFill>
        </w:rPr>
      </w:pPr>
      <w:bookmarkStart w:id="11" w:name="_Hlk117585944"/>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项目编号：</w:t>
      </w:r>
      <w:bookmarkEnd w:id="11"/>
      <w:r>
        <w:rPr>
          <w:rFonts w:hint="eastAsia" w:ascii="宋体" w:hAnsi="宋体" w:eastAsia="宋体" w:cs="宋体"/>
          <w:color w:val="000000" w:themeColor="text1"/>
          <w:sz w:val="24"/>
          <w:szCs w:val="24"/>
          <w:lang w:val="en-US" w:eastAsia="zh-CN"/>
          <w14:textFill>
            <w14:solidFill>
              <w14:schemeClr w14:val="tx1"/>
            </w14:solidFill>
          </w14:textFill>
        </w:rPr>
        <w:t>2024-CICDINFBY-F1003</w:t>
      </w:r>
    </w:p>
    <w:p>
      <w:pPr>
        <w:tabs>
          <w:tab w:val="left" w:pos="426"/>
        </w:tabs>
        <w:spacing w:line="360" w:lineRule="auto"/>
        <w:ind w:left="420" w:hanging="480" w:hanging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视频、海报及专栏制作服务项目</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采购方式：公开招标</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人民币</w:t>
      </w:r>
      <w:r>
        <w:rPr>
          <w:rFonts w:hint="default" w:ascii="宋体" w:hAnsi="宋体" w:eastAsia="宋体" w:cs="宋体"/>
          <w:color w:val="000000" w:themeColor="text1"/>
          <w:sz w:val="24"/>
          <w:szCs w:val="24"/>
          <w:lang w:val="en-US" w:eastAsia="zh-CN"/>
          <w14:textFill>
            <w14:solidFill>
              <w14:schemeClr w14:val="tx1"/>
            </w14:solidFill>
          </w14:textFill>
        </w:rPr>
        <w:t>77</w:t>
      </w:r>
      <w:r>
        <w:rPr>
          <w:rFonts w:hint="eastAsia" w:ascii="宋体" w:hAnsi="宋体" w:eastAsia="宋体" w:cs="宋体"/>
          <w:color w:val="000000" w:themeColor="text1"/>
          <w:sz w:val="24"/>
          <w:szCs w:val="24"/>
          <w:lang w:val="en-US" w:eastAsia="zh-CN"/>
          <w14:textFill>
            <w14:solidFill>
              <w14:schemeClr w14:val="tx1"/>
            </w14:solidFill>
          </w14:textFill>
        </w:rPr>
        <w:t>0,000.00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最高限价：人民币</w:t>
      </w:r>
      <w:r>
        <w:rPr>
          <w:rFonts w:hint="default" w:ascii="宋体" w:hAnsi="宋体" w:eastAsia="宋体" w:cs="宋体"/>
          <w:color w:val="000000" w:themeColor="text1"/>
          <w:sz w:val="24"/>
          <w:szCs w:val="24"/>
          <w:lang w:val="en-US" w:eastAsia="zh-CN"/>
          <w14:textFill>
            <w14:solidFill>
              <w14:schemeClr w14:val="tx1"/>
            </w14:solidFill>
          </w14:textFill>
        </w:rPr>
        <w:t>77</w:t>
      </w:r>
      <w:r>
        <w:rPr>
          <w:rFonts w:hint="eastAsia" w:ascii="宋体" w:hAnsi="宋体" w:eastAsia="宋体" w:cs="宋体"/>
          <w:color w:val="000000" w:themeColor="text1"/>
          <w:sz w:val="24"/>
          <w:szCs w:val="24"/>
          <w:lang w:val="en-US" w:eastAsia="zh-CN"/>
          <w14:textFill>
            <w14:solidFill>
              <w14:schemeClr w14:val="tx1"/>
            </w14:solidFill>
          </w14:textFill>
        </w:rPr>
        <w:t>0,000.00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服务地点：采购人指定地点</w:t>
      </w:r>
    </w:p>
    <w:p>
      <w:pPr>
        <w:tabs>
          <w:tab w:val="left" w:pos="426"/>
        </w:tabs>
        <w:spacing w:line="360" w:lineRule="auto"/>
        <w:ind w:left="420" w:hanging="480" w:hanging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服务时间：2024年</w:t>
      </w:r>
      <w:r>
        <w:rPr>
          <w:rFonts w:hint="eastAsia" w:ascii="宋体" w:hAnsi="宋体" w:eastAsia="宋体" w:cs="宋体"/>
          <w:color w:val="000000" w:themeColor="text1"/>
          <w:sz w:val="24"/>
          <w:szCs w:val="24"/>
          <w:lang w:val="en-US" w:eastAsia="zh-CN"/>
          <w14:textFill>
            <w14:solidFill>
              <w14:schemeClr w14:val="tx1"/>
            </w14:solidFill>
          </w14:textFill>
        </w:rPr>
        <w:t>12月31日前完成。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以具体合同约定时间为准</w:t>
      </w:r>
      <w:r>
        <w:rPr>
          <w:rFonts w:hint="eastAsia" w:ascii="宋体" w:hAnsi="宋体" w:eastAsia="宋体" w:cs="宋体"/>
          <w:color w:val="000000" w:themeColor="text1"/>
          <w:sz w:val="24"/>
          <w:szCs w:val="24"/>
          <w:lang w:eastAsia="zh-CN"/>
          <w14:textFill>
            <w14:solidFill>
              <w14:schemeClr w14:val="tx1"/>
            </w14:solidFill>
          </w14:textFill>
        </w:rPr>
        <w:t>）</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2" w:name="_Toc23398"/>
      <w:bookmarkStart w:id="13" w:name="_Toc23163"/>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二 采购需求：</w:t>
      </w:r>
      <w:bookmarkEnd w:id="12"/>
      <w:bookmarkEnd w:id="13"/>
    </w:p>
    <w:p>
      <w:pPr>
        <w:spacing w:line="360" w:lineRule="auto"/>
        <w:ind w:firstLine="480" w:firstLineChars="200"/>
        <w:jc w:val="left"/>
        <w:rPr>
          <w:rFonts w:ascii="Times New Roman" w:hAnsi="Times New Roman" w:eastAsia="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本项目拟通过公开招标的方式选定</w:t>
      </w:r>
      <w:r>
        <w:rPr>
          <w:rFonts w:hint="eastAsia" w:ascii="宋体" w:hAnsi="宋体" w:eastAsia="宋体" w:cs="宋体"/>
          <w:color w:val="FF0000"/>
          <w:sz w:val="24"/>
          <w:szCs w:val="24"/>
          <w:lang w:val="en-US" w:eastAsia="zh-CN"/>
        </w:rPr>
        <w:t>一家</w:t>
      </w:r>
      <w:r>
        <w:rPr>
          <w:rFonts w:hint="eastAsia" w:ascii="宋体" w:hAnsi="宋体" w:eastAsia="宋体" w:cs="宋体"/>
          <w:color w:val="000000" w:themeColor="text1"/>
          <w:sz w:val="24"/>
          <w:szCs w:val="24"/>
          <w:lang w:val="en-US" w:eastAsia="zh-CN"/>
          <w14:textFill>
            <w14:solidFill>
              <w14:schemeClr w14:val="tx1"/>
            </w14:solidFill>
          </w14:textFill>
        </w:rPr>
        <w:t>中标人，为采购人提供视频、海报及专栏制作服务</w:t>
      </w:r>
      <w:r>
        <w:rPr>
          <w:rFonts w:hint="eastAsia" w:ascii="宋体" w:hAnsi="宋体" w:eastAsia="宋体" w:cs="宋体"/>
          <w:color w:val="000000"/>
          <w:sz w:val="24"/>
          <w:szCs w:val="24"/>
          <w:lang w:val="en-US" w:eastAsia="zh-CN"/>
        </w:rPr>
        <w:t>，项目采购服务内容包含：视频的拍摄剪辑及相关海报、专栏的设计制作工作等。</w:t>
      </w:r>
      <w:r>
        <w:rPr>
          <w:rFonts w:ascii="Times New Roman" w:hAnsi="Times New Roman" w:eastAsia="宋体"/>
          <w:sz w:val="24"/>
          <w:szCs w:val="24"/>
        </w:rPr>
        <w:t>具体内容详见招标文件第</w:t>
      </w:r>
      <w:r>
        <w:rPr>
          <w:rFonts w:hint="eastAsia" w:ascii="Times New Roman" w:hAnsi="Times New Roman" w:eastAsia="宋体"/>
          <w:sz w:val="24"/>
          <w:szCs w:val="24"/>
          <w:lang w:val="en-US" w:eastAsia="zh-CN"/>
        </w:rPr>
        <w:t>二</w:t>
      </w:r>
      <w:r>
        <w:rPr>
          <w:rFonts w:ascii="Times New Roman" w:hAnsi="Times New Roman" w:eastAsia="宋体"/>
          <w:sz w:val="24"/>
          <w:szCs w:val="24"/>
        </w:rPr>
        <w:t>部分</w:t>
      </w:r>
      <w:r>
        <w:rPr>
          <w:rFonts w:hint="eastAsia" w:ascii="Times New Roman" w:hAnsi="Times New Roman" w:eastAsia="宋体"/>
          <w:sz w:val="24"/>
          <w:szCs w:val="24"/>
          <w:lang w:val="en-US" w:eastAsia="zh-CN"/>
        </w:rPr>
        <w:t>采购</w:t>
      </w:r>
      <w:r>
        <w:rPr>
          <w:rFonts w:ascii="Times New Roman" w:hAnsi="Times New Roman" w:eastAsia="宋体"/>
          <w:sz w:val="24"/>
          <w:szCs w:val="24"/>
        </w:rPr>
        <w:t>需求书。</w:t>
      </w:r>
    </w:p>
    <w:tbl>
      <w:tblPr>
        <w:tblStyle w:val="35"/>
        <w:tblW w:w="498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3267"/>
        <w:gridCol w:w="3566"/>
        <w:gridCol w:w="961"/>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序号</w:t>
            </w:r>
          </w:p>
        </w:tc>
        <w:tc>
          <w:tcPr>
            <w:tcW w:w="16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采购标的</w:t>
            </w:r>
          </w:p>
        </w:tc>
        <w:tc>
          <w:tcPr>
            <w:tcW w:w="18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采购</w:t>
            </w:r>
            <w:r>
              <w:rPr>
                <w:rFonts w:hint="eastAsia" w:ascii="黑体" w:hAnsi="黑体" w:eastAsia="黑体" w:cs="黑体"/>
                <w:b/>
                <w:bCs/>
                <w:sz w:val="22"/>
                <w:szCs w:val="22"/>
                <w:lang w:val="en-US" w:eastAsia="zh-CN"/>
              </w:rPr>
              <w:t>内容</w:t>
            </w:r>
          </w:p>
        </w:tc>
        <w:tc>
          <w:tcPr>
            <w:tcW w:w="4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数量</w:t>
            </w:r>
            <w:r>
              <w:rPr>
                <w:rFonts w:hint="eastAsia" w:ascii="黑体" w:hAnsi="黑体" w:eastAsia="黑体" w:cs="黑体"/>
                <w:b/>
                <w:bCs/>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单位</w:t>
            </w:r>
          </w:p>
        </w:tc>
        <w:tc>
          <w:tcPr>
            <w:tcW w:w="6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服务</w:t>
            </w:r>
            <w:r>
              <w:rPr>
                <w:rFonts w:hint="eastAsia" w:ascii="黑体" w:hAnsi="黑体" w:eastAsia="黑体" w:cs="黑体"/>
                <w:b/>
                <w:bCs/>
                <w:sz w:val="22"/>
                <w:szCs w:val="2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1</w:t>
            </w:r>
          </w:p>
        </w:tc>
        <w:tc>
          <w:tcPr>
            <w:tcW w:w="16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sz w:val="22"/>
                <w:szCs w:val="22"/>
              </w:rPr>
              <w:t>视频、海报及专栏制作服务</w:t>
            </w:r>
          </w:p>
        </w:tc>
        <w:tc>
          <w:tcPr>
            <w:tcW w:w="18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lang w:val="en-US" w:eastAsia="zh-CN"/>
                <w14:textFill>
                  <w14:solidFill>
                    <w14:schemeClr w14:val="tx1"/>
                  </w14:solidFill>
                </w14:textFill>
              </w:rPr>
              <w:t>视频的拍摄剪辑及相关海报、专栏的设计制作工作等。</w:t>
            </w:r>
          </w:p>
        </w:tc>
        <w:tc>
          <w:tcPr>
            <w:tcW w:w="4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1</w:t>
            </w:r>
            <w:r>
              <w:rPr>
                <w:rFonts w:hint="eastAsia" w:ascii="黑体" w:hAnsi="黑体" w:eastAsia="黑体" w:cs="黑体"/>
                <w:sz w:val="22"/>
                <w:szCs w:val="22"/>
                <w:lang w:val="en-US" w:eastAsia="zh-CN"/>
              </w:rPr>
              <w:t>/</w:t>
            </w:r>
            <w:r>
              <w:rPr>
                <w:rFonts w:hint="eastAsia" w:ascii="黑体" w:hAnsi="黑体" w:eastAsia="黑体" w:cs="黑体"/>
                <w:sz w:val="22"/>
                <w:szCs w:val="22"/>
              </w:rPr>
              <w:t>项</w:t>
            </w:r>
          </w:p>
        </w:tc>
        <w:tc>
          <w:tcPr>
            <w:tcW w:w="6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详见</w:t>
            </w:r>
            <w:r>
              <w:rPr>
                <w:rFonts w:hint="eastAsia" w:ascii="黑体" w:hAnsi="黑体" w:eastAsia="黑体" w:cs="黑体"/>
                <w:sz w:val="22"/>
                <w:szCs w:val="22"/>
                <w:lang w:val="en-US" w:eastAsia="zh-CN"/>
              </w:rPr>
              <w:t>招标文件第二部分</w:t>
            </w:r>
          </w:p>
        </w:tc>
      </w:tr>
    </w:tbl>
    <w:p>
      <w:pPr>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4" w:name="_Toc18433"/>
      <w:bookmarkStart w:id="15" w:name="_Toc23829"/>
      <w:r>
        <w:rPr>
          <w:rFonts w:hint="eastAsia" w:ascii="微软雅黑" w:hAnsi="微软雅黑" w:eastAsia="微软雅黑" w:cs="微软雅黑"/>
          <w:b/>
          <w:color w:val="000000" w:themeColor="text1"/>
          <w:sz w:val="28"/>
          <w:szCs w:val="28"/>
          <w:lang w:val="en-US" w:eastAsia="zh-CN"/>
          <w14:textFill>
            <w14:solidFill>
              <w14:schemeClr w14:val="tx1"/>
            </w14:solidFill>
          </w14:textFill>
        </w:rPr>
        <w:br w:type="page"/>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三 投标供应商的资格要求：</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具有独立承担民事责任的能力</w:t>
      </w:r>
      <w:r>
        <w:rPr>
          <w:rFonts w:hint="eastAsia" w:ascii="宋体" w:hAnsi="宋体" w:eastAsia="宋体" w:cs="宋体"/>
          <w:color w:val="auto"/>
          <w:sz w:val="24"/>
          <w:szCs w:val="24"/>
          <w:lang w:eastAsia="zh-CN"/>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有依法缴纳税收和社会保障资金的良好记录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提供资格声明函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eastAsia="zh-CN"/>
        </w:rPr>
        <w:t>具有良好的商业信誉和健全的财务会计制度【</w:t>
      </w:r>
      <w:r>
        <w:rPr>
          <w:rFonts w:hint="eastAsia" w:ascii="宋体" w:hAnsi="宋体" w:eastAsia="宋体" w:cs="宋体"/>
          <w:color w:val="auto"/>
          <w:sz w:val="24"/>
          <w:szCs w:val="24"/>
          <w:highlight w:val="none"/>
          <w:lang w:val="en-US" w:eastAsia="zh-CN"/>
        </w:rPr>
        <w:t>提供会计师事务所出具的2023年度审计报告或投标截止前近一个月的资产负债表、利润表、现金流量表复印件或2024年银行出具的资信证明。</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履行合同所必需的设备和专业技术能力。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自拟</w:t>
      </w:r>
      <w:r>
        <w:rPr>
          <w:rFonts w:hint="eastAsia" w:ascii="宋体" w:hAnsi="宋体" w:eastAsia="宋体" w:cs="宋体"/>
          <w:color w:val="auto"/>
          <w:sz w:val="24"/>
          <w:szCs w:val="24"/>
        </w:rPr>
        <w:t>填报设备及专业技术能力情况</w:t>
      </w:r>
      <w:r>
        <w:rPr>
          <w:rFonts w:hint="eastAsia" w:ascii="宋体" w:hAnsi="宋体" w:eastAsia="宋体" w:cs="宋体"/>
          <w:color w:val="auto"/>
          <w:sz w:val="24"/>
          <w:szCs w:val="24"/>
          <w:lang w:val="en-US" w:eastAsia="zh-CN"/>
        </w:rPr>
        <w:t>或提供资格声明函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pStyle w:val="2"/>
        <w:rPr>
          <w:rFonts w:hint="default"/>
          <w:lang w:val="en-US" w:eastAsia="zh-CN"/>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szCs w:val="24"/>
          <w:lang w:val="en-US" w:eastAsia="zh-CN"/>
        </w:rPr>
        <w:t>能出具正规增值税专用发票。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提供资格声明函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）参加采购活动前3年内，在经营活动中没有重大违法记录。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参照</w:t>
      </w:r>
      <w:r>
        <w:rPr>
          <w:rFonts w:hint="eastAsia" w:ascii="宋体" w:hAnsi="宋体" w:eastAsia="宋体" w:cs="宋体"/>
          <w:color w:val="auto"/>
          <w:sz w:val="24"/>
          <w:szCs w:val="24"/>
          <w:lang w:val="en-US" w:eastAsia="zh-CN"/>
        </w:rPr>
        <w:t>资格声明</w:t>
      </w:r>
      <w:r>
        <w:rPr>
          <w:rFonts w:hint="eastAsia" w:ascii="宋体" w:hAnsi="宋体" w:eastAsia="宋体" w:cs="宋体"/>
          <w:color w:val="auto"/>
          <w:sz w:val="24"/>
          <w:szCs w:val="24"/>
        </w:rPr>
        <w:t>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sz w:val="24"/>
          <w:szCs w:val="24"/>
          <w:lang w:eastAsia="zh-CN"/>
        </w:rPr>
        <w:t>】</w:t>
      </w:r>
    </w:p>
    <w:p>
      <w:pPr>
        <w:pStyle w:val="46"/>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及中国政府采购网查询结果为准，如相关失信记录已失效，供应商需提供相关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单位负责人为同一人或者存在直接控股、管理关系的不同供应商，不得同时参加本采购项目投标。为本项目提供整体设计、规范编制或者项目管理、监理、检测等服务的供应商，不得再参与本项目投标。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本项目不接受联合体投标。</w:t>
      </w:r>
      <w:bookmarkStart w:id="16" w:name="_Hlk58185024"/>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7" w:name="_Toc139"/>
      <w:bookmarkStart w:id="18" w:name="_Toc26916"/>
      <w:r>
        <w:rPr>
          <w:rFonts w:hint="eastAsia" w:ascii="微软雅黑" w:hAnsi="微软雅黑" w:eastAsia="微软雅黑" w:cs="微软雅黑"/>
          <w:b/>
          <w:color w:val="000000" w:themeColor="text1"/>
          <w:sz w:val="28"/>
          <w:szCs w:val="28"/>
          <w:lang w:val="en-US" w:eastAsia="zh-CN"/>
          <w14:textFill>
            <w14:solidFill>
              <w14:schemeClr w14:val="tx1"/>
            </w14:solidFill>
          </w14:textFill>
        </w:rPr>
        <w:t>四 获取招标文件</w:t>
      </w:r>
      <w:bookmarkEnd w:id="17"/>
      <w:bookmarkEnd w:id="18"/>
    </w:p>
    <w:bookmarkEnd w:id="16"/>
    <w:p>
      <w:pPr>
        <w:spacing w:line="360" w:lineRule="auto"/>
        <w:rPr>
          <w:rFonts w:hint="eastAsia" w:ascii="宋体" w:hAnsi="宋体" w:eastAsia="宋体" w:cs="宋体"/>
          <w:bCs/>
          <w:sz w:val="24"/>
          <w:szCs w:val="24"/>
        </w:rPr>
      </w:pPr>
      <w:r>
        <w:rPr>
          <w:rFonts w:hint="eastAsia" w:ascii="宋体" w:hAnsi="宋体" w:eastAsia="宋体" w:cs="宋体"/>
          <w:bCs/>
          <w:sz w:val="24"/>
          <w:szCs w:val="24"/>
        </w:rPr>
        <w:t>（一）</w:t>
      </w:r>
      <w:r>
        <w:rPr>
          <w:rFonts w:hint="eastAsia" w:ascii="宋体" w:hAnsi="宋体" w:eastAsia="宋体" w:cs="宋体"/>
          <w:bCs/>
          <w:sz w:val="24"/>
          <w:szCs w:val="24"/>
          <w:lang w:val="en-US" w:eastAsia="zh-CN"/>
        </w:rPr>
        <w:t>申领</w:t>
      </w:r>
      <w:r>
        <w:rPr>
          <w:rFonts w:hint="eastAsia" w:ascii="宋体" w:hAnsi="宋体" w:eastAsia="宋体" w:cs="宋体"/>
          <w:bCs/>
          <w:sz w:val="24"/>
          <w:szCs w:val="24"/>
        </w:rPr>
        <w:t>时间</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09</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06</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09</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none"/>
          <w:lang w:val="en-US" w:eastAsia="zh-CN"/>
        </w:rPr>
        <w:t>日</w:t>
      </w:r>
      <w:r>
        <w:rPr>
          <w:rFonts w:hint="eastAsia" w:ascii="宋体" w:hAnsi="宋体" w:eastAsia="宋体" w:cs="宋体"/>
          <w:bCs/>
          <w:sz w:val="24"/>
          <w:szCs w:val="24"/>
          <w:highlight w:val="none"/>
        </w:rPr>
        <w:t>，</w:t>
      </w:r>
      <w:r>
        <w:rPr>
          <w:rFonts w:hint="eastAsia" w:ascii="宋体" w:hAnsi="宋体" w:eastAsia="宋体" w:cs="宋体"/>
          <w:bCs/>
          <w:sz w:val="24"/>
          <w:szCs w:val="24"/>
        </w:rPr>
        <w:t>每日上午9:00至11:30，下午14:30至17:00。</w:t>
      </w:r>
    </w:p>
    <w:p>
      <w:p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rPr>
        <w:t>（二）申领地点：</w:t>
      </w:r>
      <w:r>
        <w:rPr>
          <w:rFonts w:hint="eastAsia" w:ascii="宋体" w:hAnsi="宋体" w:eastAsia="宋体" w:cs="宋体"/>
          <w:bCs/>
          <w:sz w:val="24"/>
          <w:szCs w:val="24"/>
          <w:u w:val="single"/>
          <w:lang w:val="en-US" w:eastAsia="zh-CN"/>
        </w:rPr>
        <w:t>线上领取，详见公告</w:t>
      </w:r>
      <w:r>
        <w:rPr>
          <w:rFonts w:hint="eastAsia" w:ascii="宋体" w:hAnsi="宋体" w:eastAsia="宋体" w:cs="宋体"/>
          <w:bCs/>
          <w:sz w:val="24"/>
          <w:szCs w:val="24"/>
        </w:rPr>
        <w:t>。</w:t>
      </w:r>
    </w:p>
    <w:p>
      <w:p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rPr>
        <w:t>（三）申领</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时需提供以下材料：</w:t>
      </w:r>
    </w:p>
    <w:p>
      <w:pPr>
        <w:tabs>
          <w:tab w:val="left" w:pos="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1.《采购文件领购登记表》：具体格式详见附件或联系采购代理人员获取；</w:t>
      </w:r>
    </w:p>
    <w:p>
      <w:pPr>
        <w:tabs>
          <w:tab w:val="left" w:pos="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2.营业执照或事业单位法人证书复印件加盖公章；</w:t>
      </w:r>
    </w:p>
    <w:p>
      <w:pPr>
        <w:numPr>
          <w:ilvl w:val="0"/>
          <w:numId w:val="0"/>
        </w:num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申领方式</w:t>
      </w:r>
    </w:p>
    <w:p>
      <w:pPr>
        <w:pStyle w:val="32"/>
        <w:spacing w:before="0" w:beforeAutospacing="0" w:after="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网上发送。邮件主题：项目名称+项目编号+公司名称；邮件内容：列明公司名称、法定代表人或授权代表人姓名及联系方式；邮件附件：需采用A4纸幅面，将报名材料加盖企业鲜章，文件名称与主题一致。报名材料审核通过后，采购机构联系人向供应商邮箱发送</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电子版；审核未通过的，采购机构联系人以邮件形式回复审核情况，供应商可在</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申领时间内重新提交材料。采购机构或代理机构邮箱：</w:t>
      </w:r>
      <w:bookmarkStart w:id="19" w:name="_Hlk118909162"/>
      <w:r>
        <w:rPr>
          <w:rFonts w:hint="eastAsia" w:ascii="宋体" w:hAnsi="宋体" w:eastAsia="宋体" w:cs="宋体"/>
          <w:bCs/>
          <w:sz w:val="24"/>
          <w:szCs w:val="24"/>
        </w:rPr>
        <w:t>940910224@qq.com</w:t>
      </w:r>
    </w:p>
    <w:p>
      <w:pPr>
        <w:pStyle w:val="32"/>
        <w:spacing w:before="0" w:beforeAutospacing="0" w:after="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招标文件</w:t>
      </w:r>
      <w:r>
        <w:rPr>
          <w:rFonts w:hint="eastAsia" w:ascii="宋体" w:hAnsi="宋体" w:eastAsia="宋体" w:cs="宋体"/>
          <w:bCs/>
          <w:sz w:val="24"/>
          <w:szCs w:val="24"/>
        </w:rPr>
        <w:t>发售联系人：</w:t>
      </w:r>
      <w:r>
        <w:rPr>
          <w:rFonts w:hint="eastAsia" w:cs="宋体"/>
          <w:bCs/>
          <w:sz w:val="24"/>
          <w:szCs w:val="24"/>
          <w:lang w:val="en-US" w:eastAsia="zh-CN"/>
        </w:rPr>
        <w:t>陈</w:t>
      </w:r>
      <w:r>
        <w:rPr>
          <w:rFonts w:hint="eastAsia" w:ascii="宋体" w:hAnsi="宋体" w:eastAsia="宋体" w:cs="宋体"/>
          <w:bCs/>
          <w:sz w:val="24"/>
          <w:szCs w:val="24"/>
        </w:rPr>
        <w:t>工  13580584621</w:t>
      </w:r>
    </w:p>
    <w:p>
      <w:pPr>
        <w:pStyle w:val="32"/>
        <w:spacing w:before="0" w:beforeAutospacing="0" w:after="0" w:afterAutospacing="0" w:line="360" w:lineRule="auto"/>
        <w:rPr>
          <w:rFonts w:hint="eastAsia" w:ascii="宋体" w:hAnsi="宋体" w:eastAsia="宋体" w:cs="宋体"/>
          <w:bCs/>
          <w:sz w:val="24"/>
          <w:szCs w:val="24"/>
          <w:highlight w:val="none"/>
        </w:rPr>
      </w:pPr>
      <w:r>
        <w:rPr>
          <w:rFonts w:hint="eastAsia" w:ascii="宋体" w:hAnsi="宋体" w:eastAsia="宋体" w:cs="宋体"/>
          <w:sz w:val="24"/>
          <w:szCs w:val="24"/>
        </w:rPr>
        <w:t>（五）</w:t>
      </w:r>
      <w:r>
        <w:rPr>
          <w:rFonts w:hint="eastAsia" w:ascii="宋体" w:hAnsi="宋体" w:eastAsia="宋体" w:cs="宋体"/>
          <w:sz w:val="24"/>
          <w:szCs w:val="24"/>
          <w:lang w:eastAsia="zh-CN"/>
        </w:rPr>
        <w:t>招标文件</w:t>
      </w:r>
      <w:r>
        <w:rPr>
          <w:rFonts w:hint="eastAsia" w:ascii="宋体" w:hAnsi="宋体" w:eastAsia="宋体" w:cs="宋体"/>
          <w:sz w:val="24"/>
          <w:szCs w:val="24"/>
        </w:rPr>
        <w:t>售价：</w:t>
      </w:r>
      <w:r>
        <w:rPr>
          <w:rFonts w:hint="eastAsia" w:ascii="宋体" w:hAnsi="宋体" w:eastAsia="宋体" w:cs="宋体"/>
          <w:sz w:val="24"/>
          <w:szCs w:val="24"/>
          <w:u w:val="single"/>
          <w:lang w:val="en-US" w:eastAsia="zh-CN"/>
        </w:rPr>
        <w:t>300</w:t>
      </w:r>
      <w:r>
        <w:rPr>
          <w:rFonts w:hint="eastAsia" w:ascii="宋体" w:hAnsi="宋体" w:eastAsia="宋体" w:cs="宋体"/>
          <w:sz w:val="24"/>
          <w:szCs w:val="24"/>
        </w:rPr>
        <w:t>元/份，售后不退。</w:t>
      </w:r>
      <w:bookmarkEnd w:id="19"/>
      <w:r>
        <w:rPr>
          <w:rFonts w:hint="eastAsia" w:ascii="宋体" w:hAnsi="宋体" w:eastAsia="宋体" w:cs="宋体"/>
          <w:bCs/>
          <w:sz w:val="24"/>
          <w:szCs w:val="24"/>
          <w:highlight w:val="none"/>
        </w:rPr>
        <w:t>报名供应商必须于本采购项目规定的发售时间内向我司缴纳标书款，否则视为未完成报名。由采购代理机构出具发票，非因采购代理机构原因，发票一经开具不予退换。（备注：转账凭证备注栏须注明“项目名称”+“XX公司”。）</w:t>
      </w:r>
    </w:p>
    <w:p>
      <w:pPr>
        <w:pStyle w:val="32"/>
        <w:spacing w:before="0" w:beforeAutospacing="0" w:after="0" w:afterAutospacing="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1.支付方式：银行电汇</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2.收款人名称：中通服咨询设计研究院有限公司</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3.开户银行：招商银行南京分行城北支行；</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4.账号：12590209571010300012</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20" w:name="_Toc15949"/>
      <w:bookmarkStart w:id="21" w:name="_Toc32528"/>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五 递交投标文件截止时间、开标时间和地点</w:t>
      </w:r>
      <w:bookmarkEnd w:id="20"/>
      <w:bookmarkEnd w:id="21"/>
    </w:p>
    <w:p>
      <w:pPr>
        <w:tabs>
          <w:tab w:val="left" w:pos="284"/>
          <w:tab w:val="left" w:pos="426"/>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提交投标文件时间：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2024年09月27日9时30分至10时00分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（北京时间）。</w:t>
      </w:r>
    </w:p>
    <w:p>
      <w:pPr>
        <w:tabs>
          <w:tab w:val="left" w:pos="284"/>
          <w:tab w:val="left" w:pos="42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（二）提交投标文件截止时间：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2024年09月27日10</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（北京时间）</w:t>
      </w:r>
    </w:p>
    <w:p>
      <w:pPr>
        <w:pStyle w:val="46"/>
        <w:tabs>
          <w:tab w:val="left" w:pos="426"/>
        </w:tabs>
        <w:spacing w:line="360" w:lineRule="auto"/>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提交投标文件</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/开标地点</w:t>
      </w:r>
      <w:r>
        <w:rPr>
          <w:rFonts w:hint="eastAsia" w:ascii="宋体" w:hAnsi="宋体" w:eastAsia="宋体" w:cs="宋体"/>
          <w:color w:val="000000" w:themeColor="text1"/>
          <w:sz w:val="24"/>
          <w:szCs w:val="24"/>
          <w:highlight w:val="none"/>
          <w14:textFill>
            <w14:solidFill>
              <w14:schemeClr w14:val="tx1"/>
            </w14:solidFill>
          </w14:textFill>
        </w:rPr>
        <w:t>：广州市林和西横路219号康富来大厦</w:t>
      </w:r>
      <w:r>
        <w:rPr>
          <w:rFonts w:hint="eastAsia" w:ascii="宋体" w:hAnsi="宋体" w:eastAsia="宋体" w:cs="宋体"/>
          <w:color w:val="000000" w:themeColor="text1"/>
          <w:sz w:val="24"/>
          <w:szCs w:val="24"/>
          <w14:textFill>
            <w14:solidFill>
              <w14:schemeClr w14:val="tx1"/>
            </w14:solidFill>
          </w14:textFill>
        </w:rPr>
        <w:t>5楼1号会议室</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0"/>
        <w:jc w:val="left"/>
        <w:rPr>
          <w:rFonts w:ascii="Times New Roman" w:hAnsi="Times New Roman" w:eastAsia="宋体"/>
          <w:sz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w:t>
      </w:r>
      <w:r>
        <w:rPr>
          <w:rFonts w:ascii="Times New Roman" w:hAnsi="Times New Roman" w:eastAsia="宋体"/>
          <w:sz w:val="24"/>
        </w:rPr>
        <w:t>逾期送达或者未按照招标文件要求密封的投标文件，采购人、采购代理机构将拒收。</w:t>
      </w:r>
    </w:p>
    <w:p>
      <w:pPr>
        <w:pStyle w:val="46"/>
        <w:tabs>
          <w:tab w:val="left" w:pos="426"/>
        </w:tabs>
        <w:spacing w:line="360" w:lineRule="auto"/>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22" w:name="_Toc20183"/>
      <w:bookmarkStart w:id="23" w:name="_Toc1711"/>
      <w:r>
        <w:rPr>
          <w:rFonts w:hint="eastAsia" w:ascii="微软雅黑" w:hAnsi="微软雅黑" w:eastAsia="微软雅黑" w:cs="微软雅黑"/>
          <w:b/>
          <w:color w:val="000000" w:themeColor="text1"/>
          <w:sz w:val="28"/>
          <w:szCs w:val="28"/>
          <w:lang w:val="en-US" w:eastAsia="zh-CN"/>
          <w14:textFill>
            <w14:solidFill>
              <w14:schemeClr w14:val="tx1"/>
            </w14:solidFill>
          </w14:textFill>
        </w:rPr>
        <w:t>六 其他补充事宜</w:t>
      </w:r>
      <w:bookmarkEnd w:id="22"/>
      <w:bookmarkEnd w:id="23"/>
    </w:p>
    <w:p>
      <w:pPr>
        <w:pStyle w:val="46"/>
        <w:numPr>
          <w:ilvl w:val="0"/>
          <w:numId w:val="0"/>
        </w:numPr>
        <w:tabs>
          <w:tab w:val="left" w:pos="709"/>
        </w:tabs>
        <w:spacing w:line="360" w:lineRule="auto"/>
        <w:ind w:left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（一）本项目</w:t>
      </w:r>
      <w:r>
        <w:rPr>
          <w:rFonts w:hint="eastAsia" w:ascii="宋体" w:hAnsi="宋体" w:eastAsia="宋体" w:cs="宋体"/>
          <w:bCs/>
          <w:color w:val="000000" w:themeColor="text1"/>
          <w:sz w:val="24"/>
          <w:szCs w:val="24"/>
          <w14:textFill>
            <w14:solidFill>
              <w14:schemeClr w14:val="tx1"/>
            </w14:solidFill>
          </w14:textFill>
        </w:rPr>
        <w:t>招标</w:t>
      </w:r>
      <w:r>
        <w:rPr>
          <w:rFonts w:hint="eastAsia" w:ascii="宋体" w:hAnsi="宋体" w:eastAsia="宋体" w:cs="宋体"/>
          <w:bCs/>
          <w:color w:val="000000" w:themeColor="text1"/>
          <w:sz w:val="24"/>
          <w:szCs w:val="24"/>
          <w:lang w:val="en-US" w:eastAsia="zh-CN"/>
          <w14:textFill>
            <w14:solidFill>
              <w14:schemeClr w14:val="tx1"/>
            </w14:solidFill>
          </w14:textFill>
        </w:rPr>
        <w:t>公告在南方网（http://zbtb.southcn.com/）、中国招标投标公共服务平台</w:t>
      </w:r>
      <w:r>
        <w:rPr>
          <w:rFonts w:hint="eastAsia" w:ascii="宋体" w:hAnsi="宋体" w:eastAsia="宋体" w:cs="宋体"/>
          <w:b w:val="0"/>
          <w:bCs/>
          <w:color w:val="000000" w:themeColor="text1"/>
          <w:sz w:val="24"/>
          <w:szCs w:val="24"/>
          <w:lang w:val="en-US" w:eastAsia="zh-CN"/>
          <w14:textFill>
            <w14:solidFill>
              <w14:schemeClr w14:val="tx1"/>
            </w14:solidFill>
          </w14:textFill>
        </w:rPr>
        <w:t>、中通服咨询设计研究院官网</w:t>
      </w:r>
      <w:bookmarkStart w:id="193" w:name="_GoBack"/>
      <w:bookmarkEnd w:id="193"/>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《南方日报》</w:t>
      </w:r>
      <w:r>
        <w:rPr>
          <w:rFonts w:hint="eastAsia" w:ascii="宋体" w:hAnsi="宋体" w:eastAsia="宋体" w:cs="宋体"/>
          <w:b w:val="0"/>
          <w:bCs/>
          <w:color w:val="000000" w:themeColor="text1"/>
          <w:sz w:val="24"/>
          <w:szCs w:val="24"/>
          <w:lang w:val="en-US" w:eastAsia="zh-CN"/>
          <w14:textFill>
            <w14:solidFill>
              <w14:schemeClr w14:val="tx1"/>
            </w14:solidFill>
          </w14:textFill>
        </w:rPr>
        <w:t>上发布。</w:t>
      </w:r>
    </w:p>
    <w:p>
      <w:pPr>
        <w:pStyle w:val="46"/>
        <w:numPr>
          <w:ilvl w:val="0"/>
          <w:numId w:val="0"/>
        </w:numPr>
        <w:tabs>
          <w:tab w:val="left" w:pos="426"/>
        </w:tabs>
        <w:spacing w:line="360" w:lineRule="auto"/>
        <w:ind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本项目公告期限：</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sz w:val="24"/>
          <w:szCs w:val="24"/>
          <w:lang w:val="en-US" w:eastAsia="zh-CN"/>
          <w14:textFill>
            <w14:solidFill>
              <w14:schemeClr w14:val="tx1"/>
            </w14:solidFill>
          </w14:textFill>
        </w:rPr>
        <w:t>个日历天</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24" w:name="_Toc27806"/>
      <w:bookmarkStart w:id="25" w:name="_Toc32755"/>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七 对本次招标提出询问，请按以下方式联系。</w:t>
      </w:r>
      <w:bookmarkEnd w:id="24"/>
      <w:bookmarkEnd w:id="25"/>
    </w:p>
    <w:p>
      <w:pPr>
        <w:pStyle w:val="46"/>
        <w:numPr>
          <w:ilvl w:val="0"/>
          <w:numId w:val="0"/>
        </w:numPr>
        <w:tabs>
          <w:tab w:val="left" w:pos="567"/>
        </w:tabs>
        <w:spacing w:line="360" w:lineRule="auto"/>
        <w:ind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采购人信息</w:t>
      </w:r>
    </w:p>
    <w:p>
      <w:pPr>
        <w:tabs>
          <w:tab w:val="left" w:pos="567"/>
        </w:tabs>
        <w:spacing w:line="360" w:lineRule="auto"/>
        <w:ind w:left="424" w:leftChars="202"/>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名称：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南方新闻网</w:t>
      </w:r>
    </w:p>
    <w:p>
      <w:pPr>
        <w:tabs>
          <w:tab w:val="left" w:pos="567"/>
        </w:tabs>
        <w:spacing w:line="360" w:lineRule="auto"/>
        <w:ind w:left="424" w:leftChars="202"/>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地址：广州市越秀区广州大道中289号</w:t>
      </w:r>
    </w:p>
    <w:p>
      <w:pPr>
        <w:tabs>
          <w:tab w:val="left" w:pos="567"/>
        </w:tabs>
        <w:spacing w:line="360" w:lineRule="auto"/>
        <w:ind w:left="424" w:leftChars="202"/>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联系人：宋先生</w:t>
      </w:r>
    </w:p>
    <w:p>
      <w:pPr>
        <w:tabs>
          <w:tab w:val="left" w:pos="567"/>
        </w:tabs>
        <w:spacing w:line="360" w:lineRule="auto"/>
        <w:ind w:left="424" w:leftChars="202"/>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联系方式：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13560461498</w:t>
      </w:r>
    </w:p>
    <w:p>
      <w:pPr>
        <w:pStyle w:val="9"/>
        <w:spacing w:line="360" w:lineRule="auto"/>
      </w:pPr>
    </w:p>
    <w:p>
      <w:pPr>
        <w:pStyle w:val="46"/>
        <w:numPr>
          <w:ilvl w:val="0"/>
          <w:numId w:val="0"/>
        </w:numPr>
        <w:tabs>
          <w:tab w:val="left" w:pos="567"/>
        </w:tabs>
        <w:spacing w:line="360" w:lineRule="auto"/>
        <w:ind w:leftChars="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二</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采购代理机构信息</w:t>
      </w:r>
    </w:p>
    <w:p>
      <w:pPr>
        <w:tabs>
          <w:tab w:val="left" w:pos="567"/>
        </w:tabs>
        <w:spacing w:line="360" w:lineRule="auto"/>
        <w:ind w:left="424" w:leftChars="202"/>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名称：中通服咨询设计研究院有限公司</w:t>
      </w:r>
    </w:p>
    <w:p>
      <w:pPr>
        <w:tabs>
          <w:tab w:val="left" w:pos="567"/>
        </w:tabs>
        <w:spacing w:line="360" w:lineRule="auto"/>
        <w:ind w:left="424" w:leftChars="202"/>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地址：广州市林和西横路219号康富来大厦5楼</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联 系 人：蔡翠莹、陈炜杰、张俊豪、申毅、曹树林</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电    话：13580584621（陈）</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13570220155（蔡）</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邮    箱：940910224@qq.com，13570220155@139.com</w:t>
      </w:r>
    </w:p>
    <w:p>
      <w:r>
        <w:rPr>
          <w:rFonts w:hint="eastAsia" w:ascii="宋体" w:hAnsi="宋体" w:eastAsia="宋体" w:cs="宋体"/>
          <w:b w:val="0"/>
          <w:bCs/>
          <w:color w:val="000000" w:themeColor="text1"/>
          <w:sz w:val="24"/>
          <w:szCs w:val="24"/>
          <w14:textFill>
            <w14:solidFill>
              <w14:schemeClr w14:val="tx1"/>
            </w14:solidFill>
          </w14:textFill>
        </w:rPr>
        <w:br w:type="page"/>
      </w:r>
    </w:p>
    <w:p>
      <w:pPr>
        <w:pStyle w:val="3"/>
        <w:keepNext w:val="0"/>
        <w:keepLines w:val="0"/>
        <w:pageBreakBefore/>
        <w:spacing w:line="360" w:lineRule="auto"/>
        <w:jc w:val="center"/>
        <w:rPr>
          <w:rFonts w:hint="eastAsia" w:ascii="黑体" w:hAnsi="黑体" w:eastAsia="黑体"/>
          <w:color w:val="000000" w:themeColor="text1"/>
          <w:sz w:val="48"/>
          <w:szCs w:val="48"/>
          <w:lang w:val="en-US" w:eastAsia="zh-CN"/>
          <w14:textFill>
            <w14:solidFill>
              <w14:schemeClr w14:val="tx1"/>
            </w14:solidFill>
          </w14:textFill>
        </w:rPr>
      </w:pPr>
      <w:bookmarkStart w:id="26" w:name="_Toc405313952"/>
      <w:bookmarkStart w:id="27" w:name="_Toc31134"/>
      <w:bookmarkStart w:id="28" w:name="_Toc5361"/>
      <w:bookmarkStart w:id="29" w:name="_Toc17380"/>
      <w:r>
        <w:rPr>
          <w:rFonts w:hint="eastAsia" w:ascii="黑体" w:hAnsi="黑体" w:eastAsia="黑体"/>
          <w:color w:val="000000" w:themeColor="text1"/>
          <w:spacing w:val="20"/>
          <w:sz w:val="36"/>
          <w:szCs w:val="36"/>
          <w14:textFill>
            <w14:solidFill>
              <w14:schemeClr w14:val="tx1"/>
            </w14:solidFill>
          </w14:textFill>
        </w:rPr>
        <w:t>第二部分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采购需求</w:t>
      </w:r>
      <w:bookmarkEnd w:id="26"/>
      <w:bookmarkStart w:id="30" w:name="RANGE!A4"/>
      <w:bookmarkEnd w:id="30"/>
      <w:r>
        <w:rPr>
          <w:rFonts w:hint="eastAsia" w:ascii="黑体" w:hAnsi="黑体" w:eastAsia="黑体"/>
          <w:color w:val="000000" w:themeColor="text1"/>
          <w:spacing w:val="20"/>
          <w:sz w:val="36"/>
          <w:szCs w:val="36"/>
          <w:lang w:val="en-US" w:eastAsia="zh-CN"/>
          <w14:textFill>
            <w14:solidFill>
              <w14:schemeClr w14:val="tx1"/>
            </w14:solidFill>
          </w14:textFill>
        </w:rPr>
        <w:t>书</w:t>
      </w:r>
      <w:bookmarkEnd w:id="27"/>
      <w:bookmarkEnd w:id="28"/>
      <w:bookmarkEnd w:id="29"/>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宋体" w:hAnsi="宋体" w:eastAsia="宋体" w:cs="宋体"/>
          <w:color w:val="000000" w:themeColor="text1"/>
          <w:sz w:val="24"/>
          <w:szCs w:val="28"/>
          <w:lang w:eastAsia="zh-CN"/>
          <w14:textFill>
            <w14:solidFill>
              <w14:schemeClr w14:val="tx1"/>
            </w14:solidFill>
          </w14:textFill>
        </w:rPr>
      </w:pPr>
      <w:bookmarkStart w:id="31" w:name="_Toc13299"/>
      <w:bookmarkStart w:id="32" w:name="_Toc13991"/>
      <w:bookmarkStart w:id="33" w:name="_Toc20275"/>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一 项目概况：</w:t>
      </w:r>
      <w:bookmarkEnd w:id="31"/>
      <w:bookmarkEnd w:id="32"/>
      <w:bookmarkEnd w:id="33"/>
    </w:p>
    <w:p>
      <w:pPr>
        <w:tabs>
          <w:tab w:val="left" w:pos="426"/>
        </w:tabs>
        <w:spacing w:line="360" w:lineRule="auto"/>
        <w:ind w:left="420" w:hanging="480" w:hanging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val="en-US" w:eastAsia="zh-CN"/>
          <w14:textFill>
            <w14:solidFill>
              <w14:schemeClr w14:val="tx1"/>
            </w14:solidFill>
          </w14:textFill>
        </w:rPr>
        <w:t>2024-CICDINFBY-F1003</w:t>
      </w:r>
    </w:p>
    <w:p>
      <w:pPr>
        <w:tabs>
          <w:tab w:val="left" w:pos="426"/>
        </w:tabs>
        <w:spacing w:line="360" w:lineRule="auto"/>
        <w:ind w:left="420" w:hanging="480" w:hanging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视频、海报及专栏制作服务项目</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采购方式：公开招标</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人民币</w:t>
      </w:r>
      <w:r>
        <w:rPr>
          <w:rFonts w:hint="default" w:ascii="宋体" w:hAnsi="宋体" w:eastAsia="宋体" w:cs="宋体"/>
          <w:color w:val="000000" w:themeColor="text1"/>
          <w:sz w:val="24"/>
          <w:szCs w:val="24"/>
          <w:lang w:val="en-US" w:eastAsia="zh-CN"/>
          <w14:textFill>
            <w14:solidFill>
              <w14:schemeClr w14:val="tx1"/>
            </w14:solidFill>
          </w14:textFill>
        </w:rPr>
        <w:t>77</w:t>
      </w:r>
      <w:r>
        <w:rPr>
          <w:rFonts w:hint="eastAsia" w:ascii="宋体" w:hAnsi="宋体" w:eastAsia="宋体" w:cs="宋体"/>
          <w:color w:val="000000" w:themeColor="text1"/>
          <w:sz w:val="24"/>
          <w:szCs w:val="24"/>
          <w:lang w:val="en-US" w:eastAsia="zh-CN"/>
          <w14:textFill>
            <w14:solidFill>
              <w14:schemeClr w14:val="tx1"/>
            </w14:solidFill>
          </w14:textFill>
        </w:rPr>
        <w:t>0,000.00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最高限价：人民币</w:t>
      </w:r>
      <w:r>
        <w:rPr>
          <w:rFonts w:hint="default" w:ascii="宋体" w:hAnsi="宋体" w:eastAsia="宋体" w:cs="宋体"/>
          <w:color w:val="000000" w:themeColor="text1"/>
          <w:sz w:val="24"/>
          <w:szCs w:val="24"/>
          <w:lang w:val="en-US" w:eastAsia="zh-CN"/>
          <w14:textFill>
            <w14:solidFill>
              <w14:schemeClr w14:val="tx1"/>
            </w14:solidFill>
          </w14:textFill>
        </w:rPr>
        <w:t>77</w:t>
      </w:r>
      <w:r>
        <w:rPr>
          <w:rFonts w:hint="eastAsia" w:ascii="宋体" w:hAnsi="宋体" w:eastAsia="宋体" w:cs="宋体"/>
          <w:color w:val="000000" w:themeColor="text1"/>
          <w:sz w:val="24"/>
          <w:szCs w:val="24"/>
          <w:lang w:val="en-US" w:eastAsia="zh-CN"/>
          <w14:textFill>
            <w14:solidFill>
              <w14:schemeClr w14:val="tx1"/>
            </w14:solidFill>
          </w14:textFill>
        </w:rPr>
        <w:t>0,000.00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服务地点：采购人指定地点</w:t>
      </w:r>
    </w:p>
    <w:p>
      <w:pPr>
        <w:tabs>
          <w:tab w:val="left" w:pos="426"/>
        </w:tabs>
        <w:spacing w:line="360" w:lineRule="auto"/>
        <w:ind w:left="420" w:hanging="480" w:hanging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服务时间：</w:t>
      </w:r>
      <w:r>
        <w:rPr>
          <w:rFonts w:hint="eastAsia" w:ascii="宋体" w:hAnsi="宋体" w:eastAsia="宋体" w:cs="宋体"/>
          <w:color w:val="000000" w:themeColor="text1"/>
          <w:sz w:val="24"/>
          <w:szCs w:val="24"/>
          <w:lang w:val="en-US" w:eastAsia="zh-CN"/>
          <w14:textFill>
            <w14:solidFill>
              <w14:schemeClr w14:val="tx1"/>
            </w14:solidFill>
          </w14:textFill>
        </w:rPr>
        <w:t>2024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12月31日前完成。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以具体合同约定时间为准</w:t>
      </w:r>
      <w:r>
        <w:rPr>
          <w:rFonts w:hint="eastAsia" w:ascii="宋体" w:hAnsi="宋体" w:eastAsia="宋体" w:cs="宋体"/>
          <w:color w:val="000000" w:themeColor="text1"/>
          <w:sz w:val="24"/>
          <w:szCs w:val="24"/>
          <w:lang w:eastAsia="zh-CN"/>
          <w14:textFill>
            <w14:solidFill>
              <w14:schemeClr w14:val="tx1"/>
            </w14:solidFill>
          </w14:textFill>
        </w:rPr>
        <w:t>）</w:t>
      </w:r>
    </w:p>
    <w:p>
      <w:pPr>
        <w:pStyle w:val="82"/>
        <w:spacing w:line="360" w:lineRule="auto"/>
        <w:ind w:firstLine="480" w:firstLineChars="200"/>
        <w:rPr>
          <w:rFonts w:hint="eastAsia" w:ascii="宋体" w:hAnsi="宋体" w:eastAsia="宋体" w:cs="宋体"/>
          <w:b w:val="0"/>
          <w:bCs w:val="0"/>
          <w:color w:val="FF0000"/>
          <w:sz w:val="24"/>
          <w:szCs w:val="28"/>
        </w:rPr>
      </w:pP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bookmarkStart w:id="34" w:name="_Toc11026"/>
      <w:bookmarkStart w:id="35" w:name="_Toc12836"/>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二 项目简介：</w:t>
      </w:r>
      <w:bookmarkEnd w:id="34"/>
      <w:bookmarkEnd w:id="35"/>
    </w:p>
    <w:p>
      <w:pPr>
        <w:tabs>
          <w:tab w:val="left" w:pos="426"/>
        </w:tabs>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本项目拟通过公开招标的方式选取一名中标人，中标人根据招标人的要求时限，围绕理论宣传拍摄制作不少于20个视频及相关海报、专栏制作。（具体要求详见本章第三点）</w:t>
      </w:r>
    </w:p>
    <w:p>
      <w:pPr>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36" w:name="_Toc16134"/>
      <w:bookmarkStart w:id="37" w:name="_Toc19411"/>
      <w:r>
        <w:rPr>
          <w:rFonts w:hint="eastAsia" w:ascii="微软雅黑" w:hAnsi="微软雅黑" w:eastAsia="微软雅黑" w:cs="微软雅黑"/>
          <w:b/>
          <w:color w:val="000000" w:themeColor="text1"/>
          <w:sz w:val="28"/>
          <w:szCs w:val="28"/>
          <w:lang w:val="en-US" w:eastAsia="zh-CN"/>
          <w14:textFill>
            <w14:solidFill>
              <w14:schemeClr w14:val="tx1"/>
            </w14:solidFill>
          </w14:textFill>
        </w:rPr>
        <w:br w:type="page"/>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default" w:ascii="微软雅黑" w:hAnsi="微软雅黑" w:eastAsia="微软雅黑" w:cs="微软雅黑"/>
          <w:b/>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三 服务内容及技术要求：</w:t>
      </w:r>
      <w:bookmarkEnd w:id="36"/>
      <w:bookmarkEnd w:id="37"/>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bookmarkStart w:id="38" w:name="_Toc27043"/>
      <w:r>
        <w:rPr>
          <w:rFonts w:hint="eastAsia" w:ascii="宋体" w:hAnsi="宋体" w:eastAsia="宋体" w:cs="宋体"/>
          <w:b/>
          <w:bCs/>
          <w:color w:val="000000" w:themeColor="text1"/>
          <w:sz w:val="28"/>
          <w:szCs w:val="28"/>
          <w:lang w:val="en-US" w:eastAsia="zh-CN"/>
          <w14:textFill>
            <w14:solidFill>
              <w14:schemeClr w14:val="tx1"/>
            </w14:solidFill>
          </w14:textFill>
        </w:rPr>
        <w:t>（一）服务内容</w:t>
      </w:r>
      <w:bookmarkEnd w:id="38"/>
    </w:p>
    <w:p>
      <w:pPr>
        <w:tabs>
          <w:tab w:val="left" w:pos="426"/>
        </w:tabs>
        <w:spacing w:line="360" w:lineRule="auto"/>
        <w:ind w:firstLine="480"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视频、海报及专栏制作服务包含以下服务内容：制作工作方案，需有服务响应时间，根据招标方要求统筹开展项目管理。具体服务要求如下:</w:t>
      </w:r>
    </w:p>
    <w:p>
      <w:pPr>
        <w:pStyle w:val="3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lef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cs="宋体"/>
          <w:b/>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）视频拍摄剪辑工作</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具体要求：</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1、为配合视频拍摄剪辑工作，合作方需于2024年12月31日前完成不少于20个视频的拍摄、剪辑、包装等，并提供所有视频源文件，具体包括：</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（1）专业设备：包括但不限于索尼系列摄像机、电影机、佳能大倍、佳能/富士广角镜头、图片、视频素材处理电脑、达芬奇实时调色/阿甲Hdrfs硬件实时调色、3play慢动作系统等；</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（2）视频文件高清分辨率1920*1080，MOV或MP4格式；</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（3）视频数量不少于20个，每条视频的时长约5分钟；</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（4）视频交付及修改：提交样片，针对修改意见进行调整或补拍，每条视频可提供不少于10次修改服务，最终提交高清无水印成片。</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2、相关海报及专栏设计制作。具体包括：</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（1）拍摄照片。要求拍摄现场照、重要出镜人物单人照，每次现场照片不少于5张；</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（2）照片分辨率不得低于300dpi；</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（3）根据拍摄的照片制作海报、进行专栏设计，针对修改意见进行调整或修改，每张海报可提供不少于5次修改服务，专栏设计可提供不少于10次修改服务，最终提交高清无水印海报20张和相关专栏设计页面1个。</w:t>
      </w:r>
    </w:p>
    <w:p>
      <w:pPr>
        <w:pStyle w:val="34"/>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jc w:val="lef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（2）团队建设</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具体要求：</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bookmarkStart w:id="39" w:name="_Toc32526"/>
      <w:r>
        <w:rPr>
          <w:rFonts w:hint="eastAsia" w:ascii="宋体" w:hAnsi="宋体" w:eastAsia="宋体" w:cs="宋体"/>
          <w:color w:val="000000" w:themeColor="text1"/>
          <w:sz w:val="24"/>
          <w:szCs w:val="24"/>
          <w:lang w:val="en-US" w:eastAsia="zh-CN"/>
          <w14:textFill>
            <w14:solidFill>
              <w14:schemeClr w14:val="tx1"/>
            </w14:solidFill>
          </w14:textFill>
        </w:rPr>
        <w:t>1、执行团队。根据视频拍摄剪辑及相关海报、专栏的设计制作需求配备人员，包括但不限于导演1名、现场编导1名、摄影摄像3名、剪辑2名、灯光师1名、灯光助理1名、美术设计2名，高质高效完成项目工作。</w:t>
      </w:r>
    </w:p>
    <w:p>
      <w:pPr>
        <w:tabs>
          <w:tab w:val="left" w:pos="426"/>
        </w:tabs>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2、执行团队需24小时响应，包括周末和节假日。</w:t>
      </w:r>
    </w:p>
    <w:bookmarkEnd w:id="39"/>
    <w:p>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br w:type="page"/>
      </w:r>
    </w:p>
    <w:p>
      <w:pPr>
        <w:pStyle w:val="3"/>
        <w:keepNext w:val="0"/>
        <w:keepLines w:val="0"/>
        <w:pageBreakBefore/>
        <w:spacing w:before="300" w:after="240" w:line="360" w:lineRule="auto"/>
        <w:jc w:val="center"/>
        <w:rPr>
          <w:rFonts w:ascii="黑体" w:hAnsi="黑体" w:eastAsia="黑体"/>
          <w:color w:val="000000" w:themeColor="text1"/>
          <w:spacing w:val="20"/>
          <w:sz w:val="36"/>
          <w:szCs w:val="36"/>
          <w14:textFill>
            <w14:solidFill>
              <w14:schemeClr w14:val="tx1"/>
            </w14:solidFill>
          </w14:textFill>
        </w:rPr>
      </w:pPr>
      <w:bookmarkStart w:id="40" w:name="_Toc27178"/>
      <w:bookmarkStart w:id="41" w:name="_Toc391627749"/>
      <w:bookmarkStart w:id="42" w:name="_Toc405313953"/>
      <w:bookmarkStart w:id="43" w:name="_Toc11904"/>
      <w:bookmarkStart w:id="44" w:name="_Toc21426"/>
      <w:r>
        <w:rPr>
          <w:rFonts w:hint="eastAsia" w:ascii="黑体" w:hAnsi="黑体" w:eastAsia="黑体"/>
          <w:color w:val="000000" w:themeColor="text1"/>
          <w:spacing w:val="20"/>
          <w:sz w:val="36"/>
          <w:szCs w:val="36"/>
          <w14:textFill>
            <w14:solidFill>
              <w14:schemeClr w14:val="tx1"/>
            </w14:solidFill>
          </w14:textFill>
        </w:rPr>
        <w:t>第三部分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投标须知前附表</w:t>
      </w:r>
      <w:bookmarkEnd w:id="40"/>
      <w:bookmarkEnd w:id="41"/>
      <w:bookmarkEnd w:id="42"/>
      <w:bookmarkEnd w:id="43"/>
      <w:bookmarkEnd w:id="44"/>
    </w:p>
    <w:p>
      <w:pPr>
        <w:tabs>
          <w:tab w:val="left" w:pos="426"/>
        </w:tabs>
        <w:spacing w:after="156"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本表的条款项号是与投标须知条款项号对应的，或增加的条款，是对第四部分《投标须知》的补充、修改和完善，如果有矛盾的话，应以本表为准。</w:t>
      </w:r>
    </w:p>
    <w:tbl>
      <w:tblPr>
        <w:tblStyle w:val="3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1"/>
        <w:gridCol w:w="8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条款项号</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center"/>
              <w:rPr>
                <w:rFonts w:ascii="黑体" w:hAnsi="黑体" w:eastAsia="黑体"/>
                <w:color w:val="000000" w:themeColor="text1"/>
                <w:spacing w:val="20"/>
                <w:sz w:val="22"/>
                <w:szCs w:val="22"/>
                <w14:textFill>
                  <w14:solidFill>
                    <w14:schemeClr w14:val="tx1"/>
                  </w14:solidFill>
                </w14:textFill>
              </w:rPr>
            </w:pPr>
            <w:r>
              <w:rPr>
                <w:rFonts w:hint="eastAsia" w:ascii="黑体" w:hAnsi="黑体" w:eastAsia="黑体"/>
                <w:color w:val="000000" w:themeColor="text1"/>
                <w:spacing w:val="20"/>
                <w:sz w:val="22"/>
                <w:szCs w:val="22"/>
                <w14:textFill>
                  <w14:solidFill>
                    <w14:schemeClr w14:val="tx1"/>
                  </w14:solidFill>
                </w14:textFill>
              </w:rPr>
              <w:t>对应或增加的条款内容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对第四部分《投标须知》的修改及补充：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一</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2</w:t>
            </w:r>
            <w:r>
              <w:rPr>
                <w:rFonts w:hint="eastAsia" w:ascii="黑体" w:hAnsi="黑体" w:eastAsia="黑体"/>
                <w:color w:val="000000" w:themeColor="text1"/>
                <w:sz w:val="22"/>
                <w:szCs w:val="22"/>
                <w:lang w:val="zh-CN"/>
                <w14:textFill>
                  <w14:solidFill>
                    <w14:schemeClr w14:val="tx1"/>
                  </w14:solidFill>
                </w14:textFill>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资金来源：</w:t>
            </w:r>
            <w:r>
              <w:rPr>
                <w:rFonts w:hint="eastAsia" w:ascii="黑体" w:hAnsi="黑体" w:eastAsia="黑体"/>
                <w:color w:val="000000" w:themeColor="text1"/>
                <w:sz w:val="22"/>
                <w:szCs w:val="22"/>
                <w:lang w:val="en-US" w:eastAsia="zh-CN"/>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1"/>
              <w:rPr>
                <w:rFonts w:hint="default" w:ascii="黑体" w:hAnsi="黑体" w:eastAsia="黑体"/>
                <w:color w:val="000000" w:themeColor="text1"/>
                <w:sz w:val="22"/>
                <w:szCs w:val="22"/>
                <w:lang w:val="en-US"/>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“采购人”是指：</w:t>
            </w:r>
            <w:r>
              <w:rPr>
                <w:rFonts w:hint="eastAsia" w:ascii="黑体" w:hAnsi="黑体" w:eastAsia="黑体"/>
                <w:color w:val="000000" w:themeColor="text1"/>
                <w:sz w:val="22"/>
                <w:szCs w:val="22"/>
                <w:highlight w:val="none"/>
                <w:lang w:val="en-US" w:eastAsia="zh-CN"/>
                <w14:textFill>
                  <w14:solidFill>
                    <w14:schemeClr w14:val="tx1"/>
                  </w14:solidFill>
                </w14:textFill>
              </w:rPr>
              <w:t>南方新闻网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.3</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“采购代理机构”是指：</w:t>
            </w:r>
            <w:r>
              <w:rPr>
                <w:rFonts w:hint="eastAsia" w:ascii="黑体" w:hAnsi="黑体" w:eastAsia="黑体"/>
                <w:color w:val="000000" w:themeColor="text1"/>
                <w:sz w:val="22"/>
                <w:szCs w:val="22"/>
                <w14:textFill>
                  <w14:solidFill>
                    <w14:schemeClr w14:val="tx1"/>
                  </w14:solidFill>
                </w14:textFill>
              </w:rPr>
              <w:t>中通服咨询设计研究院有限公司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二</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8</w:t>
            </w:r>
            <w:r>
              <w:rPr>
                <w:rFonts w:hint="eastAsia" w:ascii="黑体" w:hAnsi="黑体" w:eastAsia="黑体"/>
                <w:color w:val="000000" w:themeColor="text1"/>
                <w:sz w:val="22"/>
                <w:szCs w:val="22"/>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答疑会或现场考察：本项目不集中举行答疑会或现场考察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三</w:t>
            </w:r>
            <w:r>
              <w:rPr>
                <w:rFonts w:ascii="黑体" w:hAnsi="黑体" w:eastAsia="黑体"/>
                <w:bCs/>
                <w:color w:val="000000" w:themeColor="text1"/>
                <w:sz w:val="22"/>
                <w:szCs w:val="22"/>
                <w14:textFill>
                  <w14:solidFill>
                    <w14:schemeClr w14:val="tx1"/>
                  </w14:solidFill>
                </w14:textFill>
              </w:rPr>
              <w:t xml:space="preserve"> </w:t>
            </w:r>
            <w:r>
              <w:rPr>
                <w:rFonts w:hint="eastAsia" w:ascii="黑体" w:hAnsi="黑体" w:eastAsia="黑体"/>
                <w:bCs/>
                <w:color w:val="000000" w:themeColor="text1"/>
                <w:sz w:val="22"/>
                <w:szCs w:val="22"/>
                <w14:textFill>
                  <w14:solidFill>
                    <w14:schemeClr w14:val="tx1"/>
                  </w14:solidFill>
                </w14:textFill>
              </w:rPr>
              <w:t>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r>
              <w:rPr>
                <w:rFonts w:ascii="黑体" w:hAnsi="黑体" w:eastAsia="黑体"/>
                <w:color w:val="000000" w:themeColor="text1"/>
                <w:sz w:val="22"/>
                <w:szCs w:val="22"/>
                <w14:textFill>
                  <w14:solidFill>
                    <w14:schemeClr w14:val="tx1"/>
                  </w14:solidFill>
                </w14:textFill>
              </w:rPr>
              <w:t>2.5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投标人所报的投标价在合同执行过程中是固定不变的，不得以任何</w:t>
            </w:r>
            <w:r>
              <w:rPr>
                <w:rFonts w:hint="eastAsia" w:ascii="黑体" w:hAnsi="黑体" w:eastAsia="黑体"/>
                <w:bCs/>
                <w:color w:val="000000" w:themeColor="text1"/>
                <w:spacing w:val="-4"/>
                <w:sz w:val="22"/>
                <w:szCs w:val="22"/>
                <w:lang w:val="en-US" w:eastAsia="zh-CN"/>
                <w14:textFill>
                  <w14:solidFill>
                    <w14:schemeClr w14:val="tx1"/>
                  </w14:solidFill>
                </w14:textFill>
              </w:rPr>
              <w:t>不正当</w:t>
            </w:r>
            <w:r>
              <w:rPr>
                <w:rFonts w:hint="eastAsia" w:ascii="黑体" w:hAnsi="黑体" w:eastAsia="黑体"/>
                <w:bCs/>
                <w:color w:val="000000" w:themeColor="text1"/>
                <w:spacing w:val="-4"/>
                <w:sz w:val="22"/>
                <w:szCs w:val="22"/>
                <w14:textFill>
                  <w14:solidFill>
                    <w14:schemeClr w14:val="tx1"/>
                  </w14:solidFill>
                </w14:textFill>
              </w:rPr>
              <w:t>理由予以变更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12.6</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不允许有备选方案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12.7</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不允许附加条件报价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14.1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default"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eastAsia"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本项目不属于政府采购项目。</w:t>
            </w:r>
          </w:p>
          <w:p>
            <w:pPr>
              <w:spacing w:line="360" w:lineRule="auto"/>
              <w:ind w:right="-183"/>
              <w:rPr>
                <w:rFonts w:hint="default"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本项目落实政府采购政策需满足的要求：无。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ascii="黑体" w:hAnsi="黑体" w:eastAsia="黑体"/>
                <w:bCs/>
                <w:color w:val="000000" w:themeColor="text1"/>
                <w:spacing w:val="-4"/>
                <w:sz w:val="22"/>
                <w:szCs w:val="22"/>
                <w14:textFill>
                  <w14:solidFill>
                    <w14:schemeClr w14:val="tx1"/>
                  </w14:solidFill>
                </w14:textFill>
              </w:rPr>
              <w:t>17</w:t>
            </w:r>
            <w:r>
              <w:rPr>
                <w:rFonts w:hint="eastAsia" w:ascii="黑体" w:hAnsi="黑体" w:eastAsia="黑体"/>
                <w:bCs/>
                <w:color w:val="000000" w:themeColor="text1"/>
                <w:spacing w:val="-4"/>
                <w:sz w:val="22"/>
                <w:szCs w:val="22"/>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eastAsia"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投标人投标时须</w:t>
            </w:r>
            <w:r>
              <w:rPr>
                <w:rFonts w:hint="eastAsia" w:ascii="黑体" w:hAnsi="黑体" w:eastAsia="黑体"/>
                <w:bCs/>
                <w:color w:val="000000" w:themeColor="text1"/>
                <w:spacing w:val="-4"/>
                <w:sz w:val="22"/>
                <w:szCs w:val="22"/>
                <w:lang w:val="en-US" w:eastAsia="zh-CN"/>
                <w14:textFill>
                  <w14:solidFill>
                    <w14:schemeClr w14:val="tx1"/>
                  </w14:solidFill>
                </w14:textFill>
              </w:rPr>
              <w:t>递交</w:t>
            </w:r>
            <w:r>
              <w:rPr>
                <w:rFonts w:hint="eastAsia" w:ascii="黑体" w:hAnsi="黑体" w:eastAsia="黑体"/>
                <w:bCs/>
                <w:color w:val="000000" w:themeColor="text1"/>
                <w:spacing w:val="-4"/>
                <w:sz w:val="22"/>
                <w:szCs w:val="22"/>
                <w14:textFill>
                  <w14:solidFill>
                    <w14:schemeClr w14:val="tx1"/>
                  </w14:solidFill>
                </w14:textFill>
              </w:rPr>
              <w:t>投标保证金为：</w:t>
            </w:r>
          </w:p>
          <w:p>
            <w:pPr>
              <w:spacing w:line="360" w:lineRule="auto"/>
              <w:ind w:right="-183"/>
              <w:rPr>
                <w:rFonts w:hint="eastAsia" w:ascii="黑体" w:hAnsi="黑体" w:eastAsia="黑体"/>
                <w:bCs/>
                <w:color w:val="000000" w:themeColor="text1"/>
                <w:spacing w:val="-4"/>
                <w:sz w:val="24"/>
                <w:szCs w:val="24"/>
                <w:lang w:eastAsia="zh-CN"/>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金额：（大写）</w:t>
            </w:r>
            <w:r>
              <w:rPr>
                <w:rFonts w:hint="eastAsia" w:ascii="黑体" w:hAnsi="黑体" w:eastAsia="黑体"/>
                <w:bCs/>
                <w:color w:val="000000" w:themeColor="text1"/>
                <w:spacing w:val="-4"/>
                <w:sz w:val="22"/>
                <w:szCs w:val="22"/>
                <w:u w:val="single"/>
                <w:lang w:val="en-US" w:eastAsia="zh-CN"/>
                <w14:textFill>
                  <w14:solidFill>
                    <w14:schemeClr w14:val="tx1"/>
                  </w14:solidFill>
                </w14:textFill>
              </w:rPr>
              <w:t>壹万伍仟肆佰</w:t>
            </w:r>
            <w:r>
              <w:rPr>
                <w:rFonts w:hint="default" w:ascii="黑体" w:hAnsi="黑体" w:eastAsia="黑体"/>
                <w:bCs/>
                <w:color w:val="000000" w:themeColor="text1"/>
                <w:spacing w:val="-4"/>
                <w:sz w:val="22"/>
                <w:szCs w:val="22"/>
                <w:u w:val="single"/>
                <w:lang w:val="en-US" w:eastAsia="zh-CN"/>
                <w14:textFill>
                  <w14:solidFill>
                    <w14:schemeClr w14:val="tx1"/>
                  </w14:solidFill>
                </w14:textFill>
              </w:rPr>
              <w:t>元整</w:t>
            </w:r>
            <w:r>
              <w:rPr>
                <w:rFonts w:hint="eastAsia" w:ascii="黑体" w:hAnsi="黑体" w:eastAsia="黑体"/>
                <w:bCs/>
                <w:color w:val="000000" w:themeColor="text1"/>
                <w:spacing w:val="-4"/>
                <w:sz w:val="22"/>
                <w:szCs w:val="22"/>
                <w:lang w:val="en-US" w:eastAsia="zh-CN"/>
                <w14:textFill>
                  <w14:solidFill>
                    <w14:schemeClr w14:val="tx1"/>
                  </w14:solidFill>
                </w14:textFill>
              </w:rPr>
              <w:t>，（小写）</w:t>
            </w:r>
            <w:r>
              <w:rPr>
                <w:rFonts w:hint="default" w:ascii="黑体" w:hAnsi="黑体" w:eastAsia="黑体"/>
                <w:bCs/>
                <w:color w:val="000000" w:themeColor="text1"/>
                <w:spacing w:val="-4"/>
                <w:sz w:val="24"/>
                <w:szCs w:val="24"/>
                <w:u w:val="single"/>
                <w14:textFill>
                  <w14:solidFill>
                    <w14:schemeClr w14:val="tx1"/>
                  </w14:solidFill>
                </w14:textFill>
              </w:rPr>
              <w:t>¥</w:t>
            </w:r>
            <w:r>
              <w:rPr>
                <w:rFonts w:hint="eastAsia" w:ascii="黑体" w:hAnsi="黑体" w:eastAsia="黑体"/>
                <w:bCs/>
                <w:color w:val="000000" w:themeColor="text1"/>
                <w:spacing w:val="-4"/>
                <w:sz w:val="24"/>
                <w:szCs w:val="24"/>
                <w:u w:val="single"/>
                <w:lang w:val="en-US" w:eastAsia="zh-CN"/>
                <w14:textFill>
                  <w14:solidFill>
                    <w14:schemeClr w14:val="tx1"/>
                  </w14:solidFill>
                </w14:textFill>
              </w:rPr>
              <w:t>15400.00元</w:t>
            </w:r>
          </w:p>
          <w:p>
            <w:pPr>
              <w:spacing w:line="360" w:lineRule="auto"/>
              <w:ind w:right="-183"/>
              <w:rPr>
                <w:rFonts w:hint="eastAsia" w:ascii="黑体" w:hAnsi="黑体" w:eastAsia="黑体"/>
                <w:bCs/>
                <w:color w:val="000000" w:themeColor="text1"/>
                <w:spacing w:val="-4"/>
                <w:sz w:val="22"/>
                <w:szCs w:val="22"/>
                <w:lang w:val="en-US" w:eastAsia="zh-CN"/>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缴纳截止时间</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eastAsia" w:ascii="黑体" w:hAnsi="黑体" w:eastAsia="黑体"/>
                <w:bCs/>
                <w:color w:val="000000" w:themeColor="text1"/>
                <w:spacing w:val="-4"/>
                <w:sz w:val="22"/>
                <w:szCs w:val="22"/>
                <w:lang w:val="en-US" w:eastAsia="zh-CN"/>
                <w14:textFill>
                  <w14:solidFill>
                    <w14:schemeClr w14:val="tx1"/>
                  </w14:solidFill>
                </w14:textFill>
              </w:rPr>
              <w:t>同</w:t>
            </w:r>
            <w:r>
              <w:rPr>
                <w:rFonts w:hint="default" w:ascii="黑体" w:hAnsi="黑体" w:eastAsia="黑体"/>
                <w:bCs/>
                <w:color w:val="000000" w:themeColor="text1"/>
                <w:spacing w:val="-4"/>
                <w:sz w:val="22"/>
                <w:szCs w:val="22"/>
                <w14:textFill>
                  <w14:solidFill>
                    <w14:schemeClr w14:val="tx1"/>
                  </w14:solidFill>
                </w14:textFill>
              </w:rPr>
              <w:t>本项目</w:t>
            </w:r>
            <w:r>
              <w:rPr>
                <w:rFonts w:hint="eastAsia" w:ascii="黑体" w:hAnsi="黑体" w:eastAsia="黑体"/>
                <w:bCs/>
                <w:color w:val="000000" w:themeColor="text1"/>
                <w:spacing w:val="-4"/>
                <w:sz w:val="22"/>
                <w:szCs w:val="22"/>
                <w:lang w:val="en-US" w:eastAsia="zh-CN"/>
                <w14:textFill>
                  <w14:solidFill>
                    <w14:schemeClr w14:val="tx1"/>
                  </w14:solidFill>
                </w14:textFill>
              </w:rPr>
              <w:t>开标</w:t>
            </w:r>
            <w:r>
              <w:rPr>
                <w:rFonts w:hint="default" w:ascii="黑体" w:hAnsi="黑体" w:eastAsia="黑体"/>
                <w:bCs/>
                <w:color w:val="000000" w:themeColor="text1"/>
                <w:spacing w:val="-4"/>
                <w:sz w:val="22"/>
                <w:szCs w:val="22"/>
                <w14:textFill>
                  <w14:solidFill>
                    <w14:schemeClr w14:val="tx1"/>
                  </w14:solidFill>
                </w14:textFill>
              </w:rPr>
              <w:t>时间</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eastAsia" w:ascii="黑体" w:hAnsi="黑体" w:eastAsia="黑体"/>
                <w:bCs/>
                <w:color w:val="000000" w:themeColor="text1"/>
                <w:spacing w:val="-4"/>
                <w:sz w:val="22"/>
                <w:szCs w:val="22"/>
                <w:lang w:val="en-US" w:eastAsia="zh-CN"/>
                <w14:textFill>
                  <w14:solidFill>
                    <w14:schemeClr w14:val="tx1"/>
                  </w14:solidFill>
                </w14:textFill>
              </w:rPr>
              <w:t>见招标公告</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default" w:ascii="黑体" w:hAnsi="黑体" w:eastAsia="黑体"/>
                <w:bCs/>
                <w:color w:val="000000" w:themeColor="text1"/>
                <w:spacing w:val="-4"/>
                <w:sz w:val="22"/>
                <w:szCs w:val="22"/>
                <w14:textFill>
                  <w14:solidFill>
                    <w14:schemeClr w14:val="tx1"/>
                  </w14:solidFill>
                </w14:textFill>
              </w:rPr>
              <w:t>，以</w:t>
            </w:r>
            <w:r>
              <w:rPr>
                <w:rFonts w:hint="eastAsia" w:ascii="黑体" w:hAnsi="黑体" w:eastAsia="黑体"/>
                <w:bCs/>
                <w:color w:val="000000" w:themeColor="text1"/>
                <w:spacing w:val="-4"/>
                <w:sz w:val="22"/>
                <w:szCs w:val="22"/>
                <w:lang w:val="en-US" w:eastAsia="zh-CN"/>
                <w14:textFill>
                  <w14:solidFill>
                    <w14:schemeClr w14:val="tx1"/>
                  </w14:solidFill>
                </w14:textFill>
              </w:rPr>
              <w:t>投标</w:t>
            </w:r>
            <w:r>
              <w:rPr>
                <w:rFonts w:hint="default" w:ascii="黑体" w:hAnsi="黑体" w:eastAsia="黑体"/>
                <w:bCs/>
                <w:color w:val="000000" w:themeColor="text1"/>
                <w:spacing w:val="-4"/>
                <w:sz w:val="22"/>
                <w:szCs w:val="22"/>
                <w14:textFill>
                  <w14:solidFill>
                    <w14:schemeClr w14:val="tx1"/>
                  </w14:solidFill>
                </w14:textFill>
              </w:rPr>
              <w:t>保证金账户实际收款时间为准</w:t>
            </w:r>
            <w:r>
              <w:rPr>
                <w:rFonts w:hint="eastAsia" w:ascii="黑体" w:hAnsi="黑体" w:eastAsia="黑体"/>
                <w:bCs/>
                <w:color w:val="000000" w:themeColor="text1"/>
                <w:spacing w:val="-4"/>
                <w:sz w:val="22"/>
                <w:szCs w:val="22"/>
                <w:lang w:eastAsia="zh-CN"/>
                <w14:textFill>
                  <w14:solidFill>
                    <w14:schemeClr w14:val="tx1"/>
                  </w14:solidFill>
                </w14:textFill>
              </w:rPr>
              <w:t>。</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缴纳</w:t>
            </w:r>
            <w:r>
              <w:rPr>
                <w:rFonts w:hint="eastAsia" w:ascii="黑体" w:hAnsi="黑体" w:eastAsia="黑体"/>
                <w:bCs/>
                <w:color w:val="000000" w:themeColor="text1"/>
                <w:spacing w:val="-4"/>
                <w:sz w:val="22"/>
                <w:szCs w:val="22"/>
                <w:lang w:val="en-US" w:eastAsia="zh-CN"/>
                <w14:textFill>
                  <w14:solidFill>
                    <w14:schemeClr w14:val="tx1"/>
                  </w14:solidFill>
                </w14:textFill>
              </w:rPr>
              <w:t>投标</w:t>
            </w:r>
            <w:r>
              <w:rPr>
                <w:rFonts w:hint="default" w:ascii="黑体" w:hAnsi="黑体" w:eastAsia="黑体"/>
                <w:bCs/>
                <w:color w:val="000000" w:themeColor="text1"/>
                <w:spacing w:val="-4"/>
                <w:sz w:val="22"/>
                <w:szCs w:val="22"/>
                <w14:textFill>
                  <w14:solidFill>
                    <w14:schemeClr w14:val="tx1"/>
                  </w14:solidFill>
                </w14:textFill>
              </w:rPr>
              <w:t>保证金账户信息：</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 xml:space="preserve">账户名称：中通服咨询设计研究院有限公司 </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账号：12590209571010300012</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开户银行： 招商银行南京分行城北支行</w:t>
            </w:r>
          </w:p>
          <w:p>
            <w:pPr>
              <w:spacing w:line="360" w:lineRule="auto"/>
              <w:ind w:right="-183"/>
              <w:rPr>
                <w:rFonts w:hint="default" w:ascii="Arial" w:hAnsi="Arial" w:eastAsia="仿宋体" w:cs="Arial"/>
                <w:sz w:val="22"/>
                <w:szCs w:val="22"/>
                <w:u w:val="single"/>
                <w:lang w:val="en-US" w:eastAsia="zh-CN"/>
              </w:rPr>
            </w:pPr>
            <w:r>
              <w:rPr>
                <w:rFonts w:hint="eastAsia" w:ascii="黑体" w:hAnsi="黑体" w:eastAsia="黑体"/>
                <w:bCs/>
                <w:color w:val="000000" w:themeColor="text1"/>
                <w:spacing w:val="-4"/>
                <w:sz w:val="22"/>
                <w:szCs w:val="22"/>
                <w:lang w:val="en-US" w:eastAsia="zh-CN"/>
                <w14:textFill>
                  <w14:solidFill>
                    <w14:schemeClr w14:val="tx1"/>
                  </w14:solidFill>
                </w14:textFill>
              </w:rPr>
              <w:t>缴纳时需备注“XXX公司+XXX项目投标保证金”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1</w:t>
            </w:r>
            <w:r>
              <w:rPr>
                <w:rFonts w:ascii="黑体" w:hAnsi="黑体" w:eastAsia="黑体"/>
                <w:bCs/>
                <w:color w:val="000000" w:themeColor="text1"/>
                <w:spacing w:val="-4"/>
                <w:sz w:val="22"/>
                <w:szCs w:val="22"/>
                <w14:textFill>
                  <w14:solidFill>
                    <w14:schemeClr w14:val="tx1"/>
                  </w14:solidFill>
                </w14:textFill>
              </w:rPr>
              <w:t>7</w:t>
            </w:r>
            <w:r>
              <w:rPr>
                <w:rFonts w:hint="eastAsia" w:ascii="黑体" w:hAnsi="黑体" w:eastAsia="黑体"/>
                <w:bCs/>
                <w:color w:val="000000" w:themeColor="text1"/>
                <w:spacing w:val="-4"/>
                <w:sz w:val="22"/>
                <w:szCs w:val="22"/>
                <w14:textFill>
                  <w14:solidFill>
                    <w14:schemeClr w14:val="tx1"/>
                  </w14:solidFill>
                </w14:textFill>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1</w:t>
            </w:r>
            <w:r>
              <w:rPr>
                <w:rFonts w:ascii="黑体" w:hAnsi="黑体" w:eastAsia="黑体"/>
                <w:bCs/>
                <w:color w:val="000000" w:themeColor="text1"/>
                <w:sz w:val="22"/>
                <w:szCs w:val="22"/>
                <w14:textFill>
                  <w14:solidFill>
                    <w14:schemeClr w14:val="tx1"/>
                  </w14:solidFill>
                </w14:textFill>
              </w:rPr>
              <w:t>7</w:t>
            </w:r>
            <w:r>
              <w:rPr>
                <w:rFonts w:hint="eastAsia" w:ascii="黑体" w:hAnsi="黑体" w:eastAsia="黑体"/>
                <w:bCs/>
                <w:color w:val="000000" w:themeColor="text1"/>
                <w:sz w:val="22"/>
                <w:szCs w:val="22"/>
                <w14:textFill>
                  <w14:solidFill>
                    <w14:schemeClr w14:val="tx1"/>
                  </w14:solidFill>
                </w14:textFill>
              </w:rPr>
              <w:t>.3</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bCs/>
                <w:color w:val="000000" w:themeColor="text1"/>
                <w:sz w:val="22"/>
                <w:szCs w:val="22"/>
                <w:lang w:eastAsia="zh-CN"/>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投标人应按要求提交投标保证金</w:t>
            </w:r>
            <w:r>
              <w:rPr>
                <w:rFonts w:hint="eastAsia" w:ascii="黑体" w:hAnsi="黑体" w:eastAsia="黑体"/>
                <w:bCs/>
                <w:color w:val="000000" w:themeColor="text1"/>
                <w:sz w:val="22"/>
                <w:szCs w:val="22"/>
                <w:lang w:eastAsia="zh-CN"/>
                <w14:textFill>
                  <w14:solidFill>
                    <w14:schemeClr w14:val="tx1"/>
                  </w14:solidFill>
                </w14:textFill>
              </w:rPr>
              <w:t>。</w:t>
            </w:r>
            <w:r>
              <w:rPr>
                <w:rFonts w:hint="eastAsia" w:ascii="黑体" w:hAnsi="黑体" w:eastAsia="黑体"/>
                <w:bCs/>
                <w:color w:val="000000" w:themeColor="text1"/>
                <w:sz w:val="22"/>
                <w:szCs w:val="22"/>
                <w:lang w:val="en-US" w:eastAsia="zh-CN"/>
                <w14:textFill>
                  <w14:solidFill>
                    <w14:schemeClr w14:val="tx1"/>
                  </w14:solidFill>
                </w14:textFill>
              </w:rPr>
              <w:t>本项目投标保证金采用</w:t>
            </w:r>
            <w:r>
              <w:rPr>
                <w:rFonts w:hint="eastAsia" w:ascii="黑体" w:hAnsi="黑体" w:eastAsia="黑体"/>
                <w:bCs/>
                <w:color w:val="000000" w:themeColor="text1"/>
                <w:sz w:val="22"/>
                <w:szCs w:val="22"/>
                <w14:textFill>
                  <w14:solidFill>
                    <w14:schemeClr w14:val="tx1"/>
                  </w14:solidFill>
                </w14:textFill>
              </w:rPr>
              <w:t>非现金</w:t>
            </w:r>
            <w:r>
              <w:rPr>
                <w:rFonts w:hint="eastAsia" w:ascii="黑体" w:hAnsi="黑体" w:eastAsia="黑体"/>
                <w:bCs/>
                <w:color w:val="000000" w:themeColor="text1"/>
                <w:sz w:val="22"/>
                <w:szCs w:val="22"/>
                <w:lang w:val="en-US" w:eastAsia="zh-CN"/>
                <w14:textFill>
                  <w14:solidFill>
                    <w14:schemeClr w14:val="tx1"/>
                  </w14:solidFill>
                </w14:textFill>
              </w:rPr>
              <w:t>转账</w:t>
            </w:r>
            <w:r>
              <w:rPr>
                <w:rFonts w:hint="eastAsia" w:ascii="黑体" w:hAnsi="黑体" w:eastAsia="黑体"/>
                <w:bCs/>
                <w:color w:val="000000" w:themeColor="text1"/>
                <w:sz w:val="22"/>
                <w:szCs w:val="22"/>
                <w14:textFill>
                  <w14:solidFill>
                    <w14:schemeClr w14:val="tx1"/>
                  </w14:solidFill>
                </w14:textFill>
              </w:rPr>
              <w:t>形式提交。投标人与交款人名称必须一致，非投标人缴纳的投标保证金无效。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18</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0"/>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投标有效期：递交投标文件截止日后</w:t>
            </w:r>
            <w:r>
              <w:rPr>
                <w:rFonts w:ascii="黑体" w:hAnsi="黑体" w:eastAsia="黑体"/>
                <w:color w:val="000000" w:themeColor="text1"/>
                <w:sz w:val="22"/>
                <w:szCs w:val="22"/>
                <w:u w:val="single"/>
                <w:lang w:val="zh-CN"/>
                <w14:textFill>
                  <w14:solidFill>
                    <w14:schemeClr w14:val="tx1"/>
                  </w14:solidFill>
                </w14:textFill>
              </w:rPr>
              <w:t xml:space="preserve"> 90 </w:t>
            </w:r>
            <w:r>
              <w:rPr>
                <w:rFonts w:hint="eastAsia" w:ascii="黑体" w:hAnsi="黑体" w:eastAsia="黑体"/>
                <w:color w:val="000000" w:themeColor="text1"/>
                <w:sz w:val="22"/>
                <w:szCs w:val="22"/>
                <w:lang w:val="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19</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投标文件份数：</w:t>
            </w:r>
            <w:r>
              <w:rPr>
                <w:rFonts w:ascii="黑体" w:hAnsi="黑体" w:eastAsia="黑体"/>
                <w:color w:val="000000" w:themeColor="text1"/>
                <w:sz w:val="22"/>
                <w:szCs w:val="22"/>
                <w:lang w:val="zh-CN"/>
                <w14:textFill>
                  <w14:solidFill>
                    <w14:schemeClr w14:val="tx1"/>
                  </w14:solidFill>
                </w14:textFill>
              </w:rPr>
              <w:t>正本一份，副本</w:t>
            </w:r>
            <w:r>
              <w:rPr>
                <w:rFonts w:hint="eastAsia" w:ascii="黑体" w:hAnsi="黑体" w:eastAsia="黑体"/>
                <w:color w:val="000000" w:themeColor="text1"/>
                <w:sz w:val="22"/>
                <w:szCs w:val="22"/>
                <w:lang w:val="en-US" w:eastAsia="zh-CN"/>
                <w14:textFill>
                  <w14:solidFill>
                    <w14:schemeClr w14:val="tx1"/>
                  </w14:solidFill>
                </w14:textFill>
              </w:rPr>
              <w:t>四</w:t>
            </w:r>
            <w:r>
              <w:rPr>
                <w:rFonts w:ascii="黑体" w:hAnsi="黑体" w:eastAsia="黑体"/>
                <w:color w:val="000000" w:themeColor="text1"/>
                <w:sz w:val="22"/>
                <w:szCs w:val="22"/>
                <w:lang w:val="zh-CN"/>
                <w14:textFill>
                  <w14:solidFill>
                    <w14:schemeClr w14:val="tx1"/>
                  </w14:solidFill>
                </w14:textFill>
              </w:rPr>
              <w:t>份，电子文件</w:t>
            </w:r>
            <w:r>
              <w:rPr>
                <w:rFonts w:hint="eastAsia" w:ascii="黑体" w:hAnsi="黑体" w:eastAsia="黑体"/>
                <w:color w:val="000000" w:themeColor="text1"/>
                <w:sz w:val="22"/>
                <w:szCs w:val="22"/>
                <w:lang w:val="zh-CN"/>
                <w14:textFill>
                  <w14:solidFill>
                    <w14:schemeClr w14:val="tx1"/>
                  </w14:solidFill>
                </w14:textFill>
              </w:rPr>
              <w:t>一</w:t>
            </w:r>
            <w:r>
              <w:rPr>
                <w:rFonts w:ascii="黑体" w:hAnsi="黑体" w:eastAsia="黑体"/>
                <w:color w:val="000000" w:themeColor="text1"/>
                <w:sz w:val="22"/>
                <w:szCs w:val="22"/>
                <w:lang w:val="zh-CN"/>
                <w14:textFill>
                  <w14:solidFill>
                    <w14:schemeClr w14:val="tx1"/>
                  </w14:solidFill>
                </w14:textFill>
              </w:rPr>
              <w:t>份</w:t>
            </w:r>
            <w:r>
              <w:rPr>
                <w:rFonts w:hint="eastAsia" w:ascii="黑体" w:hAnsi="黑体" w:eastAsia="黑体"/>
                <w:color w:val="000000" w:themeColor="text1"/>
                <w:sz w:val="22"/>
                <w:szCs w:val="22"/>
                <w:lang w:val="zh-CN"/>
                <w14:textFill>
                  <w14:solidFill>
                    <w14:schemeClr w14:val="tx1"/>
                  </w14:solidFill>
                </w14:textFill>
              </w:rPr>
              <w:t>，唱标信封一个。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五</w:t>
            </w:r>
            <w:r>
              <w:rPr>
                <w:rFonts w:ascii="黑体" w:hAnsi="黑体" w:eastAsia="黑体"/>
                <w:color w:val="000000" w:themeColor="text1"/>
                <w:sz w:val="22"/>
                <w:szCs w:val="22"/>
                <w:lang w:val="zh-CN"/>
                <w14:textFill>
                  <w14:solidFill>
                    <w14:schemeClr w14:val="tx1"/>
                  </w14:solidFill>
                </w14:textFill>
              </w:rPr>
              <w:t xml:space="preserve"> </w:t>
            </w:r>
            <w:r>
              <w:rPr>
                <w:rFonts w:hint="eastAsia" w:ascii="黑体" w:hAnsi="黑体" w:eastAsia="黑体"/>
                <w:color w:val="000000" w:themeColor="text1"/>
                <w:sz w:val="22"/>
                <w:szCs w:val="22"/>
                <w:lang w:val="zh-CN"/>
                <w14:textFill>
                  <w14:solidFill>
                    <w14:schemeClr w14:val="tx1"/>
                  </w14:solidFill>
                </w14:textFill>
              </w:rPr>
              <w:t>开标与评标准则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2</w:t>
            </w:r>
            <w:r>
              <w:rPr>
                <w:rFonts w:ascii="黑体" w:hAnsi="黑体" w:eastAsia="黑体"/>
                <w:color w:val="000000" w:themeColor="text1"/>
                <w:sz w:val="22"/>
                <w:szCs w:val="22"/>
                <w:lang w:val="zh-CN"/>
                <w14:textFill>
                  <w14:solidFill>
                    <w14:schemeClr w14:val="tx1"/>
                  </w14:solidFill>
                </w14:textFill>
              </w:rPr>
              <w:t>5.2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评标委员会由采购人代表和评审专家组成，成员人数为</w:t>
            </w:r>
            <w:r>
              <w:rPr>
                <w:rFonts w:ascii="黑体" w:hAnsi="黑体" w:eastAsia="黑体"/>
                <w:color w:val="000000" w:themeColor="text1"/>
                <w:sz w:val="22"/>
                <w:szCs w:val="22"/>
                <w:lang w:val="zh-CN"/>
                <w14:textFill>
                  <w14:solidFill>
                    <w14:schemeClr w14:val="tx1"/>
                  </w14:solidFill>
                </w14:textFill>
              </w:rPr>
              <w:t>5</w:t>
            </w:r>
            <w:r>
              <w:rPr>
                <w:rFonts w:hint="eastAsia" w:ascii="黑体" w:hAnsi="黑体" w:eastAsia="黑体"/>
                <w:color w:val="000000" w:themeColor="text1"/>
                <w:sz w:val="22"/>
                <w:szCs w:val="22"/>
                <w:lang w:val="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25</w:t>
            </w:r>
            <w:r>
              <w:rPr>
                <w:rFonts w:hint="eastAsia" w:ascii="黑体" w:hAnsi="黑体" w:eastAsia="黑体"/>
                <w:color w:val="000000" w:themeColor="text1"/>
                <w:sz w:val="22"/>
                <w:szCs w:val="22"/>
                <w:lang w:val="zh-CN"/>
                <w14:textFill>
                  <w14:solidFill>
                    <w14:schemeClr w14:val="tx1"/>
                  </w14:solidFill>
                </w14:textFill>
              </w:rPr>
              <w:t>.5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评标方法：采用综合评分法，详见第五部分。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六</w:t>
            </w:r>
            <w:r>
              <w:rPr>
                <w:rFonts w:ascii="黑体" w:hAnsi="黑体" w:eastAsia="黑体"/>
                <w:color w:val="000000" w:themeColor="text1"/>
                <w:sz w:val="22"/>
                <w:szCs w:val="22"/>
                <w:lang w:val="zh-CN"/>
                <w14:textFill>
                  <w14:solidFill>
                    <w14:schemeClr w14:val="tx1"/>
                  </w14:solidFill>
                </w14:textFill>
              </w:rPr>
              <w:t xml:space="preserve"> </w:t>
            </w:r>
            <w:r>
              <w:rPr>
                <w:rFonts w:hint="eastAsia" w:ascii="黑体" w:hAnsi="黑体" w:eastAsia="黑体"/>
                <w:color w:val="000000" w:themeColor="text1"/>
                <w:sz w:val="22"/>
                <w:szCs w:val="22"/>
                <w:lang w:val="zh-CN"/>
                <w14:textFill>
                  <w14:solidFill>
                    <w14:schemeClr w14:val="tx1"/>
                  </w14:solidFill>
                </w14:textFill>
              </w:rPr>
              <w:t>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2.1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合同签订时间：自《中标通知书》发出之日起30日内。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5" w:type="pct"/>
            <w:tcBorders>
              <w:top w:val="single" w:color="auto" w:sz="4" w:space="0"/>
              <w:left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hint="eastAsia" w:eastAsiaTheme="minorEastAsia"/>
                <w:color w:val="000000" w:themeColor="text1"/>
                <w:sz w:val="22"/>
                <w:szCs w:val="24"/>
                <w:lang w:val="zh-CN" w:eastAsia="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履约担保：</w:t>
            </w:r>
            <w:r>
              <w:rPr>
                <w:rFonts w:hint="eastAsia" w:ascii="黑体" w:hAnsi="黑体" w:eastAsia="黑体"/>
                <w:color w:val="000000" w:themeColor="text1"/>
                <w:sz w:val="22"/>
                <w:szCs w:val="22"/>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36</w:t>
            </w:r>
            <w:r>
              <w:rPr>
                <w:rFonts w:hint="eastAsia" w:ascii="黑体" w:hAnsi="黑体" w:eastAsia="黑体"/>
                <w:color w:val="000000" w:themeColor="text1"/>
                <w:sz w:val="22"/>
                <w:szCs w:val="22"/>
                <w:lang w:val="zh-CN"/>
                <w14:textFill>
                  <w14:solidFill>
                    <w14:schemeClr w14:val="tx1"/>
                  </w14:solidFill>
                </w14:textFill>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本项目类型为：</w:t>
            </w:r>
            <w:r>
              <w:rPr>
                <w:rFonts w:hint="eastAsia" w:ascii="黑体" w:hAnsi="黑体" w:eastAsia="黑体"/>
                <w:bCs/>
                <w:color w:val="000000" w:themeColor="text1"/>
                <w:sz w:val="22"/>
                <w:szCs w:val="22"/>
                <w:u w:val="single"/>
                <w:lang w:val="en-US" w:eastAsia="zh-CN"/>
                <w14:textFill>
                  <w14:solidFill>
                    <w14:schemeClr w14:val="tx1"/>
                  </w14:solidFill>
                </w14:textFill>
              </w:rPr>
              <w:t>服务</w:t>
            </w:r>
            <w:r>
              <w:rPr>
                <w:rFonts w:hint="eastAsia" w:ascii="黑体" w:hAnsi="黑体" w:eastAsia="黑体"/>
                <w:bCs/>
                <w:color w:val="000000" w:themeColor="text1"/>
                <w:sz w:val="22"/>
                <w:szCs w:val="22"/>
                <w:u w:val="single"/>
                <w14:textFill>
                  <w14:solidFill>
                    <w14:schemeClr w14:val="tx1"/>
                  </w14:solidFill>
                </w14:textFill>
              </w:rPr>
              <w:t>类</w:t>
            </w:r>
            <w:r>
              <w:rPr>
                <w:rFonts w:hint="eastAsia" w:ascii="黑体" w:hAnsi="黑体" w:eastAsia="黑体"/>
                <w:bCs/>
                <w:color w:val="000000" w:themeColor="text1"/>
                <w:sz w:val="22"/>
                <w:szCs w:val="22"/>
                <w14:textFill>
                  <w14:solidFill>
                    <w14:schemeClr w14:val="tx1"/>
                  </w14:solidFill>
                </w14:textFill>
              </w:rPr>
              <w:t>。</w:t>
            </w:r>
          </w:p>
        </w:tc>
      </w:tr>
    </w:tbl>
    <w:p>
      <w:pPr>
        <w:pStyle w:val="3"/>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45" w:name="_Toc15035"/>
      <w:bookmarkStart w:id="46" w:name="_Toc405313954"/>
      <w:bookmarkStart w:id="47" w:name="_Toc2435"/>
      <w:bookmarkStart w:id="48" w:name="_Toc391627750"/>
      <w:bookmarkStart w:id="49" w:name="_Toc32109"/>
      <w:r>
        <w:rPr>
          <w:rFonts w:hint="eastAsia" w:ascii="黑体" w:hAnsi="黑体" w:eastAsia="黑体"/>
          <w:color w:val="000000" w:themeColor="text1"/>
          <w:spacing w:val="20"/>
          <w:sz w:val="36"/>
          <w:szCs w:val="36"/>
          <w14:textFill>
            <w14:solidFill>
              <w14:schemeClr w14:val="tx1"/>
            </w14:solidFill>
          </w14:textFill>
        </w:rPr>
        <w:t>第四部分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投标须知</w:t>
      </w:r>
      <w:bookmarkEnd w:id="45"/>
      <w:bookmarkEnd w:id="46"/>
      <w:bookmarkEnd w:id="47"/>
      <w:bookmarkEnd w:id="48"/>
      <w:bookmarkEnd w:id="49"/>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14:textFill>
            <w14:solidFill>
              <w14:schemeClr w14:val="tx1"/>
            </w14:solidFill>
          </w14:textFill>
        </w:rPr>
      </w:pPr>
      <w:bookmarkStart w:id="50" w:name="_Toc28405"/>
      <w:bookmarkStart w:id="51" w:name="_Toc6265"/>
      <w:r>
        <w:rPr>
          <w:rFonts w:hint="eastAsia" w:ascii="微软雅黑" w:hAnsi="微软雅黑" w:eastAsia="微软雅黑" w:cs="微软雅黑"/>
          <w:b/>
          <w:bCs/>
          <w:color w:val="000000" w:themeColor="text1"/>
          <w:sz w:val="28"/>
          <w:szCs w:val="28"/>
          <w14:textFill>
            <w14:solidFill>
              <w14:schemeClr w14:val="tx1"/>
            </w14:solidFill>
          </w14:textFill>
        </w:rPr>
        <w:t>说明</w:t>
      </w:r>
      <w:bookmarkEnd w:id="50"/>
      <w:bookmarkEnd w:id="51"/>
    </w:p>
    <w:p>
      <w:pPr>
        <w:pStyle w:val="46"/>
        <w:numPr>
          <w:ilvl w:val="0"/>
          <w:numId w:val="3"/>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总则</w:t>
      </w:r>
    </w:p>
    <w:p>
      <w:pPr>
        <w:spacing w:line="360" w:lineRule="auto"/>
        <w:ind w:firstLine="480" w:firstLineChars="20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采购人、采购代理机构及投标人进行的本次采购活动适用《</w:t>
      </w:r>
      <w:bookmarkStart w:id="52" w:name="_Hlk75725950"/>
      <w:r>
        <w:rPr>
          <w:rFonts w:hint="eastAsia" w:ascii="宋体" w:hAnsi="宋体" w:eastAsia="宋体" w:cs="宋体"/>
          <w:bCs/>
          <w:color w:val="000000" w:themeColor="text1"/>
          <w:sz w:val="24"/>
          <w:szCs w:val="28"/>
          <w14:textFill>
            <w14:solidFill>
              <w14:schemeClr w14:val="tx1"/>
            </w14:solidFill>
          </w14:textFill>
        </w:rPr>
        <w:t>中华人民共和国</w:t>
      </w:r>
      <w:bookmarkEnd w:id="52"/>
      <w:r>
        <w:rPr>
          <w:rFonts w:hint="eastAsia" w:ascii="宋体" w:hAnsi="宋体" w:eastAsia="宋体" w:cs="宋体"/>
          <w:bCs/>
          <w:color w:val="000000" w:themeColor="text1"/>
          <w:sz w:val="24"/>
          <w:szCs w:val="28"/>
          <w14:textFill>
            <w14:solidFill>
              <w14:schemeClr w14:val="tx1"/>
            </w14:solidFill>
          </w14:textFill>
        </w:rPr>
        <w:t>政府采购法》及其配套的法规、规章、政策</w:t>
      </w:r>
      <w:r>
        <w:rPr>
          <w:rFonts w:hint="eastAsia" w:ascii="宋体" w:hAnsi="宋体" w:eastAsia="宋体" w:cs="宋体"/>
          <w:bCs/>
          <w:color w:val="000000" w:themeColor="text1"/>
          <w:sz w:val="24"/>
          <w:szCs w:val="28"/>
          <w:lang w:eastAsia="zh-CN"/>
          <w14:textFill>
            <w14:solidFill>
              <w14:schemeClr w14:val="tx1"/>
            </w14:solidFill>
          </w14:textFill>
        </w:rPr>
        <w:t>；</w:t>
      </w:r>
      <w:r>
        <w:rPr>
          <w:rFonts w:hint="eastAsia" w:ascii="宋体" w:hAnsi="宋体" w:eastAsia="宋体" w:cs="宋体"/>
          <w:bCs/>
          <w:color w:val="000000" w:themeColor="text1"/>
          <w:sz w:val="24"/>
          <w:szCs w:val="28"/>
          <w:lang w:val="en-US" w:eastAsia="zh-CN"/>
          <w14:textFill>
            <w14:solidFill>
              <w14:schemeClr w14:val="tx1"/>
            </w14:solidFill>
          </w14:textFill>
        </w:rPr>
        <w:t>和采购人相关采购管理制度</w:t>
      </w:r>
      <w:r>
        <w:rPr>
          <w:rFonts w:hint="eastAsia" w:ascii="宋体" w:hAnsi="宋体" w:eastAsia="宋体" w:cs="宋体"/>
          <w:bCs/>
          <w:color w:val="000000" w:themeColor="text1"/>
          <w:sz w:val="24"/>
          <w:szCs w:val="28"/>
          <w14:textFill>
            <w14:solidFill>
              <w14:schemeClr w14:val="tx1"/>
            </w14:solidFill>
          </w14:textFill>
        </w:rPr>
        <w:t>。投标人应仔细阅读本项目招标公告及招标文件的所有内容（包括变更、补充、澄清以及修改等，且均为招标文件的组成部分），按照招标文件要求以及格式编制投标文件，并保证其真实性，否则一切后果自负。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本次公开招标项目，是以招标公告的方式邀请非特定的投标人参加投标。</w:t>
      </w:r>
    </w:p>
    <w:p>
      <w:pPr>
        <w:pStyle w:val="46"/>
        <w:numPr>
          <w:ilvl w:val="0"/>
          <w:numId w:val="3"/>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适用范围</w:t>
      </w:r>
    </w:p>
    <w:p>
      <w:pPr>
        <w:pStyle w:val="46"/>
        <w:numPr>
          <w:ilvl w:val="0"/>
          <w:numId w:val="4"/>
        </w:numPr>
        <w:spacing w:line="360" w:lineRule="auto"/>
        <w:ind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本招标文件仅适用于本次招标公告中所涉及的项目和内容。</w:t>
      </w:r>
    </w:p>
    <w:p>
      <w:pPr>
        <w:pStyle w:val="46"/>
        <w:numPr>
          <w:ilvl w:val="0"/>
          <w:numId w:val="4"/>
        </w:numPr>
        <w:spacing w:line="360" w:lineRule="auto"/>
        <w:ind w:firstLineChars="0"/>
        <w:rPr>
          <w:rFonts w:hint="eastAsia" w:ascii="宋体" w:hAnsi="宋体" w:eastAsia="宋体" w:cs="宋体"/>
          <w:b/>
          <w:color w:val="000000" w:themeColor="text1"/>
          <w:sz w:val="24"/>
          <w:szCs w:val="28"/>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资金来源：</w:t>
      </w:r>
      <w:r>
        <w:rPr>
          <w:rFonts w:hint="eastAsia" w:ascii="宋体" w:hAnsi="宋体" w:eastAsia="宋体" w:cs="宋体"/>
          <w:b/>
          <w:color w:val="000000" w:themeColor="text1"/>
          <w:sz w:val="24"/>
          <w:szCs w:val="28"/>
          <w:u w:val="single"/>
          <w14:textFill>
            <w14:solidFill>
              <w14:schemeClr w14:val="tx1"/>
            </w14:solidFill>
          </w14:textFill>
        </w:rPr>
        <w:t>（详见投标须知前附表）</w:t>
      </w:r>
      <w:r>
        <w:rPr>
          <w:rFonts w:hint="eastAsia" w:ascii="宋体" w:hAnsi="宋体" w:eastAsia="宋体" w:cs="宋体"/>
          <w:color w:val="000000" w:themeColor="text1"/>
          <w:sz w:val="24"/>
          <w:szCs w:val="28"/>
          <w14:textFill>
            <w14:solidFill>
              <w14:schemeClr w14:val="tx1"/>
            </w14:solidFill>
          </w14:textFill>
        </w:rPr>
        <w:t>。</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定义</w:t>
      </w:r>
    </w:p>
    <w:p>
      <w:pPr>
        <w:pStyle w:val="46"/>
        <w:numPr>
          <w:ilvl w:val="0"/>
          <w:numId w:val="5"/>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采购人：是采购活动当事人之一，负责项目的整体规划、技术方案可行性设计论证与实施，作为合同采购方（用户）的主体承担质疑回复、履行合同、验收与评价等义务。 </w:t>
      </w:r>
    </w:p>
    <w:p>
      <w:pPr>
        <w:pStyle w:val="46"/>
        <w:numPr>
          <w:ilvl w:val="0"/>
          <w:numId w:val="5"/>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采购代理机构：负责整个采购活动的组织，依法负责编制和发布招标文件，对招标文件拥有最终的解释权，不以任何身份出任评标委员会成员。</w:t>
      </w:r>
    </w:p>
    <w:p>
      <w:pPr>
        <w:pStyle w:val="46"/>
        <w:numPr>
          <w:ilvl w:val="0"/>
          <w:numId w:val="5"/>
        </w:numPr>
        <w:tabs>
          <w:tab w:val="left" w:pos="426"/>
        </w:tabs>
        <w:spacing w:line="360" w:lineRule="auto"/>
        <w:ind w:hanging="941"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投标人：是响应招标参加投标竞争的法人或其他组织或自然人。</w:t>
      </w:r>
    </w:p>
    <w:p>
      <w:pPr>
        <w:pStyle w:val="46"/>
        <w:numPr>
          <w:ilvl w:val="0"/>
          <w:numId w:val="5"/>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评标委员会：是指根据《中华人民共和国政府采购法》等法律法规规定，由采购人代表和有关专家组成以确定中标供应商或者推荐中标候选人的临时组织。 </w:t>
      </w:r>
    </w:p>
    <w:p>
      <w:pPr>
        <w:pStyle w:val="46"/>
        <w:numPr>
          <w:ilvl w:val="0"/>
          <w:numId w:val="5"/>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中标人：是指经评标委员会评审确定的对招标文件做出实质性响应，经采购人按照规定在评标委员会推荐的中标候选人中确定的或评标委员会受采购人委托直接确认的投标人。</w:t>
      </w:r>
    </w:p>
    <w:p>
      <w:pPr>
        <w:pStyle w:val="46"/>
        <w:numPr>
          <w:ilvl w:val="0"/>
          <w:numId w:val="5"/>
        </w:numPr>
        <w:tabs>
          <w:tab w:val="left" w:pos="426"/>
        </w:tabs>
        <w:spacing w:line="360" w:lineRule="auto"/>
        <w:ind w:hanging="941"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合格的投标人是指：详见《第一部分</w:t>
      </w:r>
      <w:r>
        <w:rPr>
          <w:rFonts w:hint="eastAsia" w:ascii="宋体" w:hAnsi="宋体" w:eastAsia="宋体" w:cs="宋体"/>
          <w:color w:val="000000" w:themeColor="text1"/>
          <w:sz w:val="24"/>
          <w:szCs w:val="28"/>
          <w:lang w:val="en-US" w:eastAsia="zh-CN"/>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投标邀请函》</w:t>
      </w:r>
      <w:r>
        <w:rPr>
          <w:rFonts w:hint="eastAsia" w:ascii="宋体" w:hAnsi="宋体" w:eastAsia="宋体" w:cs="宋体"/>
          <w:color w:val="000000" w:themeColor="text1"/>
          <w:sz w:val="24"/>
          <w:szCs w:val="28"/>
          <w:lang w:val="en-US" w:eastAsia="zh-CN"/>
          <w14:textFill>
            <w14:solidFill>
              <w14:schemeClr w14:val="tx1"/>
            </w14:solidFill>
          </w14:textFill>
        </w:rPr>
        <w:t>投标供应商</w:t>
      </w:r>
      <w:r>
        <w:rPr>
          <w:rFonts w:hint="eastAsia" w:ascii="宋体" w:hAnsi="宋体" w:eastAsia="宋体" w:cs="宋体"/>
          <w:color w:val="000000" w:themeColor="text1"/>
          <w:sz w:val="24"/>
          <w:szCs w:val="28"/>
          <w14:textFill>
            <w14:solidFill>
              <w14:schemeClr w14:val="tx1"/>
            </w14:solidFill>
          </w14:textFill>
        </w:rPr>
        <w:t>的资格要求</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合格的货物和服务</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服务是指除货物和工程以外的其他采购对象，且满足实质性采购需求。</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若所投产品属于政府强制采购节能产品的，则投标人必须提供该产品国家强制性节能产品进行响应，并提供有效的中国节能产品认证证书，否则视为无效投标。</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投标人提供的所有服务，其质量、技术等特征必须符合国家、行业现行法律、法规的相关标准和《中华人民共和国政府采购法》的有关规定及采购需求。</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采购人有权拒绝接受任何不合格的服务，由此产生的费用及相关后果均由投标人自行承担；</w:t>
      </w:r>
    </w:p>
    <w:p>
      <w:pPr>
        <w:pStyle w:val="46"/>
        <w:numPr>
          <w:ilvl w:val="0"/>
          <w:numId w:val="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投标费用</w:t>
      </w:r>
    </w:p>
    <w:p>
      <w:pPr>
        <w:pStyle w:val="46"/>
        <w:numPr>
          <w:ilvl w:val="0"/>
          <w:numId w:val="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投标人应承担所有与准备和参加投标有关的费用。不论投标的结果如何，采购代理机构和采购人均无义务和责任承担相关费用。</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lang w:val="en-US" w:eastAsia="zh-CN"/>
          <w14:textFill>
            <w14:solidFill>
              <w14:schemeClr w14:val="tx1"/>
            </w14:solidFill>
          </w14:textFill>
        </w:rPr>
        <w:t>担保</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担保，是指由担保机构为供应商交纳投标保证金向采购人或采购代理机构提供的保证担保。供应商在投标有效期内撤回投标文件或中标后不签订采购合同的，由担保机构按照担保函的约定履行支付投标保证金的责任。</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履约担保，是指由担保机构为供应商交纳履约保证金向采购人或采购代理机构提供的保证担保。供应商未按采购合同履行约定义务的，由担保机构按照担保函约定履行支付履约保证金的责任。</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融资担保，是指担保机构为供应商向银行融资提供的保证担保。</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供应商可以以投标担保函、履约担保函形式缴纳保证金。</w:t>
      </w: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bookmarkStart w:id="53" w:name="_Toc31691"/>
      <w:bookmarkStart w:id="54" w:name="_Toc9845"/>
      <w:r>
        <w:rPr>
          <w:rFonts w:hint="eastAsia" w:ascii="微软雅黑" w:hAnsi="微软雅黑" w:eastAsia="微软雅黑" w:cs="微软雅黑"/>
          <w:b/>
          <w:bCs/>
          <w:color w:val="000000" w:themeColor="text1"/>
          <w:sz w:val="28"/>
          <w:szCs w:val="28"/>
          <w:lang w:eastAsia="zh-CN"/>
          <w14:textFill>
            <w14:solidFill>
              <w14:schemeClr w14:val="tx1"/>
            </w14:solidFill>
          </w14:textFill>
        </w:rPr>
        <w:t>招标文件</w:t>
      </w:r>
      <w:bookmarkEnd w:id="53"/>
      <w:bookmarkEnd w:id="54"/>
      <w:bookmarkStart w:id="55" w:name="_Toc357676115"/>
    </w:p>
    <w:p>
      <w:pPr>
        <w:pStyle w:val="46"/>
        <w:numPr>
          <w:ilvl w:val="0"/>
          <w:numId w:val="3"/>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招标文件的编制依据与构成</w:t>
      </w:r>
      <w:bookmarkEnd w:id="55"/>
    </w:p>
    <w:p>
      <w:pPr>
        <w:pStyle w:val="46"/>
        <w:numPr>
          <w:ilvl w:val="0"/>
          <w:numId w:val="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本招标文件的编制依据是</w:t>
      </w:r>
      <w:r>
        <w:rPr>
          <w:rFonts w:hint="eastAsia" w:ascii="宋体" w:hAnsi="宋体" w:eastAsia="宋体" w:cs="宋体"/>
          <w:color w:val="000000" w:themeColor="text1"/>
          <w:sz w:val="24"/>
          <w:szCs w:val="24"/>
          <w14:textFill>
            <w14:solidFill>
              <w14:schemeClr w14:val="tx1"/>
            </w14:solidFill>
          </w14:textFill>
        </w:rPr>
        <w:t>《中华人民共和国政府采购法》、《中华人民共和国政府采购法实施条例》、财政部《政府采购货物和服务招标投标管理办法》</w:t>
      </w:r>
      <w:r>
        <w:rPr>
          <w:rFonts w:hint="eastAsia" w:ascii="宋体" w:hAnsi="宋体" w:eastAsia="宋体" w:cs="宋体"/>
          <w:bCs/>
          <w:color w:val="000000" w:themeColor="text1"/>
          <w:sz w:val="24"/>
          <w:szCs w:val="24"/>
          <w14:textFill>
            <w14:solidFill>
              <w14:schemeClr w14:val="tx1"/>
            </w14:solidFill>
          </w14:textFill>
        </w:rPr>
        <w:t>等法律法规。</w:t>
      </w:r>
    </w:p>
    <w:p>
      <w:pPr>
        <w:pStyle w:val="46"/>
        <w:numPr>
          <w:ilvl w:val="0"/>
          <w:numId w:val="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要求提供的服务、采购过程和合同条件在招标文件中均有说明。招标文件以中文文字编写。招标文件由下列文件以及在招标过程中发出的澄清、修改和补充文件组成，组成内容如下：</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第一部分 投标邀请函</w:t>
      </w:r>
    </w:p>
    <w:p>
      <w:pPr>
        <w:spacing w:line="360" w:lineRule="auto"/>
        <w:ind w:firstLine="484" w:firstLineChars="202"/>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第二部分 采购需求</w:t>
      </w:r>
      <w:r>
        <w:rPr>
          <w:rFonts w:hint="eastAsia" w:ascii="宋体" w:hAnsi="宋体" w:eastAsia="宋体" w:cs="宋体"/>
          <w:bCs/>
          <w:color w:val="000000" w:themeColor="text1"/>
          <w:sz w:val="24"/>
          <w:szCs w:val="24"/>
          <w:lang w:val="en-US" w:eastAsia="zh-CN"/>
          <w14:textFill>
            <w14:solidFill>
              <w14:schemeClr w14:val="tx1"/>
            </w14:solidFill>
          </w14:textFill>
        </w:rPr>
        <w:t>书</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第三部分 投标须知前附表</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第四部分 投标须知</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第五部分 评标方法、步骤、标准</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第六部分 合同书格式</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第七部分 投标文件格式</w:t>
      </w:r>
    </w:p>
    <w:p>
      <w:pPr>
        <w:pStyle w:val="46"/>
        <w:numPr>
          <w:ilvl w:val="0"/>
          <w:numId w:val="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46"/>
        <w:numPr>
          <w:ilvl w:val="0"/>
          <w:numId w:val="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本招标文件的解释权归“</w:t>
      </w:r>
      <w:r>
        <w:rPr>
          <w:rFonts w:hint="eastAsia" w:ascii="宋体" w:hAnsi="宋体" w:eastAsia="宋体" w:cs="宋体"/>
          <w:bCs/>
          <w:color w:val="000000" w:themeColor="text1"/>
          <w:sz w:val="24"/>
          <w:szCs w:val="24"/>
          <w:lang w:eastAsia="zh-CN"/>
          <w14:textFill>
            <w14:solidFill>
              <w14:schemeClr w14:val="tx1"/>
            </w14:solidFill>
          </w14:textFill>
        </w:rPr>
        <w:t>中通服咨询设计研究院有限公司</w:t>
      </w:r>
      <w:r>
        <w:rPr>
          <w:rFonts w:hint="eastAsia" w:ascii="宋体" w:hAnsi="宋体" w:eastAsia="宋体" w:cs="宋体"/>
          <w:bCs/>
          <w:color w:val="000000" w:themeColor="text1"/>
          <w:sz w:val="24"/>
          <w:szCs w:val="24"/>
          <w14:textFill>
            <w14:solidFill>
              <w14:schemeClr w14:val="tx1"/>
            </w14:solidFill>
          </w14:textFill>
        </w:rPr>
        <w:t>”所有。</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招标文件的答疑、澄清或修改</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除非</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Cs/>
          <w:color w:val="000000" w:themeColor="text1"/>
          <w:sz w:val="24"/>
          <w:szCs w:val="24"/>
          <w14:textFill>
            <w14:solidFill>
              <w14:schemeClr w14:val="tx1"/>
            </w14:solidFill>
          </w14:textFill>
        </w:rPr>
        <w:t>中另有规定，不举行项目集中答疑会或现场考察，如举行集中答疑会或现场考察的，则按以下规定：</w:t>
      </w:r>
    </w:p>
    <w:p>
      <w:pPr>
        <w:pStyle w:val="46"/>
        <w:numPr>
          <w:ilvl w:val="2"/>
          <w:numId w:val="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Cs/>
          <w:color w:val="000000" w:themeColor="text1"/>
          <w:sz w:val="24"/>
          <w:szCs w:val="24"/>
          <w14:textFill>
            <w14:solidFill>
              <w14:schemeClr w14:val="tx1"/>
            </w14:solidFill>
          </w14:textFill>
        </w:rPr>
        <w:t>中规定的日期、时间和地点组织公开答疑会或现场考察。</w:t>
      </w:r>
    </w:p>
    <w:p>
      <w:pPr>
        <w:pStyle w:val="46"/>
        <w:numPr>
          <w:ilvl w:val="2"/>
          <w:numId w:val="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潜在投标人对本项目提出的疑问，需在答疑会或现场考察召开日前至少一个工作日将问题清单以书面形式（加盖公章）提交至采购代理机构，潜在投标人代表于上述的时间和地点出席答疑会或现场考察。</w:t>
      </w:r>
    </w:p>
    <w:p>
      <w:pPr>
        <w:pStyle w:val="46"/>
        <w:numPr>
          <w:ilvl w:val="2"/>
          <w:numId w:val="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已获取招标文件的投标人如不出席答疑会或现场考察视为对招标文件所有内容无任何异议。</w:t>
      </w:r>
    </w:p>
    <w:p>
      <w:pPr>
        <w:pStyle w:val="46"/>
        <w:numPr>
          <w:ilvl w:val="2"/>
          <w:numId w:val="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投标人在规定的时间内未对招标文件提出澄清或疑问的，采购代理机构将视其为无异议。</w:t>
      </w:r>
    </w:p>
    <w:p>
      <w:pPr>
        <w:pStyle w:val="46"/>
        <w:numPr>
          <w:ilvl w:val="2"/>
          <w:numId w:val="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对招标文件中描述有歧义或前后不一致的地方，评标委员会有权进行评判，但对同一条款的评判应适用于每个投标人。</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招标文件的澄清或修改内容作为招标文件的组成部分，具有约束作用。当招标文件、招标文件的澄清或修改等在同一内容的表述上不一致时，以最后发出的书面文件为准。</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招标期间，投标人有义务上网查看，公告一经上网发布，即视为送达。投标人应于收到该澄清或修改文件的二十四小时内以书面形式给予确认。</w:t>
      </w: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bookmarkStart w:id="56" w:name="_Toc9880"/>
      <w:bookmarkStart w:id="57" w:name="_Toc31968"/>
      <w:bookmarkStart w:id="58" w:name="_Toc24370"/>
      <w:bookmarkStart w:id="59" w:name="_Toc2232"/>
      <w:r>
        <w:rPr>
          <w:rFonts w:hint="eastAsia" w:ascii="黑体" w:hAnsi="黑体" w:eastAsia="黑体"/>
          <w:b/>
          <w:bCs/>
          <w:color w:val="000000" w:themeColor="text1"/>
          <w:sz w:val="28"/>
          <w:szCs w:val="28"/>
          <w14:textFill>
            <w14:solidFill>
              <w14:schemeClr w14:val="tx1"/>
            </w14:solidFill>
          </w14:textFill>
        </w:rPr>
        <w:t>投标文件的编制</w:t>
      </w:r>
      <w:bookmarkEnd w:id="56"/>
      <w:bookmarkEnd w:id="57"/>
    </w:p>
    <w:p>
      <w:pPr>
        <w:pStyle w:val="46"/>
        <w:numPr>
          <w:ilvl w:val="0"/>
          <w:numId w:val="3"/>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投标的语言</w:t>
      </w:r>
    </w:p>
    <w:p>
      <w:pPr>
        <w:pStyle w:val="46"/>
        <w:numPr>
          <w:ilvl w:val="0"/>
          <w:numId w:val="1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60" w:name="_Toc357676120"/>
      <w:r>
        <w:rPr>
          <w:rFonts w:hint="eastAsia" w:ascii="宋体" w:hAnsi="宋体" w:eastAsia="宋体" w:cs="宋体"/>
          <w:b/>
          <w:color w:val="000000" w:themeColor="text1"/>
          <w:sz w:val="24"/>
          <w:szCs w:val="28"/>
          <w14:textFill>
            <w14:solidFill>
              <w14:schemeClr w14:val="tx1"/>
            </w14:solidFill>
          </w14:textFill>
        </w:rPr>
        <w:t>投标文件的构成</w:t>
      </w:r>
      <w:bookmarkEnd w:id="60"/>
    </w:p>
    <w:p>
      <w:pPr>
        <w:pStyle w:val="46"/>
        <w:numPr>
          <w:ilvl w:val="0"/>
          <w:numId w:val="1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投标人编写的投标文件，编排顺序参见投标文件格式。投标文件的构成应符合法律法规及招标文件的要求。</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投标文件的编写</w:t>
      </w:r>
    </w:p>
    <w:p>
      <w:pPr>
        <w:pStyle w:val="46"/>
        <w:numPr>
          <w:ilvl w:val="0"/>
          <w:numId w:val="1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投标人应完整、真实、准确地填写招标文件中提供的投标函、开标一览表、</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（如适用）以及招标文件中规定的其它所有内容。</w:t>
      </w:r>
    </w:p>
    <w:p>
      <w:pPr>
        <w:pStyle w:val="46"/>
        <w:numPr>
          <w:ilvl w:val="0"/>
          <w:numId w:val="1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46"/>
        <w:numPr>
          <w:ilvl w:val="0"/>
          <w:numId w:val="1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投标人必须对投标文件所提供的全部资料的真实性承担法律责任，并无条件接受采购人和监督管理部门对其中任何资料进行核实（核对原件）的要求。</w:t>
      </w:r>
    </w:p>
    <w:p>
      <w:pPr>
        <w:pStyle w:val="46"/>
        <w:numPr>
          <w:ilvl w:val="0"/>
          <w:numId w:val="1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如果因为投标人的投标文件只填写和提供了本招标文件要求的部分内容和附件，或没有提供招标文件中所要求的全部资料及数据，由此造成的后果和责任由投标人承担。</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投标报价</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投标人应按照“第二部分</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采购需求”中采购项目服务要求规定的内容、责任范围进行报价。并按《开标一览表》及《</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》（如适用）的要求报出总价和分项价格。</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投标分项报价表内容应包含：</w:t>
      </w:r>
    </w:p>
    <w:p>
      <w:pPr>
        <w:pStyle w:val="46"/>
        <w:numPr>
          <w:ilvl w:val="2"/>
          <w:numId w:val="1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招标文件要求全部货物及服务所需的费用；</w:t>
      </w:r>
    </w:p>
    <w:p>
      <w:pPr>
        <w:pStyle w:val="46"/>
        <w:numPr>
          <w:ilvl w:val="2"/>
          <w:numId w:val="1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投标报价包含履行合同所有相关内容所需的费用；</w:t>
      </w:r>
    </w:p>
    <w:p>
      <w:pPr>
        <w:pStyle w:val="46"/>
        <w:numPr>
          <w:ilvl w:val="2"/>
          <w:numId w:val="1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投标报价均应包含所有的税费；</w:t>
      </w:r>
    </w:p>
    <w:p>
      <w:pPr>
        <w:pStyle w:val="46"/>
        <w:numPr>
          <w:ilvl w:val="2"/>
          <w:numId w:val="1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其他一切隐含及不可预见的费用。</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投标报价为本次招标内容的总价包干，投标报价即为合同价，不得在中标后提出任何增加费用要求，投标人在投标时应充分考虑相关风险性因素。</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投标人在中标并签署合同后，服务期限内出现的任何遗漏，均由中标人负责，采购人将不再支付任何费用。</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Cs/>
          <w:color w:val="000000" w:themeColor="text1"/>
          <w:sz w:val="24"/>
          <w:szCs w:val="24"/>
          <w14:textFill>
            <w14:solidFill>
              <w14:schemeClr w14:val="tx1"/>
            </w14:solidFill>
          </w14:textFill>
        </w:rPr>
        <w:t>中另有规定外，投标人所报的投标价在合同执行过程中是固定不变的，不得以任何理由予以变更。任何包含价格调整要求的投标被认为是非实质性响应投标而予以拒绝。</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Cs/>
          <w:color w:val="000000" w:themeColor="text1"/>
          <w:sz w:val="24"/>
          <w:szCs w:val="24"/>
          <w14:textFill>
            <w14:solidFill>
              <w14:schemeClr w14:val="tx1"/>
            </w14:solidFill>
          </w14:textFill>
        </w:rPr>
        <w:t>中允许有备选方案外，本次招标不接受选择性报价，否则将被视为无效投标。</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Cs/>
          <w:color w:val="000000" w:themeColor="text1"/>
          <w:sz w:val="24"/>
          <w:szCs w:val="24"/>
          <w14:textFill>
            <w14:solidFill>
              <w14:schemeClr w14:val="tx1"/>
            </w14:solidFill>
          </w14:textFill>
        </w:rPr>
        <w:t>另有规定外，本次招标不接受具有附加条件的报价，否则将被视为无效投标。</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投标人的投标报价高于采购预算或最高单价限价的，该投标人的投标文件将被视为非响应性报价作无效投标处理。</w:t>
      </w:r>
    </w:p>
    <w:p>
      <w:pPr>
        <w:pStyle w:val="46"/>
        <w:numPr>
          <w:ilvl w:val="0"/>
          <w:numId w:val="1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中标人向采购代理机构交纳中标服务费，中标服务费不在投标报价中单列。</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投标货币</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投标货币以人民币标价，以其它货币标价的投标将予以拒绝。</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联合体投标</w:t>
      </w:r>
    </w:p>
    <w:p>
      <w:pPr>
        <w:pStyle w:val="46"/>
        <w:numPr>
          <w:ilvl w:val="0"/>
          <w:numId w:val="1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除非</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中另有规定，不接受联合体投标。如果投标邀请中规定允许联合体投标的，则必须满足：</w:t>
      </w:r>
    </w:p>
    <w:p>
      <w:pPr>
        <w:pStyle w:val="46"/>
        <w:numPr>
          <w:ilvl w:val="0"/>
          <w:numId w:val="18"/>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联合体形式进行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pPr>
        <w:pStyle w:val="46"/>
        <w:numPr>
          <w:ilvl w:val="0"/>
          <w:numId w:val="18"/>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联合体各方签订共同投标协议书后，不得再以自己名义单独在同一项目（采购包）中投标，也不得组成新的联合体参加同一项目（采购包）投标，若违反规定则其参与的所有投标将视为无效投标；</w:t>
      </w:r>
    </w:p>
    <w:p>
      <w:pPr>
        <w:pStyle w:val="46"/>
        <w:numPr>
          <w:ilvl w:val="0"/>
          <w:numId w:val="18"/>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联合体投标的，可以由联合体中的一方或者共同提交投标保证金，以一方名义提交投标保证金的，对联合体各方均具有约束力；</w:t>
      </w:r>
    </w:p>
    <w:p>
      <w:pPr>
        <w:pStyle w:val="46"/>
        <w:numPr>
          <w:ilvl w:val="0"/>
          <w:numId w:val="18"/>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联合体中有同类资质的投标人按照联合体分工承担相同工作的，按照资质等级较低的投标人确定资质等级。</w:t>
      </w:r>
    </w:p>
    <w:p>
      <w:pPr>
        <w:pStyle w:val="46"/>
        <w:numPr>
          <w:ilvl w:val="0"/>
          <w:numId w:val="18"/>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联合体各方应当共同与采购人签订采购合同，就采购合同约定的事项对采购人承担连带责任。</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61" w:name="_Toc357676125"/>
      <w:r>
        <w:rPr>
          <w:rFonts w:hint="eastAsia" w:ascii="宋体" w:hAnsi="宋体" w:eastAsia="宋体" w:cs="宋体"/>
          <w:b/>
          <w:color w:val="000000" w:themeColor="text1"/>
          <w:sz w:val="24"/>
          <w:szCs w:val="28"/>
          <w14:textFill>
            <w14:solidFill>
              <w14:schemeClr w14:val="tx1"/>
            </w14:solidFill>
          </w14:textFill>
        </w:rPr>
        <w:t>关于中小微企业投标</w:t>
      </w:r>
    </w:p>
    <w:p>
      <w:pPr>
        <w:pStyle w:val="46"/>
        <w:numPr>
          <w:ilvl w:val="0"/>
          <w:numId w:val="19"/>
        </w:numPr>
        <w:spacing w:line="360" w:lineRule="auto"/>
        <w:ind w:left="567" w:hanging="567" w:firstLineChars="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中小微企业响应是指在采购活动中，供应商提供的货物均由中小微企业制造、工程均由中小微企业承建或者服务均由中小微企业承接，并在投标文件中提供《中小企业声明函》。</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证明投标人合格和资格的文件</w:t>
      </w:r>
      <w:bookmarkEnd w:id="61"/>
    </w:p>
    <w:p>
      <w:pPr>
        <w:pStyle w:val="46"/>
        <w:numPr>
          <w:ilvl w:val="0"/>
          <w:numId w:val="2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pPr>
        <w:pStyle w:val="46"/>
        <w:numPr>
          <w:ilvl w:val="0"/>
          <w:numId w:val="2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投标人提交的资格证明文件应证明其满足本须知定义的合格投标人。</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投标担保</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投标人投标时须附有投标保证金为：</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投标保证金作为供应商投标的组成部分，与投标文件一同递交。</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投标人应按要求提交投标保证金，投标保证金应当以支票、汇票、本票或者金融机构、担保机构出具的保函等非现金形式提交。投标人与交款人名称必须一致，非投标人缴纳的投标保证金无效。</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如项目出现分包情况的，投标人必须按包号分别提交投标保证金并注明包号；</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提交保证金时应符合下列规定：</w:t>
      </w:r>
    </w:p>
    <w:p>
      <w:pPr>
        <w:pStyle w:val="46"/>
        <w:numPr>
          <w:ilvl w:val="0"/>
          <w:numId w:val="22"/>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投标保证金以转账形式递交的，请务必按以下信息填写汇款单：</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账户上；</w:t>
      </w:r>
    </w:p>
    <w:p>
      <w:pPr>
        <w:pStyle w:val="46"/>
        <w:numPr>
          <w:ilvl w:val="0"/>
          <w:numId w:val="22"/>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采用《政府采购投标担保函》递交的，投标担保函有效期应与投标有效期一致。</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未中标的投标人的投标保证金将在本项目《中标通知书》发出之日起5个工作日内退还。中标人的投标保证金自采购合同签订之日起5个工作日内退还。</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中标人有下列情形之一的，投标保证金将被没收：</w:t>
      </w:r>
    </w:p>
    <w:p>
      <w:pPr>
        <w:pStyle w:val="46"/>
        <w:numPr>
          <w:ilvl w:val="0"/>
          <w:numId w:val="2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投标人在招标文件中规定的投标有效期内撤销其投标文件；</w:t>
      </w:r>
    </w:p>
    <w:p>
      <w:pPr>
        <w:pStyle w:val="46"/>
        <w:numPr>
          <w:ilvl w:val="0"/>
          <w:numId w:val="2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提供虚假材料谋取中标的；</w:t>
      </w:r>
    </w:p>
    <w:p>
      <w:pPr>
        <w:pStyle w:val="46"/>
        <w:numPr>
          <w:ilvl w:val="0"/>
          <w:numId w:val="2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中标后，无正当理由放弃中标资格；</w:t>
      </w:r>
    </w:p>
    <w:p>
      <w:pPr>
        <w:pStyle w:val="46"/>
        <w:numPr>
          <w:ilvl w:val="0"/>
          <w:numId w:val="2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中标后，无正当理由不与采购人签订合同；</w:t>
      </w:r>
    </w:p>
    <w:p>
      <w:pPr>
        <w:pStyle w:val="46"/>
        <w:numPr>
          <w:ilvl w:val="0"/>
          <w:numId w:val="2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法律法规规定的其它行为。</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投标有效期</w:t>
      </w:r>
    </w:p>
    <w:p>
      <w:pPr>
        <w:pStyle w:val="46"/>
        <w:numPr>
          <w:ilvl w:val="0"/>
          <w:numId w:val="24"/>
        </w:numPr>
        <w:spacing w:line="360" w:lineRule="auto"/>
        <w:ind w:left="567" w:hanging="567"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投标</w:t>
      </w:r>
      <w:r>
        <w:rPr>
          <w:rFonts w:hint="eastAsia" w:ascii="宋体" w:hAnsi="宋体" w:eastAsia="宋体" w:cs="宋体"/>
          <w:color w:val="000000" w:themeColor="text1"/>
          <w:sz w:val="24"/>
          <w:szCs w:val="28"/>
          <w14:textFill>
            <w14:solidFill>
              <w14:schemeClr w14:val="tx1"/>
            </w14:solidFill>
          </w14:textFill>
        </w:rPr>
        <w:t>有效期自招标文件规定的</w:t>
      </w:r>
      <w:r>
        <w:rPr>
          <w:rFonts w:hint="eastAsia" w:ascii="宋体" w:hAnsi="宋体" w:eastAsia="宋体" w:cs="宋体"/>
          <w:bCs/>
          <w:color w:val="000000" w:themeColor="text1"/>
          <w:spacing w:val="-2"/>
          <w:sz w:val="24"/>
          <w:szCs w:val="24"/>
          <w14:textFill>
            <w14:solidFill>
              <w14:schemeClr w14:val="tx1"/>
            </w14:solidFill>
          </w14:textFill>
        </w:rPr>
        <w:t>投标文件</w:t>
      </w:r>
      <w:r>
        <w:rPr>
          <w:rFonts w:hint="eastAsia" w:ascii="宋体" w:hAnsi="宋体" w:eastAsia="宋体" w:cs="宋体"/>
          <w:color w:val="000000" w:themeColor="text1"/>
          <w:sz w:val="24"/>
          <w:szCs w:val="28"/>
          <w14:textFill>
            <w14:solidFill>
              <w14:schemeClr w14:val="tx1"/>
            </w14:solidFill>
          </w14:textFill>
        </w:rPr>
        <w:t>递交截止时间起算</w:t>
      </w:r>
      <w:r>
        <w:rPr>
          <w:rFonts w:hint="eastAsia" w:ascii="宋体" w:hAnsi="宋体" w:eastAsia="宋体" w:cs="宋体"/>
          <w:bCs/>
          <w:color w:val="000000" w:themeColor="text1"/>
          <w:spacing w:val="-2"/>
          <w:sz w:val="24"/>
          <w:szCs w:val="24"/>
          <w14:textFill>
            <w14:solidFill>
              <w14:schemeClr w14:val="tx1"/>
            </w14:solidFill>
          </w14:textFill>
        </w:rPr>
        <w:t>，并在</w:t>
      </w:r>
      <w:r>
        <w:rPr>
          <w:rFonts w:hint="eastAsia" w:ascii="宋体" w:hAnsi="宋体" w:eastAsia="宋体" w:cs="宋体"/>
          <w:b/>
          <w:color w:val="000000" w:themeColor="text1"/>
          <w:sz w:val="24"/>
          <w:szCs w:val="24"/>
          <w:u w:val="single"/>
          <w14:textFill>
            <w14:solidFill>
              <w14:schemeClr w14:val="tx1"/>
            </w14:solidFill>
          </w14:textFill>
        </w:rPr>
        <w:t>投标须知前附表</w:t>
      </w:r>
      <w:r>
        <w:rPr>
          <w:rFonts w:hint="eastAsia" w:ascii="宋体" w:hAnsi="宋体" w:eastAsia="宋体" w:cs="宋体"/>
          <w:color w:val="000000" w:themeColor="text1"/>
          <w:sz w:val="24"/>
          <w:szCs w:val="28"/>
          <w14:textFill>
            <w14:solidFill>
              <w14:schemeClr w14:val="tx1"/>
            </w14:solidFill>
          </w14:textFill>
        </w:rPr>
        <w:t>中所述期限内有效</w:t>
      </w:r>
      <w:r>
        <w:rPr>
          <w:rFonts w:hint="eastAsia" w:ascii="宋体" w:hAnsi="宋体" w:eastAsia="宋体" w:cs="宋体"/>
          <w:bCs/>
          <w:color w:val="000000" w:themeColor="text1"/>
          <w:spacing w:val="-2"/>
          <w:sz w:val="24"/>
          <w:szCs w:val="24"/>
          <w14:textFill>
            <w14:solidFill>
              <w14:schemeClr w14:val="tx1"/>
            </w14:solidFill>
          </w14:textFill>
        </w:rPr>
        <w:t>。投标有效期</w:t>
      </w:r>
      <w:r>
        <w:rPr>
          <w:rFonts w:hint="eastAsia" w:ascii="宋体" w:hAnsi="宋体" w:eastAsia="宋体" w:cs="宋体"/>
          <w:color w:val="000000" w:themeColor="text1"/>
          <w:sz w:val="24"/>
          <w:szCs w:val="28"/>
          <w14:textFill>
            <w14:solidFill>
              <w14:schemeClr w14:val="tx1"/>
            </w14:solidFill>
          </w14:textFill>
        </w:rPr>
        <w:t>比规定时间短</w:t>
      </w:r>
      <w:r>
        <w:rPr>
          <w:rFonts w:hint="eastAsia" w:ascii="宋体" w:hAnsi="宋体" w:eastAsia="宋体" w:cs="宋体"/>
          <w:bCs/>
          <w:color w:val="000000" w:themeColor="text1"/>
          <w:spacing w:val="-2"/>
          <w:sz w:val="24"/>
          <w:szCs w:val="24"/>
          <w14:textFill>
            <w14:solidFill>
              <w14:schemeClr w14:val="tx1"/>
            </w14:solidFill>
          </w14:textFill>
        </w:rPr>
        <w:t>的投标将被视为非实质性响应，视为无效投标。</w:t>
      </w:r>
    </w:p>
    <w:p>
      <w:pPr>
        <w:pStyle w:val="46"/>
        <w:numPr>
          <w:ilvl w:val="0"/>
          <w:numId w:val="24"/>
        </w:numPr>
        <w:spacing w:line="360" w:lineRule="auto"/>
        <w:ind w:left="567" w:hanging="567"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出现特殊情况需延长投标有效期的，采购人或采购代理机构可于投标有效期满之前要求投标人同意延长有效期，要求与答复均以书面形式通知所有投标人。投标人同意延长的，应相应延长其投标保证金的有效期，但不得要求或被允许修改或撤销其投标文件；投标人可以拒绝延长有效期，但其投标将会被视为无效，拒绝延长有效期的投标人有权收回其投标保证金。</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62" w:name="_Toc357676129"/>
      <w:r>
        <w:rPr>
          <w:rFonts w:hint="eastAsia" w:ascii="宋体" w:hAnsi="宋体" w:eastAsia="宋体" w:cs="宋体"/>
          <w:b/>
          <w:color w:val="000000" w:themeColor="text1"/>
          <w:sz w:val="24"/>
          <w:szCs w:val="28"/>
          <w14:textFill>
            <w14:solidFill>
              <w14:schemeClr w14:val="tx1"/>
            </w14:solidFill>
          </w14:textFill>
        </w:rPr>
        <w:t>投标文件的式样和签署</w:t>
      </w:r>
      <w:bookmarkEnd w:id="62"/>
    </w:p>
    <w:p>
      <w:pPr>
        <w:pStyle w:val="46"/>
        <w:numPr>
          <w:ilvl w:val="0"/>
          <w:numId w:val="2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投标文件的式样：投标人应准备一份投标文件正本、电子文件、唱标信封和</w:t>
      </w:r>
      <w:bookmarkStart w:id="63" w:name="_Hlk81180014"/>
      <w:r>
        <w:rPr>
          <w:rFonts w:hint="eastAsia" w:ascii="宋体" w:hAnsi="宋体" w:eastAsia="宋体" w:cs="宋体"/>
          <w:b/>
          <w:color w:val="000000" w:themeColor="text1"/>
          <w:sz w:val="24"/>
          <w:szCs w:val="24"/>
          <w:u w:val="single"/>
          <w14:textFill>
            <w14:solidFill>
              <w14:schemeClr w14:val="tx1"/>
            </w14:solidFill>
          </w14:textFill>
        </w:rPr>
        <w:t>详见投标须知前附表</w:t>
      </w:r>
      <w:bookmarkEnd w:id="63"/>
      <w:r>
        <w:rPr>
          <w:rFonts w:hint="eastAsia" w:ascii="宋体" w:hAnsi="宋体" w:eastAsia="宋体" w:cs="宋体"/>
          <w:bCs/>
          <w:color w:val="000000" w:themeColor="text1"/>
          <w:sz w:val="24"/>
          <w:szCs w:val="24"/>
          <w14:textFill>
            <w14:solidFill>
              <w14:schemeClr w14:val="tx1"/>
            </w14:solidFill>
          </w14:textFill>
        </w:rPr>
        <w:t>中规定数目的副本，投标文件的副本可采用正本的复印件。每套投标文件须清楚地标明“正本”或“副本”。若副本与正本不符，以正本为准。</w:t>
      </w:r>
    </w:p>
    <w:p>
      <w:pPr>
        <w:pStyle w:val="46"/>
        <w:numPr>
          <w:ilvl w:val="0"/>
          <w:numId w:val="2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投标文件的签署：</w:t>
      </w:r>
    </w:p>
    <w:p>
      <w:pPr>
        <w:pStyle w:val="46"/>
        <w:numPr>
          <w:ilvl w:val="2"/>
          <w:numId w:val="2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pPr>
        <w:pStyle w:val="46"/>
        <w:numPr>
          <w:ilvl w:val="2"/>
          <w:numId w:val="2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投标文件中的任何重要的插字、涂改和增删，必须由法定代表人或经其正式授权的代表在旁边签署。</w:t>
      </w:r>
    </w:p>
    <w:p>
      <w:pPr>
        <w:pStyle w:val="46"/>
        <w:numPr>
          <w:ilvl w:val="0"/>
          <w:numId w:val="2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投标文件的“正本”及所有“副本”的封面及骑缝均须由投标人加盖投标人公章。</w:t>
      </w: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eastAsia="zh-CN"/>
          <w14:textFill>
            <w14:solidFill>
              <w14:schemeClr w14:val="tx1"/>
            </w14:solidFill>
          </w14:textFill>
        </w:rPr>
        <w:t>投标文件的递交</w:t>
      </w:r>
      <w:bookmarkEnd w:id="58"/>
      <w:bookmarkEnd w:id="59"/>
    </w:p>
    <w:p>
      <w:pPr>
        <w:pStyle w:val="46"/>
        <w:numPr>
          <w:ilvl w:val="0"/>
          <w:numId w:val="3"/>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bookmarkStart w:id="64" w:name="_Toc357676131"/>
      <w:r>
        <w:rPr>
          <w:rFonts w:hint="eastAsia" w:ascii="宋体" w:hAnsi="宋体" w:eastAsia="宋体" w:cs="宋体"/>
          <w:b/>
          <w:color w:val="000000" w:themeColor="text1"/>
          <w:sz w:val="24"/>
          <w:szCs w:val="24"/>
          <w14:textFill>
            <w14:solidFill>
              <w14:schemeClr w14:val="tx1"/>
            </w14:solidFill>
          </w14:textFill>
        </w:rPr>
        <w:t>投标文件的装订、密封和标记</w:t>
      </w:r>
      <w:bookmarkEnd w:id="64"/>
    </w:p>
    <w:p>
      <w:pPr>
        <w:pStyle w:val="46"/>
        <w:numPr>
          <w:ilvl w:val="0"/>
          <w:numId w:val="2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投标人应当对投标文件进行装订（所有文件均不允许采用活动夹方式装订），如投标人对招标文件多个包组进行投标的，其投标文件的编制应按每个包的要求分别装订和封装。</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785"/>
        <w:gridCol w:w="182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6"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413"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文件名称</w:t>
            </w:r>
          </w:p>
        </w:tc>
        <w:tc>
          <w:tcPr>
            <w:tcW w:w="926"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装订</w:t>
            </w:r>
          </w:p>
        </w:tc>
        <w:tc>
          <w:tcPr>
            <w:tcW w:w="2264"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w:t>
            </w:r>
          </w:p>
        </w:tc>
        <w:tc>
          <w:tcPr>
            <w:tcW w:w="92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独立装订</w:t>
            </w:r>
          </w:p>
        </w:tc>
        <w:tc>
          <w:tcPr>
            <w:tcW w:w="22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正本、副本一起密封包装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1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唱标信封</w:t>
            </w:r>
          </w:p>
        </w:tc>
        <w:tc>
          <w:tcPr>
            <w:tcW w:w="92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独立装订</w:t>
            </w:r>
          </w:p>
        </w:tc>
        <w:tc>
          <w:tcPr>
            <w:tcW w:w="22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单独密封包装(内附电子文件)</w:t>
            </w:r>
          </w:p>
        </w:tc>
      </w:tr>
    </w:tbl>
    <w:p>
      <w:pPr>
        <w:pStyle w:val="46"/>
        <w:numPr>
          <w:ilvl w:val="0"/>
          <w:numId w:val="2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电子文件</w:t>
      </w:r>
      <w:bookmarkStart w:id="65" w:name="_Hlk86740118"/>
      <w:r>
        <w:rPr>
          <w:rFonts w:hint="eastAsia" w:ascii="宋体" w:hAnsi="宋体" w:eastAsia="宋体" w:cs="宋体"/>
          <w:bCs/>
          <w:color w:val="000000" w:themeColor="text1"/>
          <w:sz w:val="24"/>
          <w:szCs w:val="24"/>
          <w14:textFill>
            <w14:solidFill>
              <w14:schemeClr w14:val="tx1"/>
            </w14:solidFill>
          </w14:textFill>
        </w:rPr>
        <w:t>须同时提交以下文件</w:t>
      </w:r>
      <w:bookmarkEnd w:id="65"/>
      <w:r>
        <w:rPr>
          <w:rFonts w:hint="eastAsia" w:ascii="宋体" w:hAnsi="宋体" w:eastAsia="宋体" w:cs="宋体"/>
          <w:bCs/>
          <w:color w:val="000000" w:themeColor="text1"/>
          <w:sz w:val="24"/>
          <w:szCs w:val="24"/>
          <w14:textFill>
            <w14:solidFill>
              <w14:schemeClr w14:val="tx1"/>
            </w14:solidFill>
          </w14:textFill>
        </w:rPr>
        <w:t>：</w:t>
      </w:r>
      <w:bookmarkStart w:id="66" w:name="_Hlk86740096"/>
      <w:r>
        <w:rPr>
          <w:rFonts w:hint="eastAsia" w:ascii="宋体" w:hAnsi="宋体" w:eastAsia="宋体" w:cs="宋体"/>
          <w:bCs/>
          <w:color w:val="000000" w:themeColor="text1"/>
          <w:sz w:val="24"/>
          <w:szCs w:val="24"/>
          <w14:textFill>
            <w14:solidFill>
              <w14:schemeClr w14:val="tx1"/>
            </w14:solidFill>
          </w14:textFill>
        </w:rPr>
        <w:t>①可编辑的WORD或EXCEL格式文件。②按招标文件要求签署、盖章后的正本投标文件扫描成PDF格式文件。电子文件由U盘储存</w:t>
      </w:r>
      <w:bookmarkEnd w:id="66"/>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2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为方便开标唱标，投标人应将投标函、开标一览表、</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法定代表人身份证明书或法定代表人授权委托书、投标保证金缴付凭证、投标保证金汇入情况说明一起密封提交，若联合体投标，应将各方共同签署的《联合体投标协议》一并提交；并在信封上标明“唱标信封”的字样。</w:t>
      </w:r>
    </w:p>
    <w:p>
      <w:pPr>
        <w:pStyle w:val="46"/>
        <w:numPr>
          <w:ilvl w:val="0"/>
          <w:numId w:val="3"/>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包装密封</w:t>
      </w:r>
    </w:p>
    <w:p>
      <w:pPr>
        <w:pStyle w:val="46"/>
        <w:numPr>
          <w:ilvl w:val="0"/>
          <w:numId w:val="28"/>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投标人应将投标文件密封包装；</w:t>
      </w:r>
    </w:p>
    <w:p>
      <w:pPr>
        <w:pStyle w:val="46"/>
        <w:numPr>
          <w:ilvl w:val="0"/>
          <w:numId w:val="28"/>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不足以造成投标文件可从外包装内散出而导致投标文件泄密的，不认定为投标文件未密封。</w:t>
      </w:r>
    </w:p>
    <w:p>
      <w:pPr>
        <w:pStyle w:val="46"/>
        <w:numPr>
          <w:ilvl w:val="0"/>
          <w:numId w:val="28"/>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包装封套均应注明：</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（详见投标邀请函）         </w:t>
      </w:r>
    </w:p>
    <w:p>
      <w:pPr>
        <w:pStyle w:val="46"/>
        <w:spacing w:line="360" w:lineRule="auto"/>
        <w:ind w:left="567" w:firstLine="0" w:firstLineChars="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r>
        <w:rPr>
          <w:rFonts w:hint="eastAsia" w:ascii="宋体" w:hAnsi="宋体" w:eastAsia="宋体" w:cs="宋体"/>
          <w:bCs/>
          <w:color w:val="000000" w:themeColor="text1"/>
          <w:sz w:val="24"/>
          <w:szCs w:val="24"/>
          <w:u w:val="single"/>
          <w14:textFill>
            <w14:solidFill>
              <w14:schemeClr w14:val="tx1"/>
            </w14:solidFill>
          </w14:textFill>
        </w:rPr>
        <w:t xml:space="preserve">        （详见投标邀请函）         </w:t>
      </w:r>
    </w:p>
    <w:p>
      <w:pPr>
        <w:pStyle w:val="46"/>
        <w:spacing w:line="360" w:lineRule="auto"/>
        <w:ind w:left="567" w:firstLine="0" w:firstLineChars="0"/>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采购包号：</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注明：“</w:t>
      </w:r>
      <w:r>
        <w:rPr>
          <w:rFonts w:hint="eastAsia" w:ascii="宋体" w:hAnsi="宋体" w:eastAsia="宋体" w:cs="宋体"/>
          <w:bCs/>
          <w:color w:val="000000" w:themeColor="text1"/>
          <w:sz w:val="24"/>
          <w:szCs w:val="24"/>
          <w:u w:val="single"/>
          <w14:textFill>
            <w14:solidFill>
              <w14:schemeClr w14:val="tx1"/>
            </w14:solidFill>
          </w14:textFill>
        </w:rPr>
        <w:t xml:space="preserve">于  年  月  日北京时间  ：  </w:t>
      </w:r>
      <w:r>
        <w:rPr>
          <w:rFonts w:hint="eastAsia" w:ascii="宋体" w:hAnsi="宋体" w:eastAsia="宋体" w:cs="宋体"/>
          <w:bCs/>
          <w:color w:val="000000" w:themeColor="text1"/>
          <w:sz w:val="24"/>
          <w:szCs w:val="24"/>
          <w14:textFill>
            <w14:solidFill>
              <w14:schemeClr w14:val="tx1"/>
            </w14:solidFill>
          </w14:textFill>
        </w:rPr>
        <w:t>（详见投标邀请函）之前不得启封”的字样。</w:t>
      </w:r>
    </w:p>
    <w:p>
      <w:pPr>
        <w:pStyle w:val="46"/>
        <w:numPr>
          <w:ilvl w:val="0"/>
          <w:numId w:val="28"/>
        </w:numPr>
        <w:tabs>
          <w:tab w:val="left" w:pos="567"/>
        </w:tabs>
        <w:spacing w:line="360" w:lineRule="auto"/>
        <w:ind w:left="567" w:hanging="567" w:firstLineChars="0"/>
        <w:rPr>
          <w:rFonts w:hint="eastAsia" w:ascii="宋体" w:hAnsi="宋体" w:eastAsia="宋体" w:cs="宋体"/>
          <w:bCs/>
          <w:color w:val="000000" w:themeColor="text1"/>
          <w:spacing w:val="-4"/>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如果未按本须知上款要求加写标记和密封，采购代理机构对误投或提前启封概不负责。</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投标截止期</w:t>
      </w:r>
    </w:p>
    <w:p>
      <w:pPr>
        <w:pStyle w:val="46"/>
        <w:numPr>
          <w:ilvl w:val="0"/>
          <w:numId w:val="2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投标人应在不迟于</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中规定的截止日期和时间将投标文件递交至采购代理机构，递交地点应是</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中指明的地址。</w:t>
      </w:r>
    </w:p>
    <w:p>
      <w:pPr>
        <w:pStyle w:val="46"/>
        <w:numPr>
          <w:ilvl w:val="0"/>
          <w:numId w:val="2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采购代理机构将拒绝在规定的投标截止期后收到的任何投标文件。</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bookmarkStart w:id="67" w:name="_Toc357676133"/>
      <w:r>
        <w:rPr>
          <w:rFonts w:hint="eastAsia" w:ascii="宋体" w:hAnsi="宋体" w:eastAsia="宋体" w:cs="宋体"/>
          <w:b/>
          <w:color w:val="000000" w:themeColor="text1"/>
          <w:sz w:val="24"/>
          <w:szCs w:val="24"/>
          <w14:textFill>
            <w14:solidFill>
              <w14:schemeClr w14:val="tx1"/>
            </w14:solidFill>
          </w14:textFill>
        </w:rPr>
        <w:t>投标文件的修改和撤回</w:t>
      </w:r>
      <w:bookmarkEnd w:id="67"/>
    </w:p>
    <w:p>
      <w:pPr>
        <w:pStyle w:val="46"/>
        <w:numPr>
          <w:ilvl w:val="0"/>
          <w:numId w:val="3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投</w:t>
      </w:r>
      <w:r>
        <w:rPr>
          <w:rFonts w:hint="eastAsia" w:ascii="宋体" w:hAnsi="宋体" w:eastAsia="宋体" w:cs="宋体"/>
          <w:bCs/>
          <w:color w:val="000000" w:themeColor="text1"/>
          <w:sz w:val="24"/>
          <w:szCs w:val="24"/>
          <w14:textFill>
            <w14:solidFill>
              <w14:schemeClr w14:val="tx1"/>
            </w14:solidFill>
          </w14:textFill>
        </w:rPr>
        <w:t>标人在投标截止时间前，可以对所递交的投标文件进行补充、修改或者撤回，并书面通知采购代理机构。补充、修改的内容应当按照招标文件要求签署、盖章，密封后，作为投标文件的组成部分。</w:t>
      </w:r>
    </w:p>
    <w:p>
      <w:pPr>
        <w:pStyle w:val="46"/>
        <w:numPr>
          <w:ilvl w:val="0"/>
          <w:numId w:val="3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在投标截止时间之后，投标人不得对其投标文件做任何修改和补充。</w:t>
      </w:r>
    </w:p>
    <w:p>
      <w:pPr>
        <w:pStyle w:val="46"/>
        <w:numPr>
          <w:ilvl w:val="0"/>
          <w:numId w:val="3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在提交投标文件截止时间至投标有效期满之前，投标人不得撤回其投标文件。</w:t>
      </w: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68" w:name="_Toc30576"/>
      <w:bookmarkStart w:id="69" w:name="_Toc4982"/>
      <w:r>
        <w:rPr>
          <w:rFonts w:hint="eastAsia" w:ascii="微软雅黑" w:hAnsi="微软雅黑" w:eastAsia="微软雅黑" w:cs="微软雅黑"/>
          <w:b/>
          <w:bCs/>
          <w:color w:val="000000" w:themeColor="text1"/>
          <w:sz w:val="28"/>
          <w:szCs w:val="28"/>
          <w:lang w:eastAsia="zh-CN"/>
          <w14:textFill>
            <w14:solidFill>
              <w14:schemeClr w14:val="tx1"/>
            </w14:solidFill>
          </w14:textFill>
        </w:rPr>
        <w:t>开标与评标准则</w:t>
      </w:r>
      <w:bookmarkEnd w:id="68"/>
      <w:bookmarkEnd w:id="69"/>
    </w:p>
    <w:p>
      <w:pPr>
        <w:pStyle w:val="46"/>
        <w:numPr>
          <w:ilvl w:val="0"/>
          <w:numId w:val="3"/>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采购代理机构按</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中规定的日期、时间和地点组织公开开标。开标时邀请所有投标人代表参加。参加开标的法定代表人或其授权代表携带有效身份证签名报到以证明其出席。</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开标由采购代理机构主持，邀请投标人参加。评标委员会成员不得参加开标活动。</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投标人不足3家的，不得开标。</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开标时，由投标人或其推选的代表检查投标文件的密封情况；经确认无误后，由采购人或采购代理机构工作人员当众拆封，宣布投标人名称、投标价格和招标文件规定的需要宣布的其他内容。</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开标过程应当由采购人或者采购代理机构负责记录，由参加开标的各投标人代表和相关工作人员签字确认。</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6"/>
        <w:numPr>
          <w:ilvl w:val="0"/>
          <w:numId w:val="31"/>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投标人未参加开标的，视同认可开标结果。</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评标委员会和评标方法</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评标由依照政府采购法律、法规、规章、政策的规定，组建的评标委员会负责。</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评标委员会由采购人代表和评审专家组成，成员人数应为</w:t>
      </w:r>
      <w:r>
        <w:rPr>
          <w:rFonts w:hint="eastAsia" w:ascii="宋体" w:hAnsi="宋体" w:eastAsia="宋体" w:cs="宋体"/>
          <w:b/>
          <w:color w:val="000000" w:themeColor="text1"/>
          <w:sz w:val="24"/>
          <w:szCs w:val="24"/>
          <w:u w:val="single"/>
          <w14:textFill>
            <w14:solidFill>
              <w14:schemeClr w14:val="tx1"/>
            </w14:solidFill>
          </w14:textFill>
        </w:rPr>
        <w:t>详见投标人须知前附表</w:t>
      </w:r>
      <w:r>
        <w:rPr>
          <w:rFonts w:hint="eastAsia" w:ascii="宋体" w:hAnsi="宋体" w:eastAsia="宋体" w:cs="宋体"/>
          <w:bCs/>
          <w:color w:val="000000" w:themeColor="text1"/>
          <w:sz w:val="24"/>
          <w:szCs w:val="24"/>
          <w14:textFill>
            <w14:solidFill>
              <w14:schemeClr w14:val="tx1"/>
            </w14:solidFill>
          </w14:textFill>
        </w:rPr>
        <w:t>，其中评审专家不得少于成员总数的三分之二。</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评标委员会成员依法从广东省综合评标评审专家库中，通过随机方式抽取。</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评标委员会将按照招标文件确定的评标方法进行评标。评标委员会对投标文件的评审分为符合性检查和商务评审、技术评审、价格评审。</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本次评标采用</w:t>
      </w:r>
      <w:r>
        <w:rPr>
          <w:rFonts w:hint="eastAsia" w:ascii="宋体" w:hAnsi="宋体" w:eastAsia="宋体" w:cs="宋体"/>
          <w:b/>
          <w:bCs/>
          <w:color w:val="000000" w:themeColor="text1"/>
          <w:sz w:val="24"/>
          <w:szCs w:val="24"/>
          <w:u w:val="single"/>
          <w14:textFill>
            <w14:solidFill>
              <w14:schemeClr w14:val="tx1"/>
            </w14:solidFill>
          </w14:textFill>
        </w:rPr>
        <w:t xml:space="preserve"> 详见投标须知前附表 </w:t>
      </w:r>
      <w:r>
        <w:rPr>
          <w:rFonts w:hint="eastAsia" w:ascii="宋体" w:hAnsi="宋体" w:eastAsia="宋体" w:cs="宋体"/>
          <w:bCs/>
          <w:color w:val="000000" w:themeColor="text1"/>
          <w:sz w:val="24"/>
          <w:szCs w:val="24"/>
          <w14:textFill>
            <w14:solidFill>
              <w14:schemeClr w14:val="tx1"/>
            </w14:solidFill>
          </w14:textFill>
        </w:rPr>
        <w:t>中选定的方法，具体见招标文件第五部分“评标方法、步骤、标准”。</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投标文件的资格性与符合性审查</w:t>
      </w:r>
    </w:p>
    <w:p>
      <w:pPr>
        <w:pStyle w:val="46"/>
        <w:numPr>
          <w:ilvl w:val="0"/>
          <w:numId w:val="33"/>
        </w:numPr>
        <w:tabs>
          <w:tab w:val="left" w:pos="426"/>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资格性审查：</w:t>
      </w:r>
      <w:bookmarkStart w:id="70" w:name="_Hlk90649924"/>
      <w:bookmarkStart w:id="71" w:name="_Hlk79422321"/>
      <w:r>
        <w:rPr>
          <w:rFonts w:hint="eastAsia" w:ascii="宋体" w:hAnsi="宋体" w:eastAsia="宋体" w:cs="宋体"/>
          <w:bCs/>
          <w:color w:val="000000" w:themeColor="text1"/>
          <w:sz w:val="24"/>
          <w:szCs w:val="24"/>
          <w14:textFill>
            <w14:solidFill>
              <w14:schemeClr w14:val="tx1"/>
            </w14:solidFill>
          </w14:textFill>
        </w:rPr>
        <w:t>公开招标采购项目开标结束后</w:t>
      </w:r>
      <w:bookmarkEnd w:id="70"/>
      <w:r>
        <w:rPr>
          <w:rFonts w:hint="eastAsia" w:ascii="宋体" w:hAnsi="宋体" w:eastAsia="宋体" w:cs="宋体"/>
          <w:bCs/>
          <w:color w:val="000000" w:themeColor="text1"/>
          <w:sz w:val="24"/>
          <w:szCs w:val="24"/>
          <w14:textFill>
            <w14:solidFill>
              <w14:schemeClr w14:val="tx1"/>
            </w14:solidFill>
          </w14:textFill>
        </w:rPr>
        <w:t>，采购人或者采购代理机构应当依法对投标人的资格进行审查</w:t>
      </w:r>
      <w:bookmarkEnd w:id="71"/>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3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符合性审查：评标委员会对符合资格的投标人的投标文件进行符合性审查，以确定其是否满足招标文件实质性要求。</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投标文件的澄清</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评标期间，对于投标文件中含义不明确、同类问题表述不一致或者有明显文字和计算错误的内容，评标委员会以书面的形式要求投标人作出必要的澄清、说明或者补正。</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投标人的澄清、说明或者补正采用书面形式，并加盖公章，或者由法定代表人或其授权的代表签字。投标人的澄清、说明或者补正不得超出投标文件的范围或者改变投标文件的实质性内容。</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投标人的澄清文件是其投标文件的组成部分。</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定标原则与授标</w:t>
      </w:r>
    </w:p>
    <w:p>
      <w:pPr>
        <w:pStyle w:val="46"/>
        <w:numPr>
          <w:ilvl w:val="0"/>
          <w:numId w:val="3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评标委员会按照招标文件确定的评标方法、步骤、标准，对投标文件进行评审，提出书面评标报告。</w:t>
      </w:r>
    </w:p>
    <w:p>
      <w:pPr>
        <w:pStyle w:val="46"/>
        <w:numPr>
          <w:ilvl w:val="0"/>
          <w:numId w:val="3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采购代理机构自评标结束后2个工作日内将评标报告送采购人。采购人应当自收到评标报告之日起5个工作日内在评标报告确定的中标候选人名单中按顺序确定中标人。</w:t>
      </w:r>
    </w:p>
    <w:p>
      <w:pPr>
        <w:pStyle w:val="46"/>
        <w:widowControl/>
        <w:numPr>
          <w:ilvl w:val="0"/>
          <w:numId w:val="3"/>
        </w:numPr>
        <w:spacing w:line="360" w:lineRule="auto"/>
        <w:ind w:firstLineChars="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特别说明</w:t>
      </w:r>
    </w:p>
    <w:p>
      <w:pPr>
        <w:pStyle w:val="46"/>
        <w:widowControl/>
        <w:numPr>
          <w:ilvl w:val="0"/>
          <w:numId w:val="36"/>
        </w:numPr>
        <w:tabs>
          <w:tab w:val="left" w:pos="567"/>
        </w:tabs>
        <w:spacing w:line="360" w:lineRule="auto"/>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有下列情形之一的，视为投标人串通投标，其投标无效：</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不同投标人的投标文件由同一单位或者个人编制；</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不同投标人委托同一单位或者个人办理投标事宜；</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不同投标人的投标文件载明的项目管理成员或者联系人员为同一人；</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不同投标人的投标文件异常一致或者投标报价呈规律性差异；</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不同投标人的投标文件相互混装；</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不同投标人的投标保证金从同一单位或者个人的账户转出。</w:t>
      </w:r>
    </w:p>
    <w:p>
      <w:pPr>
        <w:pStyle w:val="46"/>
        <w:widowControl/>
        <w:numPr>
          <w:ilvl w:val="1"/>
          <w:numId w:val="3"/>
        </w:numPr>
        <w:spacing w:line="360" w:lineRule="auto"/>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投标人存在下列情况之一的，投标无效：</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未按照招标文件的规定提交投标保证金的；</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投标文件未按招标文件要求签署、盖章的；</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不具备招标文件中规定的资格要求的；</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报价超过招标文件中规定的预算金额或者最高限价的；</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投标文件含有采购人不能接受的附加条件的；</w:t>
      </w:r>
    </w:p>
    <w:p>
      <w:pPr>
        <w:pStyle w:val="46"/>
        <w:widowControl/>
        <w:numPr>
          <w:ilvl w:val="2"/>
          <w:numId w:val="3"/>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法律、法规和招标文件规定的其他无效情形。</w:t>
      </w:r>
    </w:p>
    <w:p>
      <w:pPr>
        <w:pStyle w:val="46"/>
        <w:widowControl/>
        <w:numPr>
          <w:ilvl w:val="2"/>
          <w:numId w:val="3"/>
        </w:numPr>
        <w:spacing w:line="360" w:lineRule="auto"/>
        <w:ind w:leftChars="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商务得分应不低于商务部分总分值的60%，否则就认定为无效投标人。</w:t>
      </w:r>
    </w:p>
    <w:p>
      <w:pPr>
        <w:pStyle w:val="46"/>
        <w:widowControl/>
        <w:numPr>
          <w:ilvl w:val="1"/>
          <w:numId w:val="3"/>
        </w:numPr>
        <w:spacing w:line="360" w:lineRule="auto"/>
        <w:ind w:leftChars="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废标</w:t>
      </w:r>
    </w:p>
    <w:p>
      <w:pPr>
        <w:pStyle w:val="46"/>
        <w:widowControl/>
        <w:numPr>
          <w:ilvl w:val="-1"/>
          <w:numId w:val="0"/>
        </w:numPr>
        <w:spacing w:line="360" w:lineRule="auto"/>
        <w:ind w:left="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在招标采购中，出现下列情形之一的，应予废标。</w:t>
      </w:r>
    </w:p>
    <w:p>
      <w:pPr>
        <w:pStyle w:val="46"/>
        <w:widowControl/>
        <w:numPr>
          <w:ilvl w:val="3"/>
          <w:numId w:val="37"/>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符合专业条件的供应商或者对招标文件作实质响应的供应商不足三家的；</w:t>
      </w:r>
    </w:p>
    <w:p>
      <w:pPr>
        <w:pStyle w:val="46"/>
        <w:widowControl/>
        <w:numPr>
          <w:ilvl w:val="3"/>
          <w:numId w:val="37"/>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出现影响采购公正的违法、违规行为的；</w:t>
      </w:r>
    </w:p>
    <w:p>
      <w:pPr>
        <w:pStyle w:val="46"/>
        <w:widowControl/>
        <w:numPr>
          <w:ilvl w:val="3"/>
          <w:numId w:val="37"/>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投标人的报价均超过了采购预算，采购人不能支付的；</w:t>
      </w:r>
    </w:p>
    <w:p>
      <w:pPr>
        <w:pStyle w:val="46"/>
        <w:widowControl/>
        <w:numPr>
          <w:ilvl w:val="3"/>
          <w:numId w:val="37"/>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因重大变故，采购任务取消的。</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询问、质疑、投诉</w:t>
      </w:r>
    </w:p>
    <w:p>
      <w:pPr>
        <w:pStyle w:val="46"/>
        <w:numPr>
          <w:ilvl w:val="0"/>
          <w:numId w:val="3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询问</w:t>
      </w:r>
    </w:p>
    <w:p>
      <w:pPr>
        <w:pStyle w:val="46"/>
        <w:numPr>
          <w:ilvl w:val="2"/>
          <w:numId w:val="3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供应商对采购活动事项有疑问的，可以向采购人或者采购代理机构提出询问，询问可以口头方式提出，也可以书面方式提出。</w:t>
      </w:r>
    </w:p>
    <w:p>
      <w:pPr>
        <w:pStyle w:val="46"/>
        <w:numPr>
          <w:ilvl w:val="2"/>
          <w:numId w:val="3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采用书面方式提出询问，供应商为自然人的，询问函应当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pPr>
        <w:pStyle w:val="46"/>
        <w:numPr>
          <w:ilvl w:val="2"/>
          <w:numId w:val="3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采购人或者采购代理机构在三个工作日内对供应商依法提出的询问作出答复。</w:t>
      </w:r>
    </w:p>
    <w:p>
      <w:pPr>
        <w:pStyle w:val="46"/>
        <w:numPr>
          <w:ilvl w:val="0"/>
          <w:numId w:val="3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p>
    <w:p>
      <w:pPr>
        <w:pStyle w:val="46"/>
        <w:numPr>
          <w:ilvl w:val="2"/>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p>
    <w:p>
      <w:pPr>
        <w:pStyle w:val="46"/>
        <w:numPr>
          <w:ilvl w:val="2"/>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提出质疑的供应商应当是参与所质疑项目采购活动的供应商。</w:t>
      </w:r>
    </w:p>
    <w:p>
      <w:pPr>
        <w:pStyle w:val="46"/>
        <w:numPr>
          <w:ilvl w:val="0"/>
          <w:numId w:val="3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提交要求：</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以书面形式向采购人或者采购代理机构一次性提出针对同一采购程序环节的质疑。</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以联合体形式参加采购活动的，其质疑应当由组成联合体的所有供应商共同提出</w:t>
      </w:r>
      <w:r>
        <w:rPr>
          <w:rFonts w:hint="eastAsia" w:ascii="宋体" w:hAnsi="宋体" w:eastAsia="宋体" w:cs="宋体"/>
          <w:bCs/>
          <w:color w:val="000000" w:themeColor="text1"/>
          <w:sz w:val="24"/>
          <w:szCs w:val="24"/>
          <w14:textFill>
            <w14:solidFill>
              <w14:schemeClr w14:val="tx1"/>
            </w14:solidFill>
          </w14:textFill>
        </w:rPr>
        <w:t>。</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捏造事实、提供虚假材料或者以非法手段取得证明材料不能作为质疑的证明材料。采购人或者采购代理机构在收到投标人的书面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pStyle w:val="46"/>
        <w:numPr>
          <w:ilvl w:val="2"/>
          <w:numId w:val="41"/>
        </w:numPr>
        <w:spacing w:line="360" w:lineRule="auto"/>
        <w:ind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采购人或采购代理机构接收以书面形式递交的质疑函，接收质疑函的</w:t>
      </w: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蔡工</w:t>
      </w:r>
      <w:r>
        <w:rPr>
          <w:rFonts w:hint="eastAsia" w:ascii="宋体" w:hAnsi="宋体" w:eastAsia="宋体" w:cs="宋体"/>
          <w:color w:val="000000" w:themeColor="text1"/>
          <w:sz w:val="24"/>
          <w:szCs w:val="24"/>
          <w14:textFill>
            <w14:solidFill>
              <w14:schemeClr w14:val="tx1"/>
            </w14:solidFill>
          </w14:textFill>
        </w:rPr>
        <w:t xml:space="preserve">       联系</w:t>
      </w:r>
      <w:r>
        <w:rPr>
          <w:rFonts w:hint="eastAsia" w:ascii="宋体" w:hAnsi="宋体" w:eastAsia="宋体" w:cs="宋体"/>
          <w:color w:val="000000" w:themeColor="text1"/>
          <w:sz w:val="24"/>
          <w:szCs w:val="24"/>
          <w:lang w:val="en-US" w:eastAsia="zh-CN"/>
          <w14:textFill>
            <w14:solidFill>
              <w14:schemeClr w14:val="tx1"/>
            </w14:solidFill>
          </w14:textFill>
        </w:rPr>
        <w:t>方式：13570220155,13570220155@139.com</w:t>
      </w:r>
    </w:p>
    <w:p>
      <w:pPr>
        <w:pStyle w:val="46"/>
        <w:numPr>
          <w:ilvl w:val="0"/>
          <w:numId w:val="3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投诉</w:t>
      </w:r>
    </w:p>
    <w:p>
      <w:pPr>
        <w:pStyle w:val="46"/>
        <w:widowControl/>
        <w:numPr>
          <w:ilvl w:val="2"/>
          <w:numId w:val="42"/>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疑供应商对采购人、采购代理机构的答复不满意，或者采购人、采购代理机构未在规定时间内作出答复的，可以在答复期满后15个工作日内根据《政府采购质疑和投诉办法》(财政部令第94号)第六条规定向财政部门提起投诉。</w:t>
      </w:r>
    </w:p>
    <w:p>
      <w:pPr>
        <w:pStyle w:val="46"/>
        <w:widowControl/>
        <w:numPr>
          <w:ilvl w:val="2"/>
          <w:numId w:val="42"/>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投诉人在全国范围12个月内三次以上投诉查无实据的，由财政部门列入不良行为记录名单。</w:t>
      </w:r>
    </w:p>
    <w:p>
      <w:pPr>
        <w:pStyle w:val="46"/>
        <w:widowControl/>
        <w:numPr>
          <w:ilvl w:val="2"/>
          <w:numId w:val="42"/>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诉人有下列行为之一的，属于虚假、恶意投诉，由财政部门列入不良行为记录名单，禁止其1至3年内参加采购活动：（一）捏造事实;（二）提供虚假材料;（三）以非法手段取得证明材料。证据来源的合法性存在明显疑问，投诉人无法证明其取得方式合法的，视为以非法手段取得证明材料。</w:t>
      </w:r>
    </w:p>
    <w:p>
      <w:pPr>
        <w:pStyle w:val="46"/>
        <w:widowControl/>
        <w:numPr>
          <w:ilvl w:val="2"/>
          <w:numId w:val="42"/>
        </w:numPr>
        <w:shd w:val="clear" w:color="auto" w:fill="FFFFFF"/>
        <w:wordWrap w:val="0"/>
        <w:spacing w:line="360" w:lineRule="auto"/>
        <w:ind w:firstLineChars="0"/>
        <w:jc w:val="left"/>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以联合体形式参加采购活动的，其投诉应当由组成联合体的所有供应商共同提出。</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中标通知书</w:t>
      </w:r>
    </w:p>
    <w:p>
      <w:pPr>
        <w:pStyle w:val="46"/>
        <w:numPr>
          <w:ilvl w:val="0"/>
          <w:numId w:val="4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采购人或者采购代理机构应当自中标人确定之日起2个工作日内在指定媒体公告中标结果和发出中标通知书，公告期为1个工作日。</w:t>
      </w:r>
    </w:p>
    <w:p>
      <w:pPr>
        <w:pStyle w:val="46"/>
        <w:numPr>
          <w:ilvl w:val="0"/>
          <w:numId w:val="4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《中标通知书》对中标人和采购人具有同等法律效力。</w:t>
      </w:r>
    </w:p>
    <w:p>
      <w:pPr>
        <w:pStyle w:val="46"/>
        <w:numPr>
          <w:ilvl w:val="0"/>
          <w:numId w:val="4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中标通知书发出后，采购人不得违法改变中标结果，中标人无正当理由不得放弃中标。</w:t>
      </w:r>
    </w:p>
    <w:p>
      <w:pPr>
        <w:pStyle w:val="46"/>
        <w:numPr>
          <w:ilvl w:val="0"/>
          <w:numId w:val="4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《中标通知书》将作为授予合同资格的合法依据，是合同的一个组成部分。</w:t>
      </w: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bookmarkStart w:id="72" w:name="_Toc304"/>
      <w:bookmarkStart w:id="73" w:name="_Toc30187"/>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授予合同</w:t>
      </w:r>
      <w:bookmarkEnd w:id="72"/>
      <w:bookmarkEnd w:id="73"/>
    </w:p>
    <w:p>
      <w:pPr>
        <w:pStyle w:val="46"/>
        <w:numPr>
          <w:ilvl w:val="0"/>
          <w:numId w:val="3"/>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合同的订立</w:t>
      </w:r>
    </w:p>
    <w:p>
      <w:pPr>
        <w:pStyle w:val="46"/>
        <w:numPr>
          <w:ilvl w:val="0"/>
          <w:numId w:val="4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采购人应当自《中标通知书》发出之日起30日内，按照招标文件和中标人投标文件的约定，与中标人签订书面合同。所签订的合同不得对招标文件确定的事项和中标人投标文件作实质性修改。</w:t>
      </w:r>
    </w:p>
    <w:p>
      <w:pPr>
        <w:pStyle w:val="46"/>
        <w:numPr>
          <w:ilvl w:val="0"/>
          <w:numId w:val="4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采购人或者采购代理机构不得向中标人提出任何不合理的要求，作为签订合同的条件，不得与中标人私下订立背离合同实质性内容的协议。</w:t>
      </w:r>
    </w:p>
    <w:p>
      <w:pPr>
        <w:pStyle w:val="46"/>
        <w:numPr>
          <w:ilvl w:val="0"/>
          <w:numId w:val="4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中标人拒绝与采购人签订合同的，采购人可以按照评审报告推荐的中标候选人名单排序，确定下一候选人为中标人，也可以重新开展采购活动。</w:t>
      </w:r>
    </w:p>
    <w:p>
      <w:pPr>
        <w:pStyle w:val="46"/>
        <w:numPr>
          <w:ilvl w:val="0"/>
          <w:numId w:val="3"/>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合同的履行</w:t>
      </w:r>
    </w:p>
    <w:p>
      <w:pPr>
        <w:pStyle w:val="46"/>
        <w:numPr>
          <w:ilvl w:val="0"/>
          <w:numId w:val="4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采购人和中标人应当根据合同的约定依法履行合同义务。</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采购合同订立后，合同各方不得擅自变更、中止或者终止合同。</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履约担保</w:t>
      </w:r>
    </w:p>
    <w:p>
      <w:pPr>
        <w:pStyle w:val="46"/>
        <w:numPr>
          <w:ilvl w:val="0"/>
          <w:numId w:val="46"/>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中标人应按</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color w:val="000000" w:themeColor="text1"/>
          <w:sz w:val="24"/>
          <w:szCs w:val="24"/>
          <w14:textFill>
            <w14:solidFill>
              <w14:schemeClr w14:val="tx1"/>
            </w14:solidFill>
          </w14:textFill>
        </w:rPr>
        <w:t>要求向采购人缴纳履约担保（如采用保函形式，格式详见招标文件第七部分投标文件格式—采购履约担保）。</w:t>
      </w:r>
      <w:bookmarkStart w:id="74" w:name="_Hlk116592131"/>
      <w:r>
        <w:rPr>
          <w:rFonts w:hint="eastAsia" w:ascii="宋体" w:hAnsi="宋体" w:eastAsia="宋体" w:cs="宋体"/>
          <w:color w:val="000000" w:themeColor="text1"/>
          <w:sz w:val="24"/>
          <w:szCs w:val="24"/>
          <w14:textFill>
            <w14:solidFill>
              <w14:schemeClr w14:val="tx1"/>
            </w14:solidFill>
          </w14:textFill>
        </w:rPr>
        <w:t>履约担保可以采用银行转账或者以专业担保机构、金融机构出具的担保函的形式缴交。</w:t>
      </w:r>
      <w:bookmarkEnd w:id="74"/>
      <w:r>
        <w:rPr>
          <w:rFonts w:hint="eastAsia" w:ascii="宋体" w:hAnsi="宋体" w:eastAsia="宋体" w:cs="宋体"/>
          <w:color w:val="000000" w:themeColor="text1"/>
          <w:sz w:val="24"/>
          <w:szCs w:val="24"/>
          <w14:textFill>
            <w14:solidFill>
              <w14:schemeClr w14:val="tx1"/>
            </w14:solidFill>
          </w14:textFill>
        </w:rPr>
        <w:t>履约保函的内容，应符合招标文件、投标响应文件和采购合同的要求。履约保函应在采购合同有效期满后28天内继续有效。</w:t>
      </w:r>
    </w:p>
    <w:p>
      <w:pPr>
        <w:pStyle w:val="46"/>
        <w:numPr>
          <w:ilvl w:val="0"/>
          <w:numId w:val="46"/>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在整个项目验收合格后，中标人向采购人提交退回履约保证金的申请，采购人办理履约保证金退还手续，将履约保证金退回原中标人的汇入账户。</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发票</w:t>
      </w:r>
    </w:p>
    <w:p>
      <w:pPr>
        <w:pStyle w:val="46"/>
        <w:numPr>
          <w:ilvl w:val="0"/>
          <w:numId w:val="47"/>
        </w:numPr>
        <w:spacing w:line="360" w:lineRule="auto"/>
        <w:ind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中标人与采购人签署合同后，开具发票时，开发票的单位名称必须与中标人的名称一致。</w:t>
      </w:r>
    </w:p>
    <w:p>
      <w:pPr>
        <w:pStyle w:val="46"/>
        <w:widowControl w:val="0"/>
        <w:numPr>
          <w:ilvl w:val="0"/>
          <w:numId w:val="0"/>
        </w:numPr>
        <w:spacing w:line="360" w:lineRule="auto"/>
        <w:jc w:val="both"/>
        <w:rPr>
          <w:rFonts w:hint="eastAsia" w:ascii="黑体" w:hAnsi="黑体" w:eastAsia="黑体"/>
          <w:bCs/>
          <w:color w:val="000000" w:themeColor="text1"/>
          <w:spacing w:val="-2"/>
          <w:sz w:val="22"/>
          <w:szCs w:val="22"/>
          <w14:textFill>
            <w14:solidFill>
              <w14:schemeClr w14:val="tx1"/>
            </w14:solidFill>
          </w14:textFill>
        </w:rPr>
      </w:pPr>
    </w:p>
    <w:p>
      <w:pPr>
        <w:pStyle w:val="46"/>
        <w:keepNext w:val="0"/>
        <w:keepLines w:val="0"/>
        <w:pageBreakBefore w:val="0"/>
        <w:widowControl w:val="0"/>
        <w:numPr>
          <w:ilvl w:val="0"/>
          <w:numId w:val="2"/>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黑体" w:hAnsi="黑体" w:eastAsia="黑体"/>
          <w:b/>
          <w:bCs/>
          <w:color w:val="000000" w:themeColor="text1"/>
          <w:spacing w:val="-2"/>
          <w:sz w:val="28"/>
          <w:szCs w:val="28"/>
          <w14:textFill>
            <w14:solidFill>
              <w14:schemeClr w14:val="tx1"/>
            </w14:solidFill>
          </w14:textFill>
        </w:rPr>
      </w:pPr>
      <w:bookmarkStart w:id="75" w:name="_Toc15553"/>
      <w:bookmarkStart w:id="76" w:name="_Toc996"/>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其他</w:t>
      </w:r>
      <w:bookmarkEnd w:id="75"/>
      <w:bookmarkEnd w:id="76"/>
    </w:p>
    <w:p>
      <w:pPr>
        <w:pStyle w:val="46"/>
        <w:numPr>
          <w:ilvl w:val="0"/>
          <w:numId w:val="3"/>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bookmarkStart w:id="77" w:name="_Toc357676148"/>
      <w:r>
        <w:rPr>
          <w:rFonts w:hint="eastAsia" w:ascii="宋体" w:hAnsi="宋体" w:eastAsia="宋体" w:cs="宋体"/>
          <w:b/>
          <w:color w:val="000000" w:themeColor="text1"/>
          <w:sz w:val="24"/>
          <w:szCs w:val="28"/>
          <w14:textFill>
            <w14:solidFill>
              <w14:schemeClr w14:val="tx1"/>
            </w14:solidFill>
          </w14:textFill>
        </w:rPr>
        <w:t>招标代理服务费</w:t>
      </w:r>
      <w:bookmarkEnd w:id="77"/>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采购机构代理服务收费标准：</w:t>
      </w:r>
      <w:r>
        <w:rPr>
          <w:rFonts w:hint="eastAsia" w:ascii="宋体" w:hAnsi="宋体" w:eastAsia="宋体" w:cs="宋体"/>
          <w:bCs/>
          <w:color w:val="000000" w:themeColor="text1"/>
          <w:sz w:val="24"/>
          <w:szCs w:val="24"/>
          <w:lang w:val="en-US" w:eastAsia="zh-CN"/>
          <w14:textFill>
            <w14:solidFill>
              <w14:schemeClr w14:val="tx1"/>
            </w14:solidFill>
          </w14:textFill>
        </w:rPr>
        <w:t>以中标</w:t>
      </w:r>
      <w:r>
        <w:rPr>
          <w:rFonts w:hint="eastAsia" w:ascii="宋体" w:hAnsi="宋体" w:eastAsia="宋体" w:cs="宋体"/>
          <w:bCs/>
          <w:color w:val="000000" w:themeColor="text1"/>
          <w:sz w:val="24"/>
          <w:szCs w:val="24"/>
          <w14:textFill>
            <w14:solidFill>
              <w14:schemeClr w14:val="tx1"/>
            </w14:solidFill>
          </w14:textFill>
        </w:rPr>
        <w:t>金额为计算基准，按采购人与采购代理机构签订委托协议及原国家计委《关于印发〈招标代理服务收费管理暂行办法〉的通知》（计价格［2002］1980号）文件规定</w:t>
      </w:r>
      <w:r>
        <w:rPr>
          <w:rFonts w:hint="eastAsia" w:ascii="宋体" w:hAnsi="宋体" w:eastAsia="宋体" w:cs="宋体"/>
          <w:bCs/>
          <w:color w:val="000000" w:themeColor="text1"/>
          <w:sz w:val="24"/>
          <w:szCs w:val="24"/>
          <w:lang w:val="en-US" w:eastAsia="zh-CN"/>
          <w14:textFill>
            <w14:solidFill>
              <w14:schemeClr w14:val="tx1"/>
            </w14:solidFill>
          </w14:textFill>
        </w:rPr>
        <w:t>后</w:t>
      </w:r>
      <w:r>
        <w:rPr>
          <w:rFonts w:cs="Times New Roman"/>
          <w:b w:val="0"/>
          <w:bCs w:val="0"/>
          <w:sz w:val="22"/>
          <w:szCs w:val="24"/>
        </w:rPr>
        <w:t>下浮</w:t>
      </w:r>
      <w:r>
        <w:rPr>
          <w:rFonts w:cs="Times New Roman"/>
          <w:b w:val="0"/>
          <w:bCs w:val="0"/>
          <w:sz w:val="22"/>
          <w:szCs w:val="24"/>
          <w:u w:val="single"/>
        </w:rPr>
        <w:t xml:space="preserve">  46  </w:t>
      </w:r>
      <w:r>
        <w:rPr>
          <w:rFonts w:cs="Times New Roman"/>
          <w:b w:val="0"/>
          <w:bCs w:val="0"/>
          <w:sz w:val="22"/>
          <w:szCs w:val="24"/>
        </w:rPr>
        <w:t>％</w:t>
      </w:r>
      <w:r>
        <w:rPr>
          <w:rFonts w:hint="eastAsia" w:cs="Times New Roman"/>
          <w:b w:val="0"/>
          <w:bCs w:val="0"/>
          <w:sz w:val="22"/>
          <w:szCs w:val="24"/>
          <w:lang w:val="en-US" w:eastAsia="zh-CN"/>
        </w:rPr>
        <w:t>计取。</w:t>
      </w:r>
      <w:r>
        <w:rPr>
          <w:rFonts w:hint="eastAsia" w:ascii="宋体" w:hAnsi="宋体" w:eastAsia="宋体" w:cs="宋体"/>
          <w:bCs/>
          <w:color w:val="000000" w:themeColor="text1"/>
          <w:sz w:val="24"/>
          <w:szCs w:val="24"/>
          <w14:textFill>
            <w14:solidFill>
              <w14:schemeClr w14:val="tx1"/>
            </w14:solidFill>
          </w14:textFill>
        </w:rPr>
        <w:t>中标人应在领取《中标通知书》原件时分别向采购代理机构一次性支付招标代理服务费(参照国家计委文件“计价格[2002]1980号文”、“发改办价格[2003]857号文”和“发改价格[2011]534号文”的规定标准执行)。</w:t>
      </w:r>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本项目类型为</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w:t>
      </w:r>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招标代理服务收费标准：</w:t>
      </w:r>
    </w:p>
    <w:tbl>
      <w:tblPr>
        <w:tblStyle w:val="3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748"/>
        <w:gridCol w:w="1637"/>
        <w:gridCol w:w="2621"/>
        <w:gridCol w:w="2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jc w:val="center"/>
        </w:trPr>
        <w:tc>
          <w:tcPr>
            <w:tcW w:w="1394" w:type="pct"/>
            <w:tcBorders>
              <w:tl2br w:val="single" w:color="000000" w:sz="8" w:space="0"/>
            </w:tcBorders>
            <w:shd w:val="clear" w:color="auto" w:fill="auto"/>
          </w:tcPr>
          <w:p>
            <w:pP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费率</w:t>
            </w:r>
          </w:p>
          <w:p>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中标金额</w:t>
            </w:r>
          </w:p>
        </w:tc>
        <w:tc>
          <w:tcPr>
            <w:tcW w:w="831"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货物招标</w:t>
            </w:r>
          </w:p>
        </w:tc>
        <w:tc>
          <w:tcPr>
            <w:tcW w:w="1330"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服务招标</w:t>
            </w:r>
          </w:p>
        </w:tc>
        <w:tc>
          <w:tcPr>
            <w:tcW w:w="1446"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工程招标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100万元以下</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100-500万元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1.1%</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0.8%</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500-1000万元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0.8%</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0.45%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1000-5000万元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0.5%                </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0.25%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5000万元-1亿元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0.25%                 </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0.1%</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5-10亿元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10-50亿元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50-100亿元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1394"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100亿以上</w:t>
            </w:r>
          </w:p>
        </w:tc>
        <w:tc>
          <w:tcPr>
            <w:tcW w:w="831"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c>
          <w:tcPr>
            <w:tcW w:w="1330"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c>
          <w:tcPr>
            <w:tcW w:w="1446"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r>
    </w:tbl>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eastAsia="宋体" w:cs="宋体"/>
          <w:bCs/>
          <w:color w:val="000000" w:themeColor="text1"/>
          <w:sz w:val="24"/>
          <w:szCs w:val="24"/>
          <w14:textFill>
            <w14:solidFill>
              <w14:schemeClr w14:val="tx1"/>
            </w14:solidFill>
          </w14:textFill>
        </w:rPr>
        <w:t>采购代理机构</w:t>
      </w:r>
      <w:r>
        <w:rPr>
          <w:rFonts w:hint="eastAsia" w:ascii="宋体" w:hAnsi="宋体" w:eastAsia="宋体" w:cs="宋体"/>
          <w:bCs/>
          <w:color w:val="000000" w:themeColor="text1"/>
          <w:sz w:val="24"/>
          <w:szCs w:val="24"/>
          <w:lang w:val="en-US" w:eastAsia="zh-CN"/>
          <w14:textFill>
            <w14:solidFill>
              <w14:schemeClr w14:val="tx1"/>
            </w14:solidFill>
          </w14:textFill>
        </w:rPr>
        <w:t>向中标人收取，中标人在领取中标通知书前一次性向招标代理缴纳，未按上述规定缴纳中标服务费的，招标人将不予退还投标保证金，且招标人有权取消其中标资格和拒签合同。若项目评审实际产生的专家评审费等由中标人另按实支付。</w:t>
      </w:r>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招标代理服务费按差额定率累进法计算。招标代理服务费币种为人民币。</w:t>
      </w:r>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招标服务费只收现金、银行转账或电汇。</w:t>
      </w:r>
    </w:p>
    <w:p>
      <w:pPr>
        <w:pStyle w:val="46"/>
        <w:numPr>
          <w:ilvl w:val="0"/>
          <w:numId w:val="4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招标代理服务费收取账户：</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收款单位名称：中通服咨询设计研究院有限公司</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开户银行：招商银行南京分行城北支行</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收款账号：</w:t>
      </w:r>
      <w:r>
        <w:rPr>
          <w:rFonts w:hint="eastAsia" w:ascii="宋体" w:hAnsi="宋体" w:eastAsia="宋体" w:cs="宋体"/>
          <w:sz w:val="24"/>
          <w:szCs w:val="36"/>
        </w:rPr>
        <w:t>12590209571010300012</w:t>
      </w:r>
    </w:p>
    <w:p>
      <w:pPr>
        <w:pStyle w:val="46"/>
        <w:numPr>
          <w:ilvl w:val="0"/>
          <w:numId w:val="3"/>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招标文件符号说明</w:t>
      </w:r>
    </w:p>
    <w:p>
      <w:pPr>
        <w:pStyle w:val="46"/>
        <w:numPr>
          <w:ilvl w:val="0"/>
          <w:numId w:val="4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中，打“★”号条款为实质性条款，若有任何一条负偏离或不满足则导致投标无效。打“▲”“●”号条款为重要技术参数，若有部分“▲”“●”条款未响应或不满足，将根据评审要求影响其得分，但不作为无效投标条款。打“◆”号条款为核心产品。</w:t>
      </w:r>
    </w:p>
    <w:p>
      <w:pPr>
        <w:pStyle w:val="4"/>
        <w:keepNext w:val="0"/>
        <w:keepLines w:val="0"/>
        <w:pageBreakBefore/>
        <w:tabs>
          <w:tab w:val="left" w:pos="426"/>
          <w:tab w:val="left" w:pos="567"/>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78" w:name="_Toc515040753"/>
      <w:bookmarkStart w:id="79" w:name="_Toc31449"/>
      <w:bookmarkStart w:id="80" w:name="_Toc515363625"/>
      <w:bookmarkStart w:id="81" w:name="_Toc5580"/>
      <w:r>
        <w:rPr>
          <w:rStyle w:val="38"/>
          <w:rFonts w:hint="eastAsia" w:ascii="黑体" w:hAnsi="黑体" w:eastAsia="黑体"/>
          <w:b/>
          <w:bCs/>
          <w:color w:val="000000" w:themeColor="text1"/>
          <w:spacing w:val="12"/>
          <w:sz w:val="22"/>
          <w:szCs w:val="22"/>
          <w14:textFill>
            <w14:solidFill>
              <w14:schemeClr w14:val="tx1"/>
            </w14:solidFill>
          </w14:textFill>
        </w:rPr>
        <w:t>附件1  询问函格式</w:t>
      </w:r>
      <w:bookmarkEnd w:id="78"/>
      <w:bookmarkEnd w:id="79"/>
      <w:bookmarkEnd w:id="80"/>
      <w:bookmarkEnd w:id="81"/>
    </w:p>
    <w:p>
      <w:pPr>
        <w:spacing w:before="312" w:beforeLines="100" w:after="312" w:afterLines="100"/>
        <w:jc w:val="center"/>
        <w:rPr>
          <w:rFonts w:ascii="黑体" w:hAnsi="黑体" w:eastAsia="黑体" w:cs="Times New Roman"/>
          <w:b/>
          <w:bCs/>
          <w:color w:val="000000" w:themeColor="text1"/>
          <w:spacing w:val="20"/>
          <w:sz w:val="32"/>
          <w:szCs w:val="32"/>
          <w14:textFill>
            <w14:solidFill>
              <w14:schemeClr w14:val="tx1"/>
            </w14:solidFill>
          </w14:textFill>
        </w:rPr>
      </w:pPr>
      <w:r>
        <w:rPr>
          <w:rFonts w:hint="eastAsia" w:ascii="黑体" w:hAnsi="黑体" w:eastAsia="黑体" w:cs="Times New Roman"/>
          <w:b/>
          <w:bCs/>
          <w:color w:val="000000" w:themeColor="text1"/>
          <w:spacing w:val="20"/>
          <w:sz w:val="32"/>
          <w:szCs w:val="32"/>
          <w14:textFill>
            <w14:solidFill>
              <w14:schemeClr w14:val="tx1"/>
            </w14:solidFill>
          </w14:textFill>
        </w:rPr>
        <w:t>询问函</w:t>
      </w:r>
    </w:p>
    <w:p>
      <w:pPr>
        <w:widowControl/>
        <w:adjustRightInd w:val="0"/>
        <w:spacing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u w:val="single"/>
          <w:lang w:eastAsia="zh-CN"/>
          <w14:textFill>
            <w14:solidFill>
              <w14:schemeClr w14:val="tx1"/>
            </w14:solidFill>
          </w14:textFill>
        </w:rPr>
        <w:t>中通服咨询设计研究院有限公司</w:t>
      </w:r>
      <w:r>
        <w:rPr>
          <w:rFonts w:hint="eastAsia" w:ascii="黑体" w:hAnsi="黑体" w:eastAsia="黑体"/>
          <w:color w:val="000000" w:themeColor="text1"/>
          <w:sz w:val="22"/>
          <w:szCs w:val="22"/>
          <w14:textFill>
            <w14:solidFill>
              <w14:schemeClr w14:val="tx1"/>
            </w14:solidFill>
          </w14:textFill>
        </w:rPr>
        <w:t>：</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我单位已获取招标文件并准备参与</w:t>
      </w:r>
      <w:r>
        <w:rPr>
          <w:rFonts w:ascii="黑体" w:hAnsi="黑体" w:eastAsia="黑体"/>
          <w:i/>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项目（项目编号</w:t>
      </w:r>
      <w:r>
        <w:rPr>
          <w:rFonts w:hint="eastAsia" w:ascii="黑体" w:hAnsi="黑体" w:eastAsia="黑体"/>
          <w:color w:val="000000" w:themeColor="text1"/>
          <w:sz w:val="22"/>
          <w:szCs w:val="22"/>
          <w:u w:val="single"/>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）的投标（或报价）活动，现有以下几个内容（或条款）存在疑问（或无法理解），特提出询问。</w:t>
      </w:r>
    </w:p>
    <w:p>
      <w:pPr>
        <w:widowControl/>
        <w:tabs>
          <w:tab w:val="center" w:pos="5019"/>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一、</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（事项一）</w:t>
      </w:r>
      <w:r>
        <w:rPr>
          <w:rFonts w:ascii="黑体" w:hAnsi="黑体" w:eastAsia="黑体"/>
          <w:color w:val="000000" w:themeColor="text1"/>
          <w:sz w:val="22"/>
          <w:szCs w:val="22"/>
          <w14:textFill>
            <w14:solidFill>
              <w14:schemeClr w14:val="tx1"/>
            </w14:solidFill>
          </w14:textFill>
        </w:rPr>
        <w:tab/>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1）</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（问题或条款内容）</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2）</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（说明疑问或无法理解原因）</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3）</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（建议）</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二、</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 xml:space="preserve"> （事项二）</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随附相关证明材料如下：（目录）。</w:t>
      </w:r>
    </w:p>
    <w:p>
      <w:pPr>
        <w:widowControl/>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询问人：（公章）</w:t>
      </w:r>
    </w:p>
    <w:p>
      <w:pPr>
        <w:widowControl/>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法定代表人（授权代表）：</w:t>
      </w:r>
    </w:p>
    <w:p>
      <w:pPr>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地址</w:t>
      </w:r>
      <w:r>
        <w:rPr>
          <w:rFonts w:ascii="黑体" w:hAnsi="黑体" w:eastAsia="黑体"/>
          <w:color w:val="000000" w:themeColor="text1"/>
          <w:sz w:val="22"/>
          <w:szCs w:val="22"/>
          <w14:textFill>
            <w14:solidFill>
              <w14:schemeClr w14:val="tx1"/>
            </w14:solidFill>
          </w14:textFill>
        </w:rPr>
        <w:t>/邮编：</w:t>
      </w:r>
    </w:p>
    <w:p>
      <w:pPr>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电话</w:t>
      </w:r>
      <w:r>
        <w:rPr>
          <w:rFonts w:ascii="黑体" w:hAnsi="黑体" w:eastAsia="黑体"/>
          <w:color w:val="000000" w:themeColor="text1"/>
          <w:sz w:val="22"/>
          <w:szCs w:val="22"/>
          <w14:textFill>
            <w14:solidFill>
              <w14:schemeClr w14:val="tx1"/>
            </w14:solidFill>
          </w14:textFill>
        </w:rPr>
        <w:t>/传真：</w:t>
      </w:r>
    </w:p>
    <w:p>
      <w:pPr>
        <w:adjustRightInd w:val="0"/>
        <w:spacing w:before="624" w:beforeLines="200" w:line="360" w:lineRule="auto"/>
        <w:jc w:val="righ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w:t>
      </w:r>
    </w:p>
    <w:p>
      <w:pPr>
        <w:snapToGrid w:val="0"/>
        <w:spacing w:line="360" w:lineRule="auto"/>
        <w:ind w:firstLine="442" w:firstLineChars="201"/>
        <w:rPr>
          <w:rFonts w:ascii="黑体" w:hAnsi="黑体" w:eastAsia="黑体"/>
          <w:color w:val="000000" w:themeColor="text1"/>
          <w:sz w:val="22"/>
          <w:szCs w:val="22"/>
          <w14:textFill>
            <w14:solidFill>
              <w14:schemeClr w14:val="tx1"/>
            </w14:solidFill>
          </w14:textFill>
        </w:rPr>
      </w:pPr>
    </w:p>
    <w:p>
      <w:pPr>
        <w:pStyle w:val="4"/>
        <w:keepNext w:val="0"/>
        <w:keepLines w:val="0"/>
        <w:pageBreakBefore/>
        <w:tabs>
          <w:tab w:val="left" w:pos="426"/>
          <w:tab w:val="left" w:pos="567"/>
        </w:tabs>
        <w:spacing w:line="360" w:lineRule="auto"/>
        <w:jc w:val="left"/>
        <w:rPr>
          <w:rStyle w:val="38"/>
          <w:rFonts w:ascii="黑体" w:hAnsi="黑体" w:eastAsia="黑体"/>
          <w:b/>
          <w:bCs w:val="0"/>
          <w:color w:val="000000" w:themeColor="text1"/>
          <w:spacing w:val="12"/>
          <w:sz w:val="22"/>
          <w:szCs w:val="22"/>
          <w14:textFill>
            <w14:solidFill>
              <w14:schemeClr w14:val="tx1"/>
            </w14:solidFill>
          </w14:textFill>
        </w:rPr>
      </w:pPr>
      <w:bookmarkStart w:id="82" w:name="_Toc22774"/>
      <w:bookmarkStart w:id="83" w:name="_Toc515363626"/>
      <w:bookmarkStart w:id="84" w:name="_Toc515040754"/>
      <w:bookmarkStart w:id="85" w:name="_Toc15477"/>
      <w:r>
        <w:rPr>
          <w:rStyle w:val="38"/>
          <w:rFonts w:hint="eastAsia" w:ascii="黑体" w:hAnsi="黑体" w:eastAsia="黑体"/>
          <w:b/>
          <w:bCs w:val="0"/>
          <w:color w:val="000000" w:themeColor="text1"/>
          <w:spacing w:val="12"/>
          <w:sz w:val="22"/>
          <w:szCs w:val="22"/>
          <w14:textFill>
            <w14:solidFill>
              <w14:schemeClr w14:val="tx1"/>
            </w14:solidFill>
          </w14:textFill>
        </w:rPr>
        <w:t>附件2  质疑函格式</w:t>
      </w:r>
      <w:bookmarkEnd w:id="82"/>
      <w:bookmarkEnd w:id="83"/>
      <w:bookmarkEnd w:id="84"/>
      <w:bookmarkEnd w:id="85"/>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质疑函</w:t>
      </w:r>
    </w:p>
    <w:p>
      <w:pPr>
        <w:adjustRightInd w:val="0"/>
        <w:snapToGrid w:val="0"/>
        <w:spacing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一、质疑供应商基本信息</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质疑供应商：</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地址：</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邮编：</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联系人：</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联系电话：</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授权代表：</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b/>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联系电话：</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b/>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地   址：</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邮编：</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before="156" w:beforeLines="50"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 xml:space="preserve">二、质疑项目基本情况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质疑项目的名称：</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质疑项目的编号：</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包号：</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采购人名称：</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采购文件获取日期：</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before="156" w:beforeLines="50"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三、质疑事项具体内容</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质疑事项</w:t>
      </w:r>
      <w:r>
        <w:rPr>
          <w:rFonts w:ascii="黑体" w:hAnsi="黑体" w:eastAsia="黑体" w:cs="仿宋"/>
          <w:color w:val="000000" w:themeColor="text1"/>
          <w:sz w:val="22"/>
          <w:szCs w:val="22"/>
          <w14:textFill>
            <w14:solidFill>
              <w14:schemeClr w14:val="tx1"/>
            </w14:solidFill>
          </w14:textFill>
        </w:rPr>
        <w:t>1：</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事实依据：</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法律依据：</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质疑事项</w:t>
      </w:r>
      <w:r>
        <w:rPr>
          <w:rFonts w:ascii="黑体" w:hAnsi="黑体" w:eastAsia="黑体" w:cs="仿宋"/>
          <w:color w:val="000000" w:themeColor="text1"/>
          <w:sz w:val="22"/>
          <w:szCs w:val="22"/>
          <w14:textFill>
            <w14:solidFill>
              <w14:schemeClr w14:val="tx1"/>
            </w14:solidFill>
          </w14:textFill>
        </w:rPr>
        <w:t>2</w:t>
      </w:r>
    </w:p>
    <w:p>
      <w:pPr>
        <w:adjustRightInd w:val="0"/>
        <w:snapToGrid w:val="0"/>
        <w:spacing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四、与质疑事项相关的质疑请求</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请求：</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签字</w:t>
      </w:r>
      <w:r>
        <w:rPr>
          <w:rFonts w:ascii="黑体" w:hAnsi="黑体" w:eastAsia="黑体"/>
          <w:color w:val="000000" w:themeColor="text1"/>
          <w:sz w:val="22"/>
          <w:szCs w:val="22"/>
          <w14:textFill>
            <w14:solidFill>
              <w14:schemeClr w14:val="tx1"/>
            </w14:solidFill>
          </w14:textFill>
        </w:rPr>
        <w:t xml:space="preserve">(签章)：                   公章：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    期：</w:t>
      </w:r>
      <w:r>
        <w:rPr>
          <w:rFonts w:ascii="黑体" w:hAnsi="黑体" w:eastAsia="黑体"/>
          <w:color w:val="000000" w:themeColor="text1"/>
          <w:sz w:val="22"/>
          <w:szCs w:val="22"/>
          <w14:textFill>
            <w14:solidFill>
              <w14:schemeClr w14:val="tx1"/>
            </w14:solidFill>
          </w14:textFill>
        </w:rPr>
        <w:t xml:space="preserve">    </w:t>
      </w:r>
    </w:p>
    <w:p>
      <w:pPr>
        <w:adjustRightInd w:val="0"/>
        <w:snapToGrid w:val="0"/>
        <w:spacing w:line="240" w:lineRule="auto"/>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质疑函制作说明：</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供应商提出质疑时，应提交质疑函和必要的证明材料。</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质疑供应商若对项目的某一分包进行质疑，质疑函中应列明具体分包号。</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质疑函的质疑事项应具体、明确，并有必要的事实依据和法律依据。</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质疑函的质疑请求应与质疑事项相关。</w:t>
      </w:r>
    </w:p>
    <w:p>
      <w:pPr>
        <w:pStyle w:val="46"/>
        <w:widowControl/>
        <w:numPr>
          <w:ilvl w:val="0"/>
          <w:numId w:val="50"/>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br w:type="page"/>
      </w:r>
    </w:p>
    <w:p>
      <w:pPr>
        <w:pStyle w:val="3"/>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86" w:name="_Toc4102"/>
      <w:bookmarkStart w:id="87" w:name="_Toc10469"/>
      <w:bookmarkStart w:id="88" w:name="_Toc26844"/>
      <w:bookmarkStart w:id="89" w:name="_Toc391627751"/>
      <w:bookmarkStart w:id="90" w:name="_Toc405313955"/>
      <w:r>
        <w:rPr>
          <w:rFonts w:hint="eastAsia" w:ascii="黑体" w:hAnsi="黑体" w:eastAsia="黑体"/>
          <w:color w:val="000000" w:themeColor="text1"/>
          <w:spacing w:val="20"/>
          <w:sz w:val="36"/>
          <w:szCs w:val="36"/>
          <w14:textFill>
            <w14:solidFill>
              <w14:schemeClr w14:val="tx1"/>
            </w14:solidFill>
          </w14:textFill>
        </w:rPr>
        <w:t>第五部分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评标方法、步骤、标准</w:t>
      </w:r>
      <w:bookmarkEnd w:id="86"/>
      <w:bookmarkEnd w:id="87"/>
      <w:bookmarkEnd w:id="88"/>
      <w:bookmarkEnd w:id="89"/>
      <w:bookmarkEnd w:id="90"/>
    </w:p>
    <w:p>
      <w:pPr>
        <w:pStyle w:val="46"/>
        <w:keepNext w:val="0"/>
        <w:keepLines w:val="0"/>
        <w:pageBreakBefore w:val="0"/>
        <w:widowControl w:val="0"/>
        <w:numPr>
          <w:ilvl w:val="0"/>
          <w:numId w:val="51"/>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14:textFill>
            <w14:solidFill>
              <w14:schemeClr w14:val="tx1"/>
            </w14:solidFill>
          </w14:textFill>
        </w:rPr>
      </w:pPr>
      <w:bookmarkStart w:id="91" w:name="_Toc26527"/>
      <w:bookmarkStart w:id="92" w:name="_Toc8445"/>
      <w:r>
        <w:rPr>
          <w:rFonts w:hint="eastAsia" w:ascii="微软雅黑" w:hAnsi="微软雅黑" w:eastAsia="微软雅黑" w:cs="微软雅黑"/>
          <w:b/>
          <w:bCs/>
          <w:color w:val="000000" w:themeColor="text1"/>
          <w:sz w:val="28"/>
          <w:szCs w:val="28"/>
          <w14:textFill>
            <w14:solidFill>
              <w14:schemeClr w14:val="tx1"/>
            </w14:solidFill>
          </w14:textFill>
        </w:rPr>
        <w:t>总则</w:t>
      </w:r>
      <w:bookmarkEnd w:id="91"/>
      <w:bookmarkEnd w:id="92"/>
    </w:p>
    <w:p>
      <w:pPr>
        <w:pStyle w:val="46"/>
        <w:numPr>
          <w:ilvl w:val="0"/>
          <w:numId w:val="52"/>
        </w:numPr>
        <w:spacing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评标委员会</w:t>
      </w:r>
    </w:p>
    <w:p>
      <w:pPr>
        <w:pStyle w:val="46"/>
        <w:numPr>
          <w:ilvl w:val="1"/>
          <w:numId w:val="5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本次招标依法组建评标委员会。</w:t>
      </w:r>
    </w:p>
    <w:p>
      <w:pPr>
        <w:pStyle w:val="46"/>
        <w:numPr>
          <w:ilvl w:val="1"/>
          <w:numId w:val="5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评标委员会成员名单在评标结果公告前应当保密。</w:t>
      </w:r>
      <w:r>
        <w:rPr>
          <w:rFonts w:hint="eastAsia" w:ascii="宋体" w:hAnsi="宋体" w:eastAsia="宋体" w:cs="宋体"/>
          <w:bCs/>
          <w:color w:val="000000" w:themeColor="text1"/>
          <w:sz w:val="24"/>
          <w:szCs w:val="24"/>
          <w14:textFill>
            <w14:solidFill>
              <w14:schemeClr w14:val="tx1"/>
            </w14:solidFill>
          </w14:textFill>
        </w:rPr>
        <w:t>评审专家有下列情形之一的，受到邀请应主动提出回避，采购当事人也可以要求该评审专家回避：</w:t>
      </w:r>
    </w:p>
    <w:p>
      <w:pPr>
        <w:pStyle w:val="46"/>
        <w:numPr>
          <w:ilvl w:val="2"/>
          <w:numId w:val="5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参加采购活动前3年内与供应商存在劳动关系；</w:t>
      </w:r>
    </w:p>
    <w:p>
      <w:pPr>
        <w:pStyle w:val="46"/>
        <w:numPr>
          <w:ilvl w:val="2"/>
          <w:numId w:val="5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参加采购活动前3年内担任供应商的董事、监事；</w:t>
      </w:r>
    </w:p>
    <w:p>
      <w:pPr>
        <w:pStyle w:val="46"/>
        <w:numPr>
          <w:ilvl w:val="2"/>
          <w:numId w:val="5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参加采购活动前3年内是供应商的控股股东或者实际控制人；</w:t>
      </w:r>
    </w:p>
    <w:p>
      <w:pPr>
        <w:pStyle w:val="46"/>
        <w:numPr>
          <w:ilvl w:val="2"/>
          <w:numId w:val="5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与供应商的法定代表人或者负责人有夫妻、直系血亲、三代以内旁系血亲或者近姻亲关系；</w:t>
      </w:r>
    </w:p>
    <w:p>
      <w:pPr>
        <w:pStyle w:val="46"/>
        <w:numPr>
          <w:ilvl w:val="2"/>
          <w:numId w:val="5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与供应商有其他可能影响采购活动公平、公正进行的关系。</w:t>
      </w:r>
    </w:p>
    <w:p>
      <w:pPr>
        <w:pStyle w:val="46"/>
        <w:numPr>
          <w:ilvl w:val="1"/>
          <w:numId w:val="5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评标委员会负责具体评标事务，并独立履行下列职责：</w:t>
      </w:r>
    </w:p>
    <w:p>
      <w:pPr>
        <w:pStyle w:val="46"/>
        <w:widowControl/>
        <w:numPr>
          <w:ilvl w:val="2"/>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审查、评价投标文件是否符合招标文件的商务、技术等实质性要求；</w:t>
      </w:r>
    </w:p>
    <w:p>
      <w:pPr>
        <w:pStyle w:val="46"/>
        <w:widowControl/>
        <w:numPr>
          <w:ilvl w:val="2"/>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要求投标人对投标文件有关事项作出澄清或者说明；</w:t>
      </w:r>
    </w:p>
    <w:p>
      <w:pPr>
        <w:pStyle w:val="46"/>
        <w:widowControl/>
        <w:numPr>
          <w:ilvl w:val="2"/>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对投标文件进行比较和评价；</w:t>
      </w:r>
    </w:p>
    <w:p>
      <w:pPr>
        <w:pStyle w:val="46"/>
        <w:widowControl/>
        <w:numPr>
          <w:ilvl w:val="2"/>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确定中标候选人名单，以及根据采购人委托直接确定中标人；</w:t>
      </w:r>
    </w:p>
    <w:p>
      <w:pPr>
        <w:pStyle w:val="46"/>
        <w:widowControl/>
        <w:numPr>
          <w:ilvl w:val="2"/>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向采购人、采购代理机构或者有关部门报告评标中发现的违法行为。</w:t>
      </w:r>
    </w:p>
    <w:p>
      <w:pPr>
        <w:pStyle w:val="46"/>
        <w:widowControl/>
        <w:numPr>
          <w:ilvl w:val="1"/>
          <w:numId w:val="53"/>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46"/>
        <w:numPr>
          <w:ilvl w:val="1"/>
          <w:numId w:val="5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46"/>
        <w:numPr>
          <w:ilvl w:val="1"/>
          <w:numId w:val="53"/>
        </w:numPr>
        <w:spacing w:line="360" w:lineRule="auto"/>
        <w:ind w:firstLineChars="0"/>
        <w:rPr>
          <w:rFonts w:hint="eastAsia" w:ascii="宋体" w:hAnsi="宋体" w:eastAsia="宋体" w:cs="宋体"/>
          <w:bCs/>
          <w:color w:val="000000" w:themeColor="text1"/>
          <w:spacing w:val="-4"/>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参与评标工作的所有人员必须遵守</w:t>
      </w:r>
      <w:r>
        <w:rPr>
          <w:rFonts w:hint="eastAsia" w:ascii="宋体" w:hAnsi="宋体" w:eastAsia="宋体" w:cs="宋体"/>
          <w:color w:val="000000" w:themeColor="text1"/>
          <w:spacing w:val="-4"/>
          <w:sz w:val="24"/>
          <w:szCs w:val="24"/>
          <w14:textFill>
            <w14:solidFill>
              <w14:schemeClr w14:val="tx1"/>
            </w14:solidFill>
          </w14:textFill>
        </w:rPr>
        <w:t>《中华人民共和国政府采购法》、《中华人民共和国政府采购法实施条例》、财政部《政府采购货物和服务招标投标管理办法》、广东省实施《中华人民共和国政府采购法》办法</w:t>
      </w:r>
      <w:r>
        <w:rPr>
          <w:rFonts w:hint="eastAsia" w:ascii="宋体" w:hAnsi="宋体" w:eastAsia="宋体" w:cs="宋体"/>
          <w:bCs/>
          <w:color w:val="000000" w:themeColor="text1"/>
          <w:spacing w:val="-4"/>
          <w:sz w:val="24"/>
          <w:szCs w:val="24"/>
          <w14:textFill>
            <w14:solidFill>
              <w14:schemeClr w14:val="tx1"/>
            </w14:solidFill>
          </w14:textFill>
        </w:rPr>
        <w:t>及相关法律、法规的规定，以确保评标的公平、公正。</w:t>
      </w:r>
    </w:p>
    <w:p>
      <w:pPr>
        <w:pStyle w:val="46"/>
        <w:numPr>
          <w:ilvl w:val="0"/>
          <w:numId w:val="52"/>
        </w:numPr>
        <w:spacing w:before="312" w:beforeLines="100"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w:t>
      </w:r>
    </w:p>
    <w:p>
      <w:pPr>
        <w:pStyle w:val="46"/>
        <w:numPr>
          <w:ilvl w:val="1"/>
          <w:numId w:val="55"/>
        </w:numPr>
        <w:spacing w:line="360" w:lineRule="auto"/>
        <w:ind w:left="426" w:hanging="426"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本项目按照</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
          <w:bCs/>
          <w:color w:val="000000" w:themeColor="text1"/>
          <w:sz w:val="24"/>
          <w:szCs w:val="24"/>
          <w14:textFill>
            <w14:solidFill>
              <w14:schemeClr w14:val="tx1"/>
            </w14:solidFill>
          </w14:textFill>
        </w:rPr>
        <w:t>规定</w:t>
      </w:r>
      <w:r>
        <w:rPr>
          <w:rFonts w:hint="eastAsia" w:ascii="宋体" w:hAnsi="宋体" w:eastAsia="宋体" w:cs="宋体"/>
          <w:bCs/>
          <w:color w:val="000000" w:themeColor="text1"/>
          <w:sz w:val="24"/>
          <w:szCs w:val="24"/>
          <w14:textFill>
            <w14:solidFill>
              <w14:schemeClr w14:val="tx1"/>
            </w14:solidFill>
          </w14:textFill>
        </w:rPr>
        <w:t>的评标方法进行评审。</w:t>
      </w:r>
    </w:p>
    <w:p>
      <w:pPr>
        <w:pStyle w:val="46"/>
        <w:numPr>
          <w:ilvl w:val="1"/>
          <w:numId w:val="55"/>
        </w:numPr>
        <w:spacing w:line="360" w:lineRule="auto"/>
        <w:ind w:left="426" w:hanging="426"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6"/>
        <w:numPr>
          <w:ilvl w:val="0"/>
          <w:numId w:val="56"/>
        </w:numPr>
        <w:tabs>
          <w:tab w:val="left" w:pos="567"/>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各项得分按四舍五入原则精确到小数点后两位。</w:t>
      </w:r>
    </w:p>
    <w:p>
      <w:pPr>
        <w:pStyle w:val="46"/>
        <w:numPr>
          <w:ilvl w:val="1"/>
          <w:numId w:val="57"/>
        </w:numPr>
        <w:spacing w:line="360" w:lineRule="auto"/>
        <w:ind w:left="426" w:hanging="426"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sz w:val="22"/>
          <w:lang w:val="zh-CN"/>
        </w:rPr>
        <w:t>★</w:t>
      </w:r>
      <w:r>
        <w:rPr>
          <w:rFonts w:hint="eastAsia" w:ascii="宋体" w:hAnsi="宋体" w:cs="宋体"/>
          <w:sz w:val="22"/>
          <w:szCs w:val="22"/>
          <w:lang w:val="zh-CN"/>
        </w:rPr>
        <w:t>投标人的商务得分应不低于商务部分总分值的60%，否则就认定为无效投标人。</w:t>
      </w:r>
      <w:r>
        <w:rPr>
          <w:rFonts w:hint="eastAsia" w:ascii="宋体" w:hAnsi="宋体" w:eastAsia="宋体" w:cs="宋体"/>
          <w:color w:val="000000" w:themeColor="text1"/>
          <w:sz w:val="24"/>
          <w:szCs w:val="28"/>
          <w:lang w:val="en-US" w:eastAsia="zh-CN"/>
          <w14:textFill>
            <w14:solidFill>
              <w14:schemeClr w14:val="tx1"/>
            </w14:solidFill>
          </w14:textFill>
        </w:rPr>
        <w:t>有效</w:t>
      </w:r>
      <w:r>
        <w:rPr>
          <w:rFonts w:hint="eastAsia" w:ascii="宋体" w:hAnsi="宋体" w:eastAsia="宋体" w:cs="宋体"/>
          <w:color w:val="000000" w:themeColor="text1"/>
          <w:sz w:val="24"/>
          <w:szCs w:val="28"/>
          <w14:textFill>
            <w14:solidFill>
              <w14:schemeClr w14:val="tx1"/>
            </w14:solidFill>
          </w14:textFill>
        </w:rPr>
        <w:t>投标人不足3家的，</w:t>
      </w:r>
      <w:r>
        <w:rPr>
          <w:rFonts w:hint="eastAsia" w:ascii="宋体" w:hAnsi="宋体" w:eastAsia="宋体" w:cs="宋体"/>
          <w:color w:val="000000" w:themeColor="text1"/>
          <w:sz w:val="24"/>
          <w:szCs w:val="28"/>
          <w:lang w:val="en-US" w:eastAsia="zh-CN"/>
          <w14:textFill>
            <w14:solidFill>
              <w14:schemeClr w14:val="tx1"/>
            </w14:solidFill>
          </w14:textFill>
        </w:rPr>
        <w:t>招标失败</w:t>
      </w:r>
      <w:r>
        <w:rPr>
          <w:rFonts w:hint="eastAsia" w:ascii="宋体" w:hAnsi="宋体" w:eastAsia="宋体" w:cs="宋体"/>
          <w:color w:val="000000" w:themeColor="text1"/>
          <w:sz w:val="24"/>
          <w:szCs w:val="28"/>
          <w14:textFill>
            <w14:solidFill>
              <w14:schemeClr w14:val="tx1"/>
            </w14:solidFill>
          </w14:textFill>
        </w:rPr>
        <w:t>。</w:t>
      </w:r>
    </w:p>
    <w:p>
      <w:pPr>
        <w:pStyle w:val="46"/>
        <w:numPr>
          <w:ilvl w:val="0"/>
          <w:numId w:val="52"/>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资格性和符合性审查</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资格性审查：</w:t>
      </w:r>
      <w:r>
        <w:rPr>
          <w:rFonts w:hint="eastAsia" w:ascii="宋体" w:hAnsi="宋体" w:eastAsia="宋体" w:cs="宋体"/>
          <w:bCs/>
          <w:color w:val="000000" w:themeColor="text1"/>
          <w:sz w:val="24"/>
          <w:szCs w:val="24"/>
          <w14:textFill>
            <w14:solidFill>
              <w14:schemeClr w14:val="tx1"/>
            </w14:solidFill>
          </w14:textFill>
        </w:rPr>
        <w:t>公开招标采购项目开标结束后，应当依法对投标人的资格进行审查</w:t>
      </w:r>
      <w:r>
        <w:rPr>
          <w:rFonts w:hint="eastAsia" w:ascii="宋体" w:hAnsi="宋体" w:eastAsia="宋体" w:cs="宋体"/>
          <w:color w:val="000000" w:themeColor="text1"/>
          <w:sz w:val="24"/>
          <w:szCs w:val="28"/>
          <w14:textFill>
            <w14:solidFill>
              <w14:schemeClr w14:val="tx1"/>
            </w14:solidFill>
          </w14:textFill>
        </w:rPr>
        <w:t>（详见附表一资格性审查表）</w:t>
      </w:r>
      <w:r>
        <w:rPr>
          <w:rFonts w:hint="eastAsia" w:ascii="宋体" w:hAnsi="宋体" w:eastAsia="宋体" w:cs="宋体"/>
          <w:color w:val="000000" w:themeColor="text1"/>
          <w:sz w:val="24"/>
          <w:szCs w:val="28"/>
          <w:lang w:eastAsia="zh-CN"/>
          <w14:textFill>
            <w14:solidFill>
              <w14:schemeClr w14:val="tx1"/>
            </w14:solidFill>
          </w14:textFill>
        </w:rPr>
        <w:t>。</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符合性审查。评标委员会依据招标文件的规定，从投标文件的有效性、完整性和对招标文件的响应程度进行审查，以确定是否对招标文件的实质性要求作出响应。（详见后附表二符合性审查表）</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资格性审查和符合性审查中凡有其中任意一项未通过的，评审结果为未通过，未通过资格性审查、符合性审查的投标人按无效投标处理。</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对各投标人进行资格审查和符合性审查过程中，对初步被认定为无效投标者，由评标委员会组长或采购人代表将集体意见及时告知投标当事人</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1"/>
          <w:numId w:val="57"/>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合格投标人不足3家的，不得评标。</w:t>
      </w:r>
    </w:p>
    <w:p>
      <w:pPr>
        <w:pStyle w:val="46"/>
        <w:numPr>
          <w:ilvl w:val="0"/>
          <w:numId w:val="52"/>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投标文件的澄清</w:t>
      </w:r>
    </w:p>
    <w:p>
      <w:pPr>
        <w:pStyle w:val="46"/>
        <w:numPr>
          <w:ilvl w:val="1"/>
          <w:numId w:val="58"/>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对于投标文件中含义不明确、同类问题表述不一致或者有明显文字和计算错误的内容，评标委员会可在评审过程中发起澄清，要求投标人针对价格或内容做出必要的澄清、说明或补正。代理机构可根据开标环节记录的授权代表人联系方式发送短信提醒或电话告知。投标人在规定时间内完成澄清（响应）。</w:t>
      </w:r>
    </w:p>
    <w:p>
      <w:pPr>
        <w:pStyle w:val="46"/>
        <w:numPr>
          <w:ilvl w:val="1"/>
          <w:numId w:val="58"/>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6"/>
        <w:numPr>
          <w:ilvl w:val="1"/>
          <w:numId w:val="58"/>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评标委员会不接受投标人主动提出的澄清、说明或补正。</w:t>
      </w:r>
    </w:p>
    <w:p>
      <w:pPr>
        <w:pStyle w:val="46"/>
        <w:numPr>
          <w:ilvl w:val="1"/>
          <w:numId w:val="58"/>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评标委员会对投标人提交的澄清、说明或补正有疑问的，可以要求投标人进一步澄清、说明或补正。</w:t>
      </w:r>
    </w:p>
    <w:p>
      <w:pPr>
        <w:pStyle w:val="46"/>
        <w:keepNext w:val="0"/>
        <w:keepLines w:val="0"/>
        <w:pageBreakBefore w:val="0"/>
        <w:widowControl w:val="0"/>
        <w:numPr>
          <w:ilvl w:val="0"/>
          <w:numId w:val="51"/>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93" w:name="_Toc19692"/>
      <w:bookmarkStart w:id="94" w:name="_Toc12070"/>
      <w:r>
        <w:rPr>
          <w:rFonts w:hint="eastAsia" w:ascii="微软雅黑" w:hAnsi="微软雅黑" w:eastAsia="微软雅黑" w:cs="微软雅黑"/>
          <w:b/>
          <w:bCs/>
          <w:color w:val="000000" w:themeColor="text1"/>
          <w:sz w:val="28"/>
          <w:szCs w:val="28"/>
          <w:lang w:eastAsia="zh-CN"/>
          <w14:textFill>
            <w14:solidFill>
              <w14:schemeClr w14:val="tx1"/>
            </w14:solidFill>
          </w14:textFill>
        </w:rPr>
        <w:t>投标无效的情形</w:t>
      </w:r>
      <w:bookmarkEnd w:id="93"/>
      <w:bookmarkEnd w:id="94"/>
    </w:p>
    <w:p>
      <w:pPr>
        <w:pStyle w:val="46"/>
        <w:numPr>
          <w:ilvl w:val="0"/>
          <w:numId w:val="0"/>
        </w:numPr>
        <w:tabs>
          <w:tab w:val="left" w:pos="426"/>
        </w:tabs>
        <w:spacing w:line="360" w:lineRule="auto"/>
        <w:ind w:leftChars="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详见资格性审查、符合性审查和招标文件其他投标无效条款。</w:t>
      </w:r>
    </w:p>
    <w:p>
      <w:pPr>
        <w:pStyle w:val="46"/>
        <w:keepNext w:val="0"/>
        <w:keepLines w:val="0"/>
        <w:pageBreakBefore w:val="0"/>
        <w:widowControl w:val="0"/>
        <w:numPr>
          <w:ilvl w:val="0"/>
          <w:numId w:val="51"/>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95" w:name="_Toc26410"/>
      <w:bookmarkStart w:id="96" w:name="_Toc24455"/>
      <w:r>
        <w:rPr>
          <w:rFonts w:hint="eastAsia" w:ascii="微软雅黑" w:hAnsi="微软雅黑" w:eastAsia="微软雅黑" w:cs="微软雅黑"/>
          <w:b/>
          <w:bCs/>
          <w:color w:val="000000" w:themeColor="text1"/>
          <w:sz w:val="28"/>
          <w:szCs w:val="28"/>
          <w:lang w:eastAsia="zh-CN"/>
          <w14:textFill>
            <w14:solidFill>
              <w14:schemeClr w14:val="tx1"/>
            </w14:solidFill>
          </w14:textFill>
        </w:rPr>
        <w:t>详细评审</w:t>
      </w:r>
      <w:bookmarkEnd w:id="95"/>
      <w:bookmarkEnd w:id="96"/>
    </w:p>
    <w:p>
      <w:pPr>
        <w:pStyle w:val="46"/>
        <w:numPr>
          <w:ilvl w:val="0"/>
          <w:numId w:val="52"/>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评标委员会应当按照招标文件中规定的评标方法和标准，对符合性审查合格的投标文件进行商务和技术评估，综合比较与评价。具体商务、技术部分的</w:t>
      </w:r>
      <w:bookmarkStart w:id="97" w:name="_Hlk75740750"/>
      <w:r>
        <w:rPr>
          <w:rFonts w:hint="eastAsia" w:ascii="宋体" w:hAnsi="宋体" w:eastAsia="宋体" w:cs="宋体"/>
          <w:bCs/>
          <w:color w:val="000000" w:themeColor="text1"/>
          <w:sz w:val="24"/>
          <w:szCs w:val="24"/>
          <w14:textFill>
            <w14:solidFill>
              <w14:schemeClr w14:val="tx1"/>
            </w14:solidFill>
          </w14:textFill>
        </w:rPr>
        <w:t>评审</w:t>
      </w:r>
      <w:bookmarkEnd w:id="97"/>
      <w:r>
        <w:rPr>
          <w:rFonts w:hint="eastAsia" w:ascii="宋体" w:hAnsi="宋体" w:eastAsia="宋体" w:cs="宋体"/>
          <w:bCs/>
          <w:color w:val="000000" w:themeColor="text1"/>
          <w:sz w:val="24"/>
          <w:szCs w:val="24"/>
          <w14:textFill>
            <w14:solidFill>
              <w14:schemeClr w14:val="tx1"/>
            </w14:solidFill>
          </w14:textFill>
        </w:rPr>
        <w:t>因素详见</w:t>
      </w:r>
      <w:r>
        <w:rPr>
          <w:rFonts w:hint="eastAsia" w:ascii="宋体" w:hAnsi="宋体" w:eastAsia="宋体" w:cs="宋体"/>
          <w:color w:val="000000" w:themeColor="text1"/>
          <w:sz w:val="24"/>
          <w:szCs w:val="28"/>
          <w14:textFill>
            <w14:solidFill>
              <w14:schemeClr w14:val="tx1"/>
            </w14:solidFill>
          </w14:textFill>
        </w:rPr>
        <w:t>《商务、技术评审细则》（附表三）。</w:t>
      </w:r>
    </w:p>
    <w:p>
      <w:pPr>
        <w:pStyle w:val="46"/>
        <w:keepNext w:val="0"/>
        <w:keepLines w:val="0"/>
        <w:pageBreakBefore w:val="0"/>
        <w:widowControl w:val="0"/>
        <w:numPr>
          <w:ilvl w:val="0"/>
          <w:numId w:val="51"/>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98" w:name="_Toc9143"/>
      <w:bookmarkStart w:id="99" w:name="_Toc28223"/>
      <w:r>
        <w:rPr>
          <w:rFonts w:hint="eastAsia" w:ascii="微软雅黑" w:hAnsi="微软雅黑" w:eastAsia="微软雅黑" w:cs="微软雅黑"/>
          <w:b/>
          <w:bCs/>
          <w:color w:val="000000" w:themeColor="text1"/>
          <w:sz w:val="28"/>
          <w:szCs w:val="28"/>
          <w:lang w:eastAsia="zh-CN"/>
          <w14:textFill>
            <w14:solidFill>
              <w14:schemeClr w14:val="tx1"/>
            </w14:solidFill>
          </w14:textFill>
        </w:rPr>
        <w:t>价格</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修正</w:t>
      </w:r>
      <w:bookmarkEnd w:id="98"/>
      <w:bookmarkEnd w:id="99"/>
    </w:p>
    <w:p>
      <w:pPr>
        <w:pStyle w:val="46"/>
        <w:numPr>
          <w:ilvl w:val="0"/>
          <w:numId w:val="52"/>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投标文件报价出现前后不一致的，除招标文件另有规定外，按照下列规定修正：</w:t>
      </w:r>
    </w:p>
    <w:p>
      <w:pPr>
        <w:pStyle w:val="46"/>
        <w:numPr>
          <w:ilvl w:val="1"/>
          <w:numId w:val="5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投标文件中开标一览表（报价表）内容与投标文件中相应内容不一致的，以开标一览表（报价表）为准；</w:t>
      </w:r>
    </w:p>
    <w:p>
      <w:pPr>
        <w:pStyle w:val="46"/>
        <w:numPr>
          <w:ilvl w:val="1"/>
          <w:numId w:val="5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大写金额和小写金额不一致的，以大写金额为准；</w:t>
      </w:r>
    </w:p>
    <w:p>
      <w:pPr>
        <w:pStyle w:val="46"/>
        <w:numPr>
          <w:ilvl w:val="1"/>
          <w:numId w:val="5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单价金额小数点或者百分比有明显错位的，以开标一览表的总价为准，并修改单价；</w:t>
      </w:r>
    </w:p>
    <w:p>
      <w:pPr>
        <w:pStyle w:val="46"/>
        <w:numPr>
          <w:ilvl w:val="1"/>
          <w:numId w:val="5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总价金额与按单价汇总金额不一致的，以单价金额计算结果为准。</w:t>
      </w:r>
    </w:p>
    <w:p>
      <w:pPr>
        <w:pStyle w:val="46"/>
        <w:tabs>
          <w:tab w:val="left" w:pos="426"/>
        </w:tabs>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同时出现两种以上不一致的，按照前款规定的顺序修正。修正后的报价</w:t>
      </w:r>
      <w:r>
        <w:rPr>
          <w:rFonts w:hint="eastAsia" w:ascii="宋体" w:hAnsi="宋体" w:eastAsia="宋体" w:cs="宋体"/>
          <w:color w:val="000000" w:themeColor="text1"/>
          <w:sz w:val="24"/>
          <w:szCs w:val="24"/>
          <w:lang w:eastAsia="zh-TW"/>
          <w14:textFill>
            <w14:solidFill>
              <w14:schemeClr w14:val="tx1"/>
            </w14:solidFill>
          </w14:textFill>
        </w:rPr>
        <w:t>按照《政府采购货物和服务招标投标管理办法》第五十一条第二款的规定</w:t>
      </w:r>
      <w:r>
        <w:rPr>
          <w:rFonts w:hint="eastAsia" w:ascii="宋体" w:hAnsi="宋体" w:eastAsia="宋体" w:cs="宋体"/>
          <w:bCs/>
          <w:color w:val="000000" w:themeColor="text1"/>
          <w:sz w:val="24"/>
          <w:szCs w:val="24"/>
          <w14:textFill>
            <w14:solidFill>
              <w14:schemeClr w14:val="tx1"/>
            </w14:solidFill>
          </w14:textFill>
        </w:rPr>
        <w:t>经投标人确认后产生约束力，投标人不确认的，其投标无效。</w:t>
      </w:r>
    </w:p>
    <w:p>
      <w:pPr>
        <w:pStyle w:val="46"/>
        <w:numPr>
          <w:ilvl w:val="1"/>
          <w:numId w:val="5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bookmarkStart w:id="100" w:name="_Hlk86745538"/>
      <w:r>
        <w:rPr>
          <w:rFonts w:hint="eastAsia" w:ascii="宋体" w:hAnsi="宋体" w:eastAsia="宋体" w:cs="宋体"/>
          <w:bCs/>
          <w:color w:val="000000" w:themeColor="text1"/>
          <w:sz w:val="24"/>
          <w:szCs w:val="24"/>
          <w14:textFill>
            <w14:solidFill>
              <w14:schemeClr w14:val="tx1"/>
            </w14:solidFill>
          </w14:textFill>
        </w:rPr>
        <w:t>投标文件中</w:t>
      </w:r>
      <w:bookmarkStart w:id="101" w:name="_Hlk81348653"/>
      <w:r>
        <w:rPr>
          <w:rFonts w:hint="eastAsia" w:ascii="宋体" w:hAnsi="宋体" w:eastAsia="宋体" w:cs="宋体"/>
          <w:bCs/>
          <w:color w:val="000000" w:themeColor="text1"/>
          <w:sz w:val="24"/>
          <w:szCs w:val="24"/>
          <w14:textFill>
            <w14:solidFill>
              <w14:schemeClr w14:val="tx1"/>
            </w14:solidFill>
          </w14:textFill>
        </w:rPr>
        <w:t>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w:t>
      </w:r>
      <w:bookmarkEnd w:id="101"/>
      <w:r>
        <w:rPr>
          <w:rFonts w:hint="eastAsia" w:ascii="宋体" w:hAnsi="宋体" w:eastAsia="宋体" w:cs="宋体"/>
          <w:bCs/>
          <w:color w:val="000000" w:themeColor="text1"/>
          <w:sz w:val="24"/>
          <w:szCs w:val="24"/>
          <w14:textFill>
            <w14:solidFill>
              <w14:schemeClr w14:val="tx1"/>
            </w14:solidFill>
          </w14:textFill>
        </w:rPr>
        <w:t>与唱标信封中开标一览表（报价表、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内容不一致的，以唱标信封中开标一览表（报价表）、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内容为准。</w:t>
      </w:r>
    </w:p>
    <w:bookmarkEnd w:id="100"/>
    <w:p>
      <w:pPr>
        <w:pStyle w:val="46"/>
        <w:numPr>
          <w:ilvl w:val="0"/>
          <w:numId w:val="52"/>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0"/>
          <w:numId w:val="52"/>
        </w:numPr>
        <w:tabs>
          <w:tab w:val="left" w:pos="426"/>
        </w:tabs>
        <w:spacing w:before="312" w:beforeLines="100" w:line="360" w:lineRule="auto"/>
        <w:ind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有下列情形之一的，视为投标人串通投标，其投标无效；</w:t>
      </w:r>
    </w:p>
    <w:p>
      <w:pPr>
        <w:spacing w:line="360" w:lineRule="auto"/>
        <w:ind w:firstLine="480"/>
        <w:rPr>
          <w:sz w:val="24"/>
          <w:szCs w:val="28"/>
        </w:rPr>
      </w:pPr>
      <w:r>
        <w:rPr>
          <w:sz w:val="24"/>
          <w:szCs w:val="28"/>
        </w:rPr>
        <w:t>不同投标人的投标文件由同一单位或者个人编制；</w:t>
      </w:r>
    </w:p>
    <w:p>
      <w:pPr>
        <w:spacing w:line="360" w:lineRule="auto"/>
        <w:ind w:firstLine="480"/>
        <w:rPr>
          <w:sz w:val="24"/>
          <w:szCs w:val="28"/>
        </w:rPr>
      </w:pPr>
      <w:r>
        <w:rPr>
          <w:sz w:val="24"/>
          <w:szCs w:val="28"/>
        </w:rPr>
        <w:t>不同投标人委托同一单位或者个人办理投标事宜；</w:t>
      </w:r>
    </w:p>
    <w:p>
      <w:pPr>
        <w:spacing w:line="360" w:lineRule="auto"/>
        <w:ind w:firstLine="480"/>
        <w:rPr>
          <w:sz w:val="24"/>
          <w:szCs w:val="28"/>
        </w:rPr>
      </w:pPr>
      <w:r>
        <w:rPr>
          <w:sz w:val="24"/>
          <w:szCs w:val="28"/>
        </w:rPr>
        <w:t>不同投标人的投标文件载明的项目管理成员或者联系人员为同一人；</w:t>
      </w:r>
    </w:p>
    <w:p>
      <w:pPr>
        <w:spacing w:line="360" w:lineRule="auto"/>
        <w:ind w:firstLine="480"/>
        <w:rPr>
          <w:sz w:val="24"/>
          <w:szCs w:val="28"/>
        </w:rPr>
      </w:pPr>
      <w:r>
        <w:rPr>
          <w:sz w:val="24"/>
          <w:szCs w:val="28"/>
        </w:rPr>
        <w:t>不同投标人的投标文件异常一致或者投标报价呈规律性差异；</w:t>
      </w:r>
    </w:p>
    <w:p>
      <w:pPr>
        <w:spacing w:line="360" w:lineRule="auto"/>
        <w:ind w:firstLine="480"/>
        <w:rPr>
          <w:sz w:val="24"/>
          <w:szCs w:val="28"/>
        </w:rPr>
      </w:pPr>
      <w:r>
        <w:rPr>
          <w:sz w:val="24"/>
          <w:szCs w:val="28"/>
        </w:rPr>
        <w:t>不同投标人的投标文件相互混装；</w:t>
      </w:r>
    </w:p>
    <w:p>
      <w:pPr>
        <w:spacing w:line="360" w:lineRule="auto"/>
        <w:ind w:firstLine="480"/>
        <w:rPr>
          <w:sz w:val="24"/>
          <w:szCs w:val="28"/>
        </w:rPr>
      </w:pPr>
      <w:r>
        <w:rPr>
          <w:sz w:val="24"/>
          <w:szCs w:val="28"/>
        </w:rPr>
        <w:t>不同投标人的投标保证金或购买电子保函支付款为从同一单位或个人的账户转出；</w:t>
      </w:r>
    </w:p>
    <w:p>
      <w:pPr>
        <w:spacing w:line="360" w:lineRule="auto"/>
        <w:ind w:firstLine="480"/>
        <w:rPr>
          <w:sz w:val="24"/>
          <w:szCs w:val="28"/>
        </w:rPr>
      </w:pPr>
      <w:r>
        <w:rPr>
          <w:rFonts w:hint="eastAsia"/>
          <w:sz w:val="24"/>
          <w:szCs w:val="28"/>
          <w:lang w:val="en-US" w:eastAsia="zh-CN"/>
        </w:rPr>
        <w:t>采用电子投标的，</w:t>
      </w:r>
      <w:r>
        <w:rPr>
          <w:sz w:val="24"/>
          <w:szCs w:val="28"/>
        </w:rPr>
        <w:t>投标人上传的电子投标文件使用该项目其他投标人的数字证书加密的或加盖该项目的其他投标人的电子印章的。</w:t>
      </w:r>
    </w:p>
    <w:p>
      <w:pPr>
        <w:spacing w:line="360" w:lineRule="auto"/>
        <w:ind w:firstLine="480"/>
        <w:rPr>
          <w:rFonts w:ascii="黑体" w:hAnsi="黑体" w:eastAsia="黑体"/>
          <w:b/>
          <w:bCs/>
          <w:color w:val="000000" w:themeColor="text1"/>
          <w:sz w:val="24"/>
          <w:szCs w:val="24"/>
          <w14:textFill>
            <w14:solidFill>
              <w14:schemeClr w14:val="tx1"/>
            </w14:solidFill>
          </w14:textFill>
        </w:rPr>
      </w:pPr>
      <w:r>
        <w:rPr>
          <w:sz w:val="24"/>
          <w:szCs w:val="24"/>
        </w:rPr>
        <w:t>说明：在评标过程中发现投标人有上述情形的，评标委员会应当认定其投标无效。同时，项目评审时被认定为串通投标的投标人不得参加该合同项下的采购活动。</w:t>
      </w:r>
    </w:p>
    <w:p>
      <w:pPr>
        <w:pStyle w:val="46"/>
        <w:numPr>
          <w:ilvl w:val="0"/>
          <w:numId w:val="52"/>
        </w:numPr>
        <w:tabs>
          <w:tab w:val="left" w:pos="426"/>
        </w:tabs>
        <w:spacing w:before="156" w:beforeLines="50"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商务技术及价格评分权值分配</w:t>
      </w:r>
    </w:p>
    <w:p>
      <w:pPr>
        <w:pStyle w:val="46"/>
        <w:numPr>
          <w:ilvl w:val="0"/>
          <w:numId w:val="0"/>
        </w:numPr>
        <w:spacing w:before="156" w:beforeLines="50" w:line="360" w:lineRule="auto"/>
        <w:ind w:left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综合得分＝商务技术评审得分＋价格得分</w:t>
      </w:r>
    </w:p>
    <w:p>
      <w:pPr>
        <w:pStyle w:val="46"/>
        <w:numPr>
          <w:ilvl w:val="0"/>
          <w:numId w:val="0"/>
        </w:numPr>
        <w:spacing w:before="156" w:beforeLines="50" w:line="360" w:lineRule="auto"/>
        <w:ind w:left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各部分</w:t>
      </w:r>
      <w:r>
        <w:rPr>
          <w:rFonts w:hint="eastAsia" w:ascii="宋体" w:hAnsi="宋体" w:eastAsia="宋体" w:cs="宋体"/>
          <w:bCs/>
          <w:color w:val="000000" w:themeColor="text1"/>
          <w:sz w:val="24"/>
          <w:szCs w:val="24"/>
          <w14:textFill>
            <w14:solidFill>
              <w14:schemeClr w14:val="tx1"/>
            </w14:solidFill>
          </w14:textFill>
        </w:rPr>
        <w:t>评分权值</w:t>
      </w:r>
      <w:r>
        <w:rPr>
          <w:rFonts w:hint="eastAsia" w:ascii="宋体" w:hAnsi="宋体" w:eastAsia="宋体" w:cs="宋体"/>
          <w:bCs/>
          <w:color w:val="000000" w:themeColor="text1"/>
          <w:sz w:val="24"/>
          <w:szCs w:val="24"/>
          <w:lang w:val="en-US" w:eastAsia="zh-CN"/>
          <w14:textFill>
            <w14:solidFill>
              <w14:schemeClr w14:val="tx1"/>
            </w14:solidFill>
          </w14:textFill>
        </w:rPr>
        <w:t>详见附表三。</w:t>
      </w:r>
    </w:p>
    <w:p>
      <w:pPr>
        <w:pStyle w:val="46"/>
        <w:numPr>
          <w:ilvl w:val="0"/>
          <w:numId w:val="0"/>
        </w:numPr>
        <w:spacing w:before="156" w:beforeLines="50" w:line="360" w:lineRule="auto"/>
        <w:ind w:leftChars="0"/>
        <w:rPr>
          <w:rFonts w:hint="default" w:ascii="宋体" w:hAnsi="宋体" w:eastAsia="宋体" w:cs="宋体"/>
          <w:bCs/>
          <w:color w:val="000000" w:themeColor="text1"/>
          <w:sz w:val="24"/>
          <w:szCs w:val="24"/>
          <w:lang w:val="en-US" w:eastAsia="zh-CN"/>
          <w14:textFill>
            <w14:solidFill>
              <w14:schemeClr w14:val="tx1"/>
            </w14:solidFill>
          </w14:textFill>
        </w:rPr>
      </w:pPr>
    </w:p>
    <w:p>
      <w:pPr>
        <w:pStyle w:val="46"/>
        <w:numPr>
          <w:ilvl w:val="0"/>
          <w:numId w:val="52"/>
        </w:numPr>
        <w:tabs>
          <w:tab w:val="left" w:pos="426"/>
        </w:tabs>
        <w:spacing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中标候选人</w:t>
      </w:r>
    </w:p>
    <w:p>
      <w:pPr>
        <w:pStyle w:val="46"/>
        <w:numPr>
          <w:ilvl w:val="1"/>
          <w:numId w:val="6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评标委员会出具评标报告，并排序推荐</w:t>
      </w:r>
      <w:r>
        <w:rPr>
          <w:rFonts w:hint="eastAsia" w:ascii="宋体" w:hAnsi="宋体" w:eastAsia="宋体" w:cs="宋体"/>
          <w:bCs/>
          <w:color w:val="000000" w:themeColor="text1"/>
          <w:sz w:val="24"/>
          <w:szCs w:val="24"/>
          <w:highlight w:val="yellow"/>
          <w14:textFill>
            <w14:solidFill>
              <w14:schemeClr w14:val="tx1"/>
            </w14:solidFill>
          </w14:textFill>
        </w:rPr>
        <w:t>二</w:t>
      </w:r>
      <w:r>
        <w:rPr>
          <w:rFonts w:hint="eastAsia" w:ascii="宋体" w:hAnsi="宋体" w:eastAsia="宋体" w:cs="宋体"/>
          <w:bCs/>
          <w:color w:val="000000" w:themeColor="text1"/>
          <w:sz w:val="24"/>
          <w:szCs w:val="24"/>
          <w14:textFill>
            <w14:solidFill>
              <w14:schemeClr w14:val="tx1"/>
            </w14:solidFill>
          </w14:textFill>
        </w:rPr>
        <w:t>名中标候选人</w:t>
      </w:r>
    </w:p>
    <w:p>
      <w:pPr>
        <w:pStyle w:val="46"/>
        <w:numPr>
          <w:ilvl w:val="1"/>
          <w:numId w:val="60"/>
        </w:numPr>
        <w:tabs>
          <w:tab w:val="left" w:pos="567"/>
          <w:tab w:val="left" w:pos="709"/>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使用综合评分法的采购项目：提供相同品牌产品或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将根据采购项目技术构成、产品价格比重等合理确定核心产品，并在招标文件中载明。多家投标人提供的核心产品品牌相同的，按上述规定处理。</w:t>
      </w:r>
    </w:p>
    <w:p>
      <w:pPr>
        <w:pStyle w:val="46"/>
        <w:numPr>
          <w:ilvl w:val="1"/>
          <w:numId w:val="60"/>
        </w:numPr>
        <w:tabs>
          <w:tab w:val="left" w:pos="567"/>
          <w:tab w:val="left" w:pos="709"/>
        </w:tabs>
        <w:spacing w:line="360" w:lineRule="auto"/>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综合评分法的，评审结果按评审后得分由高到低的顺序排列。得分相同的，按投标报价由低到高顺序排列。得分且投标报价相同并列的。投标文件满足招标文件全部实质性要求，且按照评审因素的量化指标评审得分最高的投标人为排名第一的中标候选人。</w:t>
      </w:r>
    </w:p>
    <w:p>
      <w:pPr>
        <w:pStyle w:val="46"/>
        <w:keepNext w:val="0"/>
        <w:keepLines w:val="0"/>
        <w:pageBreakBefore/>
        <w:widowControl w:val="0"/>
        <w:numPr>
          <w:ilvl w:val="0"/>
          <w:numId w:val="61"/>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ascii="黑体" w:hAnsi="黑体" w:eastAsia="黑体"/>
          <w:b/>
          <w:bCs/>
          <w:color w:val="000000" w:themeColor="text1"/>
          <w:sz w:val="22"/>
          <w:szCs w:val="22"/>
          <w14:textFill>
            <w14:solidFill>
              <w14:schemeClr w14:val="tx1"/>
            </w14:solidFill>
          </w14:textFill>
        </w:rPr>
      </w:pPr>
      <w:bookmarkStart w:id="102" w:name="_Toc1988"/>
      <w:bookmarkStart w:id="103" w:name="_Toc22690"/>
      <w:r>
        <w:rPr>
          <w:rFonts w:hint="eastAsia" w:ascii="黑体" w:hAnsi="黑体" w:eastAsia="黑体"/>
          <w:b/>
          <w:bCs/>
          <w:color w:val="000000" w:themeColor="text1"/>
          <w:sz w:val="22"/>
          <w:szCs w:val="22"/>
          <w14:textFill>
            <w14:solidFill>
              <w14:schemeClr w14:val="tx1"/>
            </w14:solidFill>
          </w14:textFill>
        </w:rPr>
        <w:t>附表一</w:t>
      </w:r>
      <w:r>
        <w:rPr>
          <w:rFonts w:ascii="黑体" w:hAnsi="黑体" w:eastAsia="黑体"/>
          <w:b/>
          <w:bCs/>
          <w:color w:val="000000" w:themeColor="text1"/>
          <w:sz w:val="22"/>
          <w:szCs w:val="22"/>
          <w14:textFill>
            <w14:solidFill>
              <w14:schemeClr w14:val="tx1"/>
            </w14:solidFill>
          </w14:textFill>
        </w:rPr>
        <w:t xml:space="preserve"> </w:t>
      </w:r>
      <w:bookmarkStart w:id="104" w:name="_Hlk79422957"/>
      <w:r>
        <w:rPr>
          <w:rFonts w:hint="eastAsia" w:ascii="黑体" w:hAnsi="黑体" w:eastAsia="黑体"/>
          <w:b/>
          <w:bCs/>
          <w:color w:val="000000" w:themeColor="text1"/>
          <w:sz w:val="22"/>
          <w:szCs w:val="22"/>
          <w:lang w:val="en-US" w:eastAsia="zh-CN"/>
          <w14:textFill>
            <w14:solidFill>
              <w14:schemeClr w14:val="tx1"/>
            </w14:solidFill>
          </w14:textFill>
        </w:rPr>
        <w:t xml:space="preserve"> </w:t>
      </w:r>
      <w:r>
        <w:rPr>
          <w:rFonts w:hint="eastAsia" w:ascii="黑体" w:hAnsi="黑体" w:eastAsia="黑体"/>
          <w:b/>
          <w:bCs/>
          <w:color w:val="000000" w:themeColor="text1"/>
          <w:sz w:val="22"/>
          <w:szCs w:val="22"/>
          <w14:textFill>
            <w14:solidFill>
              <w14:schemeClr w14:val="tx1"/>
            </w14:solidFill>
          </w14:textFill>
        </w:rPr>
        <w:t>资格性审查表</w:t>
      </w:r>
      <w:bookmarkEnd w:id="102"/>
      <w:bookmarkEnd w:id="103"/>
      <w:bookmarkEnd w:id="104"/>
    </w:p>
    <w:tbl>
      <w:tblPr>
        <w:tblStyle w:val="3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719"/>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4568" w:type="pct"/>
            <w:gridSpan w:val="2"/>
            <w:tcBorders>
              <w:tl2br w:val="nil"/>
            </w:tcBorders>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p>
        </w:tc>
        <w:tc>
          <w:tcPr>
            <w:tcW w:w="1365" w:type="pct"/>
            <w:tcBorders>
              <w:tl2br w:val="nil"/>
            </w:tcBorders>
            <w:vAlign w:val="center"/>
          </w:tcPr>
          <w:p>
            <w:pPr>
              <w:spacing w:line="240" w:lineRule="auto"/>
              <w:jc w:val="left"/>
              <w:rPr>
                <w:rFonts w:hint="eastAsia" w:ascii="黑体" w:hAnsi="黑体" w:eastAsia="黑体" w:cs="宋体"/>
                <w:color w:val="000000" w:themeColor="text1"/>
                <w:kern w:val="0"/>
                <w:sz w:val="22"/>
                <w:szCs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具有独立承担民事责任的能力</w:t>
            </w:r>
          </w:p>
        </w:tc>
        <w:tc>
          <w:tcPr>
            <w:tcW w:w="3202" w:type="pct"/>
            <w:vAlign w:val="center"/>
          </w:tcPr>
          <w:p>
            <w:pPr>
              <w:spacing w:line="240" w:lineRule="auto"/>
              <w:jc w:val="left"/>
              <w:rPr>
                <w:rFonts w:hint="eastAsia" w:ascii="黑体" w:hAnsi="黑体" w:eastAsia="黑体" w:cs="宋体"/>
                <w:color w:val="000000" w:themeColor="text1"/>
                <w:kern w:val="0"/>
                <w:sz w:val="22"/>
                <w:szCs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lang w:val="en-US" w:eastAsia="zh-CN"/>
                <w14:textFill>
                  <w14:solidFill>
                    <w14:schemeClr w14:val="tx1"/>
                  </w14:solidFill>
                </w14:textFill>
              </w:rPr>
              <w:t>1</w:t>
            </w:r>
          </w:p>
        </w:tc>
        <w:tc>
          <w:tcPr>
            <w:tcW w:w="1365" w:type="pct"/>
            <w:tcBorders>
              <w:tl2br w:val="nil"/>
            </w:tcBorders>
            <w:vAlign w:val="center"/>
          </w:tcPr>
          <w:p>
            <w:pPr>
              <w:spacing w:line="240" w:lineRule="auto"/>
              <w:jc w:val="left"/>
              <w:rPr>
                <w:rFonts w:ascii="黑体" w:hAnsi="黑体" w:eastAsia="黑体"/>
                <w:color w:val="000000" w:themeColor="text1"/>
                <w:sz w:val="22"/>
                <w:szCs w:val="22"/>
                <w:highlight w:val="red"/>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有依法缴纳税收和社会保障资金的良好记录</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lang w:val="en-US" w:eastAsia="zh-CN"/>
                <w14:textFill>
                  <w14:solidFill>
                    <w14:schemeClr w14:val="tx1"/>
                  </w14:solidFill>
                </w14:textFill>
              </w:rPr>
              <w:t>2</w:t>
            </w:r>
          </w:p>
        </w:tc>
        <w:tc>
          <w:tcPr>
            <w:tcW w:w="1365" w:type="pct"/>
            <w:tcBorders>
              <w:tl2br w:val="nil"/>
            </w:tcBorders>
            <w:vAlign w:val="center"/>
          </w:tcPr>
          <w:p>
            <w:pPr>
              <w:spacing w:line="240" w:lineRule="auto"/>
              <w:jc w:val="left"/>
              <w:rPr>
                <w:rFonts w:ascii="黑体" w:hAnsi="黑体" w:eastAsia="黑体"/>
                <w:color w:val="000000" w:themeColor="text1"/>
                <w:sz w:val="22"/>
                <w:szCs w:val="22"/>
                <w:highlight w:val="red"/>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具有良好的商业信誉和健全的财务会计制度</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highlight w:val="none"/>
                <w14:textFill>
                  <w14:solidFill>
                    <w14:schemeClr w14:val="tx1"/>
                  </w14:solidFill>
                </w14:textFill>
              </w:rPr>
              <w:t>提供会计师事务所出具的2023年度审计报告或投标截止前近一个月的资产负债表、利润表、现金流量表复印件或2024年银行出具的资信证明。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lang w:val="en-US" w:eastAsia="zh-CN"/>
                <w14:textFill>
                  <w14:solidFill>
                    <w14:schemeClr w14:val="tx1"/>
                  </w14:solidFill>
                </w14:textFill>
              </w:rPr>
              <w:t>3</w:t>
            </w:r>
          </w:p>
        </w:tc>
        <w:tc>
          <w:tcPr>
            <w:tcW w:w="1365" w:type="pct"/>
            <w:tcBorders>
              <w:tl2br w:val="nil"/>
            </w:tcBorders>
            <w:vAlign w:val="center"/>
          </w:tcPr>
          <w:p>
            <w:pPr>
              <w:spacing w:line="24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履行合同所必须的设备和专业技术能力</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自拟填报设备及专业技术能力情况或提供资格声明函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1.4</w:t>
            </w:r>
          </w:p>
        </w:tc>
        <w:tc>
          <w:tcPr>
            <w:tcW w:w="1365" w:type="pct"/>
            <w:tcBorders>
              <w:tl2br w:val="nil"/>
            </w:tcBorders>
            <w:vAlign w:val="center"/>
          </w:tcPr>
          <w:p>
            <w:pPr>
              <w:spacing w:line="240" w:lineRule="auto"/>
              <w:jc w:val="left"/>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能出具正规增值税专用发票</w:t>
            </w:r>
          </w:p>
        </w:tc>
        <w:tc>
          <w:tcPr>
            <w:tcW w:w="3202" w:type="pct"/>
            <w:vAlign w:val="center"/>
          </w:tcPr>
          <w:p>
            <w:pPr>
              <w:spacing w:line="240" w:lineRule="auto"/>
              <w:jc w:val="left"/>
              <w:rPr>
                <w:rFonts w:hint="eastAsia"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431" w:type="pct"/>
            <w:vAlign w:val="center"/>
          </w:tcPr>
          <w:p>
            <w:pPr>
              <w:jc w:val="center"/>
              <w:rPr>
                <w:rFonts w:hint="eastAsia" w:ascii="黑体" w:hAnsi="黑体" w:eastAsia="黑体"/>
                <w:color w:val="000000" w:themeColor="text1"/>
                <w:sz w:val="22"/>
                <w:szCs w:val="22"/>
                <w:lang w:val="en-US" w:eastAsia="zh-CN"/>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lang w:val="en-US" w:eastAsia="zh-CN"/>
                <w14:textFill>
                  <w14:solidFill>
                    <w14:schemeClr w14:val="tx1"/>
                  </w14:solidFill>
                </w14:textFill>
              </w:rPr>
              <w:t>5</w:t>
            </w:r>
          </w:p>
        </w:tc>
        <w:tc>
          <w:tcPr>
            <w:tcW w:w="1365" w:type="pct"/>
            <w:tcBorders>
              <w:tl2br w:val="nil"/>
            </w:tcBorders>
            <w:vAlign w:val="center"/>
          </w:tcPr>
          <w:p>
            <w:pPr>
              <w:spacing w:line="240" w:lineRule="auto"/>
              <w:jc w:val="left"/>
              <w:rPr>
                <w:rFonts w:ascii="黑体" w:hAnsi="黑体" w:eastAsia="黑体" w:cs="Times New Roman"/>
                <w:color w:val="000000" w:themeColor="text1"/>
                <w:sz w:val="22"/>
                <w:szCs w:val="22"/>
                <w14:textFill>
                  <w14:solidFill>
                    <w14:schemeClr w14:val="tx1"/>
                  </w14:solidFill>
                </w14:textFill>
              </w:rPr>
            </w:pPr>
            <w:r>
              <w:rPr>
                <w:rFonts w:hint="eastAsia" w:ascii="黑体" w:hAnsi="黑体" w:eastAsia="黑体" w:cs="Times New Roman"/>
                <w:color w:val="000000" w:themeColor="text1"/>
                <w:sz w:val="22"/>
                <w:szCs w:val="22"/>
                <w14:textFill>
                  <w14:solidFill>
                    <w14:schemeClr w14:val="tx1"/>
                  </w14:solidFill>
                </w14:textFill>
              </w:rPr>
              <w:t>参加采购活动前3年内，在经营活动中没有重大违法记录：</w:t>
            </w:r>
          </w:p>
        </w:tc>
        <w:tc>
          <w:tcPr>
            <w:tcW w:w="3202" w:type="pct"/>
            <w:vAlign w:val="center"/>
          </w:tcPr>
          <w:p>
            <w:pPr>
              <w:spacing w:line="240" w:lineRule="auto"/>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参照资格声明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2</w:t>
            </w:r>
          </w:p>
        </w:tc>
        <w:tc>
          <w:tcPr>
            <w:tcW w:w="4568" w:type="pct"/>
            <w:gridSpan w:val="2"/>
            <w:tcBorders>
              <w:tl2br w:val="nil"/>
            </w:tcBorders>
            <w:vAlign w:val="center"/>
          </w:tcPr>
          <w:p>
            <w:pPr>
              <w:spacing w:line="240" w:lineRule="auto"/>
              <w:jc w:val="both"/>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3</w:t>
            </w:r>
          </w:p>
        </w:tc>
        <w:tc>
          <w:tcPr>
            <w:tcW w:w="4568" w:type="pct"/>
            <w:gridSpan w:val="2"/>
            <w:tcBorders>
              <w:tl2br w:val="nil"/>
            </w:tcBorders>
            <w:vAlign w:val="center"/>
          </w:tcPr>
          <w:p>
            <w:pPr>
              <w:spacing w:line="240" w:lineRule="auto"/>
              <w:jc w:val="left"/>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单位负责人为同一人或者存在直接控股、管理关系的不同供应商，不得同时参加本采购项目投标。为本项目提供整体设计、规范编制或者项目管理、监理、检测等服务的供应商，不得再参与本项目投标。</w:t>
            </w:r>
            <w:r>
              <w:rPr>
                <w:rFonts w:hint="eastAsia" w:ascii="黑体" w:hAnsi="黑体" w:eastAsia="黑体"/>
                <w:color w:val="000000" w:themeColor="text1"/>
                <w:sz w:val="22"/>
                <w:szCs w:val="22"/>
                <w:lang w:val="en-US" w:eastAsia="zh-CN"/>
                <w14:textFill>
                  <w14:solidFill>
                    <w14:schemeClr w14:val="tx1"/>
                  </w14:solidFill>
                </w14:textFill>
              </w:rPr>
              <w:t>自拟</w:t>
            </w:r>
            <w:r>
              <w:rPr>
                <w:rFonts w:hint="eastAsia" w:ascii="黑体" w:hAnsi="黑体" w:eastAsia="黑体"/>
                <w:color w:val="000000" w:themeColor="text1"/>
                <w:sz w:val="22"/>
                <w:szCs w:val="22"/>
                <w14:textFill>
                  <w14:solidFill>
                    <w14:schemeClr w14:val="tx1"/>
                  </w14:solidFill>
                </w14:textFill>
              </w:rPr>
              <w:t>承诺</w:t>
            </w:r>
            <w:r>
              <w:rPr>
                <w:rFonts w:hint="eastAsia" w:ascii="黑体" w:hAnsi="黑体" w:eastAsia="黑体"/>
                <w:color w:val="000000" w:themeColor="text1"/>
                <w:sz w:val="22"/>
                <w:szCs w:val="22"/>
                <w:lang w:val="en-US" w:eastAsia="zh-CN"/>
                <w14:textFill>
                  <w14:solidFill>
                    <w14:schemeClr w14:val="tx1"/>
                  </w14:solidFill>
                </w14:textFill>
              </w:rPr>
              <w:t>相关</w:t>
            </w:r>
            <w:r>
              <w:rPr>
                <w:rFonts w:hint="eastAsia" w:ascii="黑体" w:hAnsi="黑体" w:eastAsia="黑体"/>
                <w:color w:val="000000" w:themeColor="text1"/>
                <w:sz w:val="22"/>
                <w:szCs w:val="22"/>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1"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4</w:t>
            </w:r>
          </w:p>
        </w:tc>
        <w:tc>
          <w:tcPr>
            <w:tcW w:w="4568" w:type="pct"/>
            <w:gridSpan w:val="2"/>
            <w:tcBorders>
              <w:tl2br w:val="nil"/>
            </w:tcBorders>
            <w:vAlign w:val="center"/>
          </w:tcPr>
          <w:p>
            <w:pPr>
              <w:spacing w:line="240" w:lineRule="auto"/>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本项目不接受联合体投标。</w:t>
            </w:r>
          </w:p>
        </w:tc>
      </w:tr>
    </w:tbl>
    <w:p>
      <w:pPr>
        <w:pStyle w:val="46"/>
        <w:numPr>
          <w:ilvl w:val="0"/>
          <w:numId w:val="0"/>
        </w:numPr>
        <w:spacing w:before="156" w:beforeLines="50" w:line="360" w:lineRule="auto"/>
        <w:ind w:leftChars="0"/>
        <w:rPr>
          <w:rFonts w:ascii="黑体" w:hAnsi="黑体" w:eastAsia="黑体"/>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说明：</w:t>
      </w:r>
      <w:r>
        <w:rPr>
          <w:rFonts w:hint="eastAsia" w:ascii="黑体" w:hAnsi="黑体" w:eastAsia="黑体"/>
          <w:color w:val="000000" w:themeColor="text1"/>
          <w:sz w:val="22"/>
          <w:szCs w:val="22"/>
          <w14:textFill>
            <w14:solidFill>
              <w14:schemeClr w14:val="tx1"/>
            </w14:solidFill>
          </w14:textFill>
        </w:rPr>
        <w:t>投标人必须严格按照《资格性审查表》的评审内容的要求如实提供证明材料并应加盖投标人公章，若投标人不满足《资格性审查表》中任何情形之一的，则其投标无效。</w:t>
      </w:r>
      <w:r>
        <w:rPr>
          <w:rFonts w:ascii="黑体" w:hAnsi="黑体" w:eastAsia="黑体"/>
          <w:color w:val="000000" w:themeColor="text1"/>
          <w:sz w:val="22"/>
          <w:szCs w:val="22"/>
          <w14:textFill>
            <w14:solidFill>
              <w14:schemeClr w14:val="tx1"/>
            </w14:solidFill>
          </w14:textFill>
        </w:rPr>
        <w:cr/>
      </w:r>
    </w:p>
    <w:p>
      <w:pPr>
        <w:pStyle w:val="46"/>
        <w:keepNext w:val="0"/>
        <w:keepLines w:val="0"/>
        <w:pageBreakBefore/>
        <w:widowControl w:val="0"/>
        <w:numPr>
          <w:ilvl w:val="0"/>
          <w:numId w:val="61"/>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hint="eastAsia" w:ascii="黑体" w:hAnsi="黑体" w:eastAsia="黑体"/>
          <w:b/>
          <w:bCs/>
          <w:color w:val="000000" w:themeColor="text1"/>
          <w:sz w:val="22"/>
          <w:szCs w:val="22"/>
          <w14:textFill>
            <w14:solidFill>
              <w14:schemeClr w14:val="tx1"/>
            </w14:solidFill>
          </w14:textFill>
        </w:rPr>
      </w:pPr>
      <w:bookmarkStart w:id="105" w:name="_Toc28958"/>
      <w:bookmarkStart w:id="106" w:name="_Toc24150"/>
      <w:r>
        <w:rPr>
          <w:rFonts w:hint="eastAsia" w:ascii="黑体" w:hAnsi="黑体" w:eastAsia="黑体"/>
          <w:b/>
          <w:bCs/>
          <w:color w:val="000000" w:themeColor="text1"/>
          <w:sz w:val="22"/>
          <w:szCs w:val="22"/>
          <w14:textFill>
            <w14:solidFill>
              <w14:schemeClr w14:val="tx1"/>
            </w14:solidFill>
          </w14:textFill>
        </w:rPr>
        <w:t xml:space="preserve">附表二 </w:t>
      </w:r>
      <w:bookmarkStart w:id="107" w:name="_Hlk79425582"/>
      <w:r>
        <w:rPr>
          <w:rFonts w:hint="eastAsia" w:ascii="黑体" w:hAnsi="黑体" w:eastAsia="黑体"/>
          <w:b/>
          <w:bCs/>
          <w:color w:val="000000" w:themeColor="text1"/>
          <w:sz w:val="22"/>
          <w:szCs w:val="22"/>
          <w14:textFill>
            <w14:solidFill>
              <w14:schemeClr w14:val="tx1"/>
            </w14:solidFill>
          </w14:textFill>
        </w:rPr>
        <w:t xml:space="preserve"> </w:t>
      </w:r>
      <w:bookmarkStart w:id="108" w:name="_Hlk80867805"/>
      <w:r>
        <w:rPr>
          <w:rFonts w:hint="eastAsia" w:ascii="黑体" w:hAnsi="黑体" w:eastAsia="黑体"/>
          <w:b/>
          <w:bCs/>
          <w:color w:val="000000" w:themeColor="text1"/>
          <w:sz w:val="22"/>
          <w:szCs w:val="22"/>
          <w14:textFill>
            <w14:solidFill>
              <w14:schemeClr w14:val="tx1"/>
            </w14:solidFill>
          </w14:textFill>
        </w:rPr>
        <w:t>符合性审查表</w:t>
      </w:r>
      <w:bookmarkEnd w:id="105"/>
      <w:bookmarkEnd w:id="106"/>
      <w:bookmarkEnd w:id="107"/>
      <w:bookmarkEnd w:id="108"/>
    </w:p>
    <w:tbl>
      <w:tblPr>
        <w:tblStyle w:val="35"/>
        <w:tblW w:w="99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9"/>
        <w:gridCol w:w="2402"/>
        <w:gridCol w:w="64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402"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评审点要求概况</w:t>
            </w:r>
          </w:p>
        </w:tc>
        <w:tc>
          <w:tcPr>
            <w:tcW w:w="6499"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投标函</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授权文件</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法定代表人（负责人）证明书、法定代表人（负责人）授权委托书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投标有效期</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投标截止日起90日历天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4</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签署、盖章</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投标文件按照项目采购文件规定要求签署、盖章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5</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投标报价</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投标报价</w:t>
            </w:r>
            <w:r>
              <w:rPr>
                <w:rFonts w:hint="eastAsia" w:ascii="黑体" w:hAnsi="黑体" w:eastAsia="黑体"/>
                <w:color w:val="000000" w:themeColor="text1"/>
                <w:sz w:val="22"/>
                <w:szCs w:val="22"/>
                <w:lang w:val="en-US" w:eastAsia="zh-CN"/>
                <w14:textFill>
                  <w14:solidFill>
                    <w14:schemeClr w14:val="tx1"/>
                  </w14:solidFill>
                </w14:textFill>
              </w:rPr>
              <w:t>未超最高限价，且</w:t>
            </w:r>
            <w:r>
              <w:rPr>
                <w:rFonts w:hint="eastAsia" w:ascii="黑体" w:hAnsi="黑体" w:eastAsia="黑体"/>
                <w:color w:val="000000" w:themeColor="text1"/>
                <w:sz w:val="22"/>
                <w:szCs w:val="22"/>
                <w14:textFill>
                  <w14:solidFill>
                    <w14:schemeClr w14:val="tx1"/>
                  </w14:solidFill>
                </w14:textFill>
              </w:rPr>
              <w:t>是固定唯一值的；若投标报价显低于其他通过符合性审查投标人的报价，投标人应能作出合理说明</w:t>
            </w:r>
            <w:r>
              <w:rPr>
                <w:rFonts w:hint="eastAsia" w:ascii="黑体" w:hAnsi="黑体" w:eastAsia="黑体"/>
                <w:color w:val="000000" w:themeColor="text1"/>
                <w:sz w:val="22"/>
                <w:szCs w:val="22"/>
                <w:lang w:eastAsia="zh-CN"/>
                <w14:textFill>
                  <w14:solidFill>
                    <w14:schemeClr w14:val="tx1"/>
                  </w14:solidFill>
                </w14:textFill>
              </w:rPr>
              <w:t>；</w:t>
            </w:r>
            <w:r>
              <w:rPr>
                <w:rFonts w:hint="eastAsia" w:ascii="黑体" w:hAnsi="黑体" w:eastAsia="黑体"/>
                <w:color w:val="000000" w:themeColor="text1"/>
                <w:sz w:val="22"/>
                <w:szCs w:val="22"/>
                <w14:textFill>
                  <w14:solidFill>
                    <w14:schemeClr w14:val="tx1"/>
                  </w14:solidFill>
                </w14:textFill>
              </w:rPr>
              <w:t>招标文件不接受提交备用方案。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6</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带“★”号条款</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能满足采购需求的主要参数（带“★”号条款）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7</w:t>
            </w:r>
          </w:p>
        </w:tc>
        <w:tc>
          <w:tcPr>
            <w:tcW w:w="2402" w:type="dxa"/>
          </w:tcPr>
          <w:p>
            <w:pPr>
              <w:spacing w:line="360" w:lineRule="auto"/>
              <w:jc w:val="center"/>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投标保证金</w:t>
            </w:r>
          </w:p>
        </w:tc>
        <w:tc>
          <w:tcPr>
            <w:tcW w:w="6499" w:type="dxa"/>
          </w:tcPr>
          <w:p>
            <w:pPr>
              <w:spacing w:line="360" w:lineRule="auto"/>
              <w:jc w:val="center"/>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投标人按招标文件要求缴纳投标保证金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8</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附加条件</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投标文件没有采购人不能接受的附加条件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9</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其他无效情形</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未出现法律、法规和项目采购文件规定的其他无效情形</w:t>
            </w:r>
          </w:p>
        </w:tc>
      </w:tr>
    </w:tbl>
    <w:p>
      <w:pPr>
        <w:pStyle w:val="46"/>
        <w:numPr>
          <w:ilvl w:val="0"/>
          <w:numId w:val="62"/>
        </w:numPr>
        <w:spacing w:before="468" w:beforeLines="150" w:line="360" w:lineRule="auto"/>
        <w:ind w:firstLineChars="0"/>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说明：</w:t>
      </w:r>
    </w:p>
    <w:p>
      <w:pPr>
        <w:spacing w:before="156" w:beforeLines="50" w:line="360" w:lineRule="auto"/>
        <w:ind w:firstLine="440" w:firstLineChars="200"/>
        <w:rPr>
          <w:rFonts w:ascii="黑体" w:hAnsi="黑体" w:eastAsia="黑体"/>
          <w:b/>
          <w:bCs/>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投标人必须严格按照《符合性审查表》的评审内容的要求如实提供证明材料并应加盖投标人公章，若投标人不满足《符合性审查表》中任何情形之一的，则其投标无效。</w:t>
      </w:r>
    </w:p>
    <w:p>
      <w:pPr>
        <w:pStyle w:val="46"/>
        <w:keepNext w:val="0"/>
        <w:keepLines w:val="0"/>
        <w:pageBreakBefore/>
        <w:widowControl w:val="0"/>
        <w:numPr>
          <w:ilvl w:val="0"/>
          <w:numId w:val="61"/>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hint="eastAsia" w:ascii="黑体" w:hAnsi="黑体" w:eastAsia="黑体"/>
          <w:b/>
          <w:bCs/>
          <w:color w:val="000000" w:themeColor="text1"/>
          <w:sz w:val="22"/>
          <w:szCs w:val="22"/>
          <w14:textFill>
            <w14:solidFill>
              <w14:schemeClr w14:val="tx1"/>
            </w14:solidFill>
          </w14:textFill>
        </w:rPr>
      </w:pPr>
      <w:bookmarkStart w:id="109" w:name="_Toc3806"/>
      <w:bookmarkStart w:id="110" w:name="_Toc8943"/>
      <w:r>
        <w:rPr>
          <w:rFonts w:hint="eastAsia" w:ascii="黑体" w:hAnsi="黑体" w:eastAsia="黑体"/>
          <w:b/>
          <w:bCs/>
          <w:color w:val="000000" w:themeColor="text1"/>
          <w:sz w:val="22"/>
          <w:szCs w:val="22"/>
          <w14:textFill>
            <w14:solidFill>
              <w14:schemeClr w14:val="tx1"/>
            </w14:solidFill>
          </w14:textFill>
        </w:rPr>
        <w:t>附表三  详细评审表（含商务、技术评审细则）</w:t>
      </w:r>
      <w:bookmarkEnd w:id="109"/>
      <w:bookmarkEnd w:id="110"/>
    </w:p>
    <w:p>
      <w:pPr>
        <w:keepNext/>
        <w:keepLines/>
        <w:spacing w:line="360" w:lineRule="auto"/>
        <w:jc w:val="center"/>
        <w:rPr>
          <w:rFonts w:ascii="黑体" w:hAnsi="黑体" w:eastAsia="黑体"/>
          <w:color w:val="000000" w:themeColor="text1"/>
          <w:sz w:val="22"/>
          <w14:textFill>
            <w14:solidFill>
              <w14:schemeClr w14:val="tx1"/>
            </w14:solidFill>
          </w14:textFill>
        </w:rPr>
      </w:pPr>
      <w:bookmarkStart w:id="111" w:name="_Toc116147084"/>
      <w:bookmarkStart w:id="112" w:name="_Toc116593608"/>
      <w:bookmarkStart w:id="113" w:name="_Toc503968345"/>
      <w:bookmarkStart w:id="114" w:name="_Toc43396408"/>
      <w:bookmarkStart w:id="115" w:name="_Toc278274487"/>
      <w:r>
        <w:rPr>
          <w:rFonts w:hint="eastAsia" w:ascii="黑体" w:hAnsi="黑体" w:eastAsia="黑体"/>
          <w:color w:val="000000" w:themeColor="text1"/>
          <w:sz w:val="22"/>
          <w14:textFill>
            <w14:solidFill>
              <w14:schemeClr w14:val="tx1"/>
            </w14:solidFill>
          </w14:textFill>
        </w:rPr>
        <w:t>技术商务评审表</w:t>
      </w:r>
    </w:p>
    <w:tbl>
      <w:tblPr>
        <w:tblStyle w:val="35"/>
        <w:tblW w:w="99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2"/>
        <w:gridCol w:w="2242"/>
        <w:gridCol w:w="6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tcPr>
          <w:p>
            <w:pPr>
              <w:jc w:val="center"/>
              <w:rPr>
                <w:rFonts w:ascii="黑体" w:hAnsi="黑体" w:eastAsia="黑体" w:cs="黑体"/>
                <w:b/>
                <w:bCs/>
                <w:sz w:val="24"/>
                <w:szCs w:val="28"/>
              </w:rPr>
            </w:pPr>
            <w:r>
              <w:rPr>
                <w:rFonts w:hint="eastAsia" w:ascii="黑体" w:hAnsi="黑体" w:eastAsia="黑体" w:cs="黑体"/>
                <w:b/>
                <w:bCs/>
                <w:sz w:val="24"/>
                <w:szCs w:val="28"/>
              </w:rPr>
              <w:t>评审因素</w:t>
            </w:r>
          </w:p>
        </w:tc>
        <w:tc>
          <w:tcPr>
            <w:tcW w:w="8652" w:type="dxa"/>
            <w:gridSpan w:val="2"/>
          </w:tcPr>
          <w:p>
            <w:pPr>
              <w:jc w:val="center"/>
              <w:rPr>
                <w:rFonts w:ascii="黑体" w:hAnsi="黑体" w:eastAsia="黑体" w:cs="黑体"/>
                <w:b/>
                <w:bCs/>
                <w:sz w:val="24"/>
                <w:szCs w:val="28"/>
              </w:rPr>
            </w:pPr>
            <w:r>
              <w:rPr>
                <w:rFonts w:hint="eastAsia" w:ascii="黑体" w:hAnsi="黑体" w:eastAsia="黑体" w:cs="黑体"/>
                <w:b/>
                <w:bCs/>
                <w:sz w:val="24"/>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6" w:hRule="atLeast"/>
        </w:trPr>
        <w:tc>
          <w:tcPr>
            <w:tcW w:w="1302" w:type="dxa"/>
            <w:vAlign w:val="center"/>
          </w:tcPr>
          <w:p>
            <w:pPr>
              <w:jc w:val="center"/>
              <w:rPr>
                <w:rFonts w:ascii="黑体" w:hAnsi="黑体" w:eastAsia="黑体" w:cs="黑体"/>
                <w:sz w:val="22"/>
                <w:szCs w:val="24"/>
              </w:rPr>
            </w:pPr>
            <w:r>
              <w:rPr>
                <w:rFonts w:hint="eastAsia" w:ascii="黑体" w:hAnsi="黑体" w:eastAsia="黑体" w:cs="黑体"/>
                <w:sz w:val="22"/>
                <w:szCs w:val="24"/>
              </w:rPr>
              <w:t>分值构成</w:t>
            </w:r>
          </w:p>
        </w:tc>
        <w:tc>
          <w:tcPr>
            <w:tcW w:w="8652" w:type="dxa"/>
            <w:gridSpan w:val="2"/>
          </w:tcPr>
          <w:p>
            <w:pPr>
              <w:rPr>
                <w:rFonts w:hint="eastAsia" w:ascii="黑体" w:hAnsi="黑体" w:eastAsia="黑体" w:cs="黑体"/>
                <w:sz w:val="22"/>
                <w:szCs w:val="24"/>
              </w:rPr>
            </w:pPr>
            <w:r>
              <w:rPr>
                <w:rFonts w:hint="eastAsia" w:ascii="黑体" w:hAnsi="黑体" w:eastAsia="黑体" w:cs="黑体"/>
                <w:sz w:val="22"/>
                <w:szCs w:val="24"/>
              </w:rPr>
              <w:t>技术部分</w:t>
            </w:r>
            <w:r>
              <w:rPr>
                <w:rFonts w:hint="eastAsia" w:ascii="黑体" w:hAnsi="黑体" w:eastAsia="黑体" w:cs="黑体"/>
                <w:sz w:val="22"/>
                <w:szCs w:val="24"/>
                <w:lang w:val="en-US" w:eastAsia="zh-CN"/>
              </w:rPr>
              <w:t>5</w:t>
            </w:r>
            <w:r>
              <w:rPr>
                <w:rFonts w:hint="eastAsia" w:ascii="黑体" w:hAnsi="黑体" w:eastAsia="黑体" w:cs="黑体"/>
                <w:sz w:val="22"/>
                <w:szCs w:val="24"/>
              </w:rPr>
              <w:t>0分</w:t>
            </w:r>
          </w:p>
          <w:p>
            <w:r>
              <w:rPr>
                <w:rFonts w:hint="eastAsia" w:ascii="黑体" w:hAnsi="黑体" w:eastAsia="黑体" w:cs="黑体"/>
                <w:sz w:val="22"/>
                <w:szCs w:val="24"/>
              </w:rPr>
              <w:t>商务部分</w:t>
            </w:r>
            <w:r>
              <w:rPr>
                <w:rFonts w:ascii="黑体" w:hAnsi="黑体" w:eastAsia="黑体" w:cs="黑体"/>
                <w:sz w:val="22"/>
                <w:szCs w:val="24"/>
              </w:rPr>
              <w:t>3</w:t>
            </w:r>
            <w:r>
              <w:rPr>
                <w:rFonts w:hint="eastAsia" w:ascii="黑体" w:hAnsi="黑体" w:eastAsia="黑体" w:cs="黑体"/>
                <w:sz w:val="22"/>
                <w:szCs w:val="24"/>
              </w:rPr>
              <w:t>0分</w:t>
            </w:r>
          </w:p>
          <w:p>
            <w:pPr>
              <w:rPr>
                <w:rFonts w:ascii="黑体" w:hAnsi="黑体" w:eastAsia="黑体" w:cs="黑体"/>
                <w:sz w:val="22"/>
                <w:szCs w:val="24"/>
              </w:rPr>
            </w:pPr>
            <w:r>
              <w:rPr>
                <w:rFonts w:hint="eastAsia" w:ascii="黑体" w:hAnsi="黑体" w:eastAsia="黑体" w:cs="黑体"/>
                <w:sz w:val="22"/>
                <w:szCs w:val="24"/>
              </w:rPr>
              <w:t>报价得分</w:t>
            </w:r>
            <w:r>
              <w:rPr>
                <w:rFonts w:hint="eastAsia" w:ascii="黑体" w:hAnsi="黑体" w:eastAsia="黑体" w:cs="黑体"/>
                <w:sz w:val="22"/>
                <w:szCs w:val="24"/>
                <w:lang w:val="en-US" w:eastAsia="zh-CN"/>
              </w:rPr>
              <w:t>2</w:t>
            </w:r>
            <w:r>
              <w:rPr>
                <w:rFonts w:hint="eastAsia" w:ascii="黑体" w:hAnsi="黑体" w:eastAsia="黑体" w:cs="黑体"/>
                <w:sz w:val="22"/>
                <w:szCs w:val="24"/>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restart"/>
            <w:vAlign w:val="center"/>
          </w:tcPr>
          <w:p>
            <w:pPr>
              <w:jc w:val="center"/>
              <w:rPr>
                <w:rFonts w:ascii="黑体" w:hAnsi="黑体" w:eastAsia="黑体" w:cs="黑体"/>
                <w:sz w:val="22"/>
                <w:szCs w:val="24"/>
              </w:rPr>
            </w:pPr>
            <w:r>
              <w:rPr>
                <w:rFonts w:hint="eastAsia" w:ascii="黑体" w:hAnsi="黑体" w:eastAsia="黑体" w:cs="黑体"/>
                <w:sz w:val="22"/>
                <w:szCs w:val="24"/>
              </w:rPr>
              <w:t>技术部分</w:t>
            </w:r>
          </w:p>
        </w:tc>
        <w:tc>
          <w:tcPr>
            <w:tcW w:w="2242" w:type="dxa"/>
            <w:vAlign w:val="center"/>
          </w:tcPr>
          <w:p>
            <w:pPr>
              <w:jc w:val="center"/>
              <w:rPr>
                <w:rFonts w:ascii="黑体" w:hAnsi="黑体" w:eastAsia="黑体" w:cs="黑体"/>
                <w:sz w:val="22"/>
                <w:szCs w:val="24"/>
              </w:rPr>
            </w:pPr>
            <w:r>
              <w:rPr>
                <w:rFonts w:hint="eastAsia" w:ascii="黑体" w:hAnsi="黑体" w:eastAsia="黑体" w:cs="黑体"/>
                <w:sz w:val="22"/>
                <w:szCs w:val="24"/>
              </w:rPr>
              <w:t xml:space="preserve"> 策划方案(</w:t>
            </w:r>
            <w:r>
              <w:rPr>
                <w:rFonts w:ascii="黑体" w:hAnsi="黑体" w:eastAsia="黑体" w:cs="黑体"/>
                <w:sz w:val="22"/>
                <w:szCs w:val="24"/>
              </w:rPr>
              <w:t>2</w:t>
            </w:r>
            <w:r>
              <w:rPr>
                <w:rFonts w:hint="eastAsia" w:ascii="黑体" w:hAnsi="黑体" w:eastAsia="黑体" w:cs="黑体"/>
                <w:sz w:val="22"/>
                <w:szCs w:val="24"/>
              </w:rPr>
              <w:t>0分)</w:t>
            </w:r>
          </w:p>
        </w:tc>
        <w:tc>
          <w:tcPr>
            <w:tcW w:w="6410" w:type="dxa"/>
            <w:vAlign w:val="top"/>
          </w:tcPr>
          <w:p>
            <w:pPr>
              <w:ind w:firstLine="440" w:firstLineChars="200"/>
              <w:rPr>
                <w:rFonts w:ascii="黑体" w:hAnsi="黑体" w:eastAsia="黑体" w:cs="黑体"/>
                <w:sz w:val="22"/>
                <w:szCs w:val="24"/>
              </w:rPr>
            </w:pPr>
            <w:r>
              <w:rPr>
                <w:rFonts w:hint="eastAsia" w:ascii="黑体" w:hAnsi="黑体" w:eastAsia="黑体" w:cs="黑体"/>
                <w:sz w:val="22"/>
                <w:szCs w:val="24"/>
              </w:rPr>
              <w:t>根据各响应供应商提供的策划方案（包含项目背景理解、项目主题及目标、定位与特点理解等内容）进行评审：</w:t>
            </w:r>
          </w:p>
          <w:p>
            <w:pPr>
              <w:numPr>
                <w:ilvl w:val="0"/>
                <w:numId w:val="63"/>
              </w:numPr>
              <w:rPr>
                <w:rFonts w:ascii="黑体" w:hAnsi="黑体" w:eastAsia="黑体" w:cs="黑体"/>
                <w:sz w:val="22"/>
                <w:szCs w:val="24"/>
              </w:rPr>
            </w:pPr>
            <w:r>
              <w:rPr>
                <w:rFonts w:hint="eastAsia" w:ascii="黑体" w:hAnsi="黑体" w:eastAsia="黑体" w:cs="黑体"/>
                <w:sz w:val="22"/>
                <w:szCs w:val="24"/>
              </w:rPr>
              <w:t>优：策划方案科学合理、主题明确，定位理解到位，同比优势明显，得</w:t>
            </w:r>
            <w:r>
              <w:rPr>
                <w:rFonts w:ascii="黑体" w:hAnsi="黑体" w:eastAsia="黑体" w:cs="黑体"/>
                <w:sz w:val="22"/>
                <w:szCs w:val="24"/>
              </w:rPr>
              <w:t>2</w:t>
            </w:r>
            <w:r>
              <w:rPr>
                <w:rFonts w:hint="eastAsia" w:ascii="黑体" w:hAnsi="黑体" w:eastAsia="黑体" w:cs="黑体"/>
                <w:sz w:val="22"/>
                <w:szCs w:val="24"/>
              </w:rPr>
              <w:t>0分；</w:t>
            </w:r>
          </w:p>
          <w:p>
            <w:pPr>
              <w:numPr>
                <w:ilvl w:val="0"/>
                <w:numId w:val="63"/>
              </w:numPr>
              <w:rPr>
                <w:rFonts w:ascii="黑体" w:hAnsi="黑体" w:eastAsia="黑体" w:cs="黑体"/>
                <w:sz w:val="22"/>
                <w:szCs w:val="24"/>
              </w:rPr>
            </w:pPr>
            <w:r>
              <w:rPr>
                <w:rFonts w:hint="eastAsia" w:ascii="黑体" w:hAnsi="黑体" w:eastAsia="黑体" w:cs="黑体"/>
                <w:sz w:val="22"/>
                <w:szCs w:val="24"/>
                <w:lang w:val="en-US" w:eastAsia="zh-CN"/>
              </w:rPr>
              <w:t>良</w:t>
            </w:r>
            <w:r>
              <w:rPr>
                <w:rFonts w:hint="eastAsia" w:ascii="黑体" w:hAnsi="黑体" w:eastAsia="黑体" w:cs="黑体"/>
                <w:sz w:val="22"/>
                <w:szCs w:val="24"/>
              </w:rPr>
              <w:t>：策划方案较科学合理、主题较明确，定位理解较到位，执行方案条理较清晰、针对性较强，得</w:t>
            </w:r>
            <w:r>
              <w:rPr>
                <w:rFonts w:hint="eastAsia" w:ascii="黑体" w:hAnsi="黑体" w:eastAsia="黑体" w:cs="黑体"/>
                <w:sz w:val="22"/>
                <w:szCs w:val="24"/>
                <w:lang w:val="en-US" w:eastAsia="zh-CN"/>
              </w:rPr>
              <w:t>12</w:t>
            </w:r>
            <w:r>
              <w:rPr>
                <w:rFonts w:hint="eastAsia" w:ascii="黑体" w:hAnsi="黑体" w:eastAsia="黑体" w:cs="黑体"/>
                <w:sz w:val="22"/>
                <w:szCs w:val="24"/>
              </w:rPr>
              <w:t>分；</w:t>
            </w:r>
          </w:p>
          <w:p>
            <w:pPr>
              <w:numPr>
                <w:ilvl w:val="0"/>
                <w:numId w:val="63"/>
              </w:numPr>
              <w:rPr>
                <w:rFonts w:ascii="黑体" w:hAnsi="黑体" w:eastAsia="黑体" w:cs="黑体"/>
                <w:sz w:val="22"/>
                <w:szCs w:val="24"/>
              </w:rPr>
            </w:pPr>
            <w:r>
              <w:rPr>
                <w:rFonts w:hint="eastAsia" w:ascii="黑体" w:hAnsi="黑体" w:eastAsia="黑体" w:cs="黑体"/>
                <w:sz w:val="22"/>
                <w:szCs w:val="24"/>
                <w:lang w:val="en-US" w:eastAsia="zh-CN"/>
              </w:rPr>
              <w:t>中</w:t>
            </w:r>
            <w:r>
              <w:rPr>
                <w:rFonts w:hint="eastAsia" w:ascii="黑体" w:hAnsi="黑体" w:eastAsia="黑体" w:cs="黑体"/>
                <w:sz w:val="22"/>
                <w:szCs w:val="24"/>
              </w:rPr>
              <w:t>：策划方案符合基本要求，但主题不明确，定位理解偏离，执行方案条理不够清晰，针对性较一般，得</w:t>
            </w:r>
            <w:r>
              <w:rPr>
                <w:rFonts w:hint="eastAsia" w:ascii="黑体" w:hAnsi="黑体" w:eastAsia="黑体" w:cs="黑体"/>
                <w:sz w:val="22"/>
                <w:szCs w:val="24"/>
                <w:lang w:val="en-US" w:eastAsia="zh-CN"/>
              </w:rPr>
              <w:t>5</w:t>
            </w:r>
            <w:r>
              <w:rPr>
                <w:rFonts w:hint="eastAsia" w:ascii="黑体" w:hAnsi="黑体" w:eastAsia="黑体" w:cs="黑体"/>
                <w:sz w:val="22"/>
                <w:szCs w:val="24"/>
              </w:rPr>
              <w:t>分</w:t>
            </w:r>
            <w:r>
              <w:rPr>
                <w:rFonts w:hint="eastAsia" w:ascii="黑体" w:hAnsi="黑体" w:eastAsia="黑体" w:cs="黑体"/>
                <w:sz w:val="22"/>
                <w:szCs w:val="24"/>
                <w:lang w:eastAsia="zh-CN"/>
              </w:rPr>
              <w:t>。</w:t>
            </w:r>
          </w:p>
          <w:p>
            <w:pPr>
              <w:pStyle w:val="2"/>
            </w:pPr>
            <w:r>
              <w:rPr>
                <w:rFonts w:hint="eastAsia" w:ascii="黑体" w:hAnsi="黑体" w:eastAsia="黑体" w:cs="黑体"/>
                <w:sz w:val="22"/>
                <w:szCs w:val="24"/>
                <w:lang w:val="en-US" w:eastAsia="zh-CN"/>
              </w:rPr>
              <w:t>4）</w:t>
            </w:r>
            <w:r>
              <w:rPr>
                <w:rFonts w:hint="eastAsia" w:ascii="黑体" w:hAnsi="黑体" w:eastAsia="黑体" w:cs="黑体"/>
                <w:sz w:val="22"/>
                <w:szCs w:val="24"/>
              </w:rPr>
              <w:t>差：不提供相关方案得0分。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5" w:hRule="atLeast"/>
        </w:trPr>
        <w:tc>
          <w:tcPr>
            <w:tcW w:w="1302" w:type="dxa"/>
            <w:vMerge w:val="continue"/>
            <w:vAlign w:val="center"/>
          </w:tcPr>
          <w:p>
            <w:pPr>
              <w:jc w:val="center"/>
              <w:rPr>
                <w:rFonts w:ascii="黑体" w:hAnsi="黑体" w:eastAsia="黑体" w:cs="黑体"/>
                <w:sz w:val="22"/>
                <w:szCs w:val="24"/>
              </w:rPr>
            </w:pPr>
          </w:p>
        </w:tc>
        <w:tc>
          <w:tcPr>
            <w:tcW w:w="2242" w:type="dxa"/>
            <w:vAlign w:val="center"/>
          </w:tcPr>
          <w:p>
            <w:pPr>
              <w:jc w:val="center"/>
              <w:rPr>
                <w:rFonts w:ascii="黑体" w:hAnsi="黑体" w:eastAsia="黑体" w:cs="黑体"/>
                <w:sz w:val="22"/>
                <w:szCs w:val="24"/>
              </w:rPr>
            </w:pPr>
            <w:r>
              <w:rPr>
                <w:rFonts w:hint="eastAsia" w:ascii="黑体" w:hAnsi="黑体" w:eastAsia="黑体" w:cs="黑体"/>
                <w:sz w:val="22"/>
                <w:szCs w:val="24"/>
              </w:rPr>
              <w:t>脚本方案（</w:t>
            </w:r>
            <w:r>
              <w:rPr>
                <w:rFonts w:ascii="黑体" w:hAnsi="黑体" w:eastAsia="黑体" w:cs="黑体"/>
                <w:sz w:val="22"/>
                <w:szCs w:val="24"/>
              </w:rPr>
              <w:t>20</w:t>
            </w:r>
            <w:r>
              <w:rPr>
                <w:rFonts w:hint="eastAsia" w:ascii="黑体" w:hAnsi="黑体" w:eastAsia="黑体" w:cs="黑体"/>
                <w:sz w:val="22"/>
                <w:szCs w:val="24"/>
              </w:rPr>
              <w:t>分）</w:t>
            </w:r>
          </w:p>
        </w:tc>
        <w:tc>
          <w:tcPr>
            <w:tcW w:w="6410" w:type="dxa"/>
            <w:vAlign w:val="top"/>
          </w:tcPr>
          <w:p>
            <w:pPr>
              <w:numPr>
                <w:ilvl w:val="-1"/>
                <w:numId w:val="0"/>
              </w:numPr>
              <w:ind w:left="0" w:firstLine="440" w:firstLineChars="200"/>
              <w:rPr>
                <w:rFonts w:ascii="黑体" w:hAnsi="黑体" w:eastAsia="黑体" w:cs="黑体"/>
                <w:sz w:val="22"/>
                <w:szCs w:val="24"/>
              </w:rPr>
            </w:pPr>
            <w:r>
              <w:rPr>
                <w:rFonts w:hint="eastAsia" w:ascii="黑体" w:hAnsi="黑体" w:eastAsia="黑体" w:cs="黑体"/>
                <w:sz w:val="22"/>
                <w:szCs w:val="24"/>
              </w:rPr>
              <w:t>根据各相应供应商提供的脚本方案（包括但不限于脚本完整性、概念、知识点准确度、创意创新性、逻辑链条清晰合理性等）进行评审：</w:t>
            </w:r>
          </w:p>
          <w:p>
            <w:pPr>
              <w:numPr>
                <w:ilvl w:val="0"/>
                <w:numId w:val="64"/>
              </w:numPr>
              <w:rPr>
                <w:rFonts w:hint="eastAsia" w:ascii="黑体" w:hAnsi="黑体" w:eastAsia="黑体" w:cs="黑体"/>
                <w:sz w:val="22"/>
                <w:szCs w:val="24"/>
              </w:rPr>
            </w:pPr>
            <w:r>
              <w:rPr>
                <w:rFonts w:hint="eastAsia" w:ascii="黑体" w:hAnsi="黑体" w:eastAsia="黑体" w:cs="黑体"/>
                <w:sz w:val="22"/>
                <w:szCs w:val="24"/>
              </w:rPr>
              <w:t>优：脚本方案创意性强、完整准确度强，字数超1万字</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需注明总字数</w:t>
            </w:r>
            <w:r>
              <w:rPr>
                <w:rFonts w:hint="eastAsia" w:ascii="黑体" w:hAnsi="黑体" w:eastAsia="黑体" w:cs="黑体"/>
                <w:sz w:val="22"/>
                <w:szCs w:val="24"/>
                <w:lang w:eastAsia="zh-CN"/>
              </w:rPr>
              <w:t>）</w:t>
            </w:r>
            <w:r>
              <w:rPr>
                <w:rFonts w:hint="eastAsia" w:ascii="黑体" w:hAnsi="黑体" w:eastAsia="黑体" w:cs="黑体"/>
                <w:sz w:val="22"/>
                <w:szCs w:val="24"/>
              </w:rPr>
              <w:t>，同比优势明显，得</w:t>
            </w:r>
            <w:r>
              <w:rPr>
                <w:rFonts w:hint="eastAsia" w:ascii="黑体" w:hAnsi="黑体" w:eastAsia="黑体" w:cs="黑体"/>
                <w:sz w:val="22"/>
                <w:szCs w:val="24"/>
                <w:lang w:val="en-US" w:eastAsia="zh-CN"/>
              </w:rPr>
              <w:t>20</w:t>
            </w:r>
            <w:r>
              <w:rPr>
                <w:rFonts w:hint="eastAsia" w:ascii="黑体" w:hAnsi="黑体" w:eastAsia="黑体" w:cs="黑体"/>
                <w:sz w:val="22"/>
                <w:szCs w:val="24"/>
              </w:rPr>
              <w:t>分；</w:t>
            </w:r>
          </w:p>
          <w:p>
            <w:pPr>
              <w:numPr>
                <w:ilvl w:val="-1"/>
                <w:numId w:val="0"/>
              </w:numPr>
              <w:rPr>
                <w:rFonts w:hint="eastAsia" w:ascii="黑体" w:hAnsi="黑体" w:eastAsia="黑体" w:cs="黑体"/>
                <w:sz w:val="22"/>
                <w:szCs w:val="24"/>
                <w:lang w:eastAsia="zh-CN"/>
              </w:rPr>
            </w:pPr>
            <w:r>
              <w:rPr>
                <w:rFonts w:hint="eastAsia" w:ascii="黑体" w:hAnsi="黑体" w:eastAsia="黑体" w:cs="黑体"/>
                <w:sz w:val="22"/>
                <w:szCs w:val="24"/>
                <w:lang w:val="en-US" w:eastAsia="zh-CN"/>
              </w:rPr>
              <w:t>2）良</w:t>
            </w:r>
            <w:r>
              <w:rPr>
                <w:rFonts w:hint="eastAsia" w:ascii="黑体" w:hAnsi="黑体" w:eastAsia="黑体" w:cs="黑体"/>
                <w:sz w:val="22"/>
                <w:szCs w:val="24"/>
              </w:rPr>
              <w:t>：脚本方案创意性较强、完整准确度较强，字数超</w:t>
            </w:r>
            <w:r>
              <w:rPr>
                <w:rFonts w:hint="eastAsia" w:ascii="黑体" w:hAnsi="黑体" w:eastAsia="黑体" w:cs="黑体"/>
                <w:sz w:val="22"/>
                <w:szCs w:val="24"/>
                <w:lang w:val="en-US" w:eastAsia="zh-CN"/>
              </w:rPr>
              <w:t>8</w:t>
            </w:r>
            <w:r>
              <w:rPr>
                <w:rFonts w:ascii="黑体" w:hAnsi="黑体" w:eastAsia="黑体" w:cs="黑体"/>
                <w:sz w:val="22"/>
                <w:szCs w:val="24"/>
              </w:rPr>
              <w:t>000</w:t>
            </w:r>
            <w:r>
              <w:rPr>
                <w:rFonts w:hint="eastAsia" w:ascii="黑体" w:hAnsi="黑体" w:eastAsia="黑体" w:cs="黑体"/>
                <w:sz w:val="22"/>
                <w:szCs w:val="24"/>
              </w:rPr>
              <w:t>字</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需注明总字数</w:t>
            </w:r>
            <w:r>
              <w:rPr>
                <w:rFonts w:hint="eastAsia" w:ascii="黑体" w:hAnsi="黑体" w:eastAsia="黑体" w:cs="黑体"/>
                <w:sz w:val="22"/>
                <w:szCs w:val="24"/>
                <w:lang w:eastAsia="zh-CN"/>
              </w:rPr>
              <w:t>）</w:t>
            </w:r>
            <w:r>
              <w:rPr>
                <w:rFonts w:hint="eastAsia" w:ascii="黑体" w:hAnsi="黑体" w:eastAsia="黑体" w:cs="黑体"/>
                <w:sz w:val="22"/>
                <w:szCs w:val="24"/>
              </w:rPr>
              <w:t>，得</w:t>
            </w:r>
            <w:r>
              <w:rPr>
                <w:rFonts w:ascii="黑体" w:hAnsi="黑体" w:eastAsia="黑体" w:cs="黑体"/>
                <w:sz w:val="22"/>
                <w:szCs w:val="24"/>
              </w:rPr>
              <w:t>1</w:t>
            </w:r>
            <w:r>
              <w:rPr>
                <w:rFonts w:hint="eastAsia" w:ascii="黑体" w:hAnsi="黑体" w:eastAsia="黑体" w:cs="黑体"/>
                <w:sz w:val="22"/>
                <w:szCs w:val="24"/>
                <w:lang w:val="en-US" w:eastAsia="zh-CN"/>
              </w:rPr>
              <w:t>2</w:t>
            </w:r>
            <w:r>
              <w:rPr>
                <w:rFonts w:hint="eastAsia" w:ascii="黑体" w:hAnsi="黑体" w:eastAsia="黑体" w:cs="黑体"/>
                <w:sz w:val="22"/>
                <w:szCs w:val="24"/>
              </w:rPr>
              <w:t>分</w:t>
            </w:r>
            <w:r>
              <w:rPr>
                <w:rFonts w:hint="eastAsia" w:ascii="黑体" w:hAnsi="黑体" w:eastAsia="黑体" w:cs="黑体"/>
                <w:sz w:val="22"/>
                <w:szCs w:val="24"/>
                <w:lang w:eastAsia="zh-CN"/>
              </w:rPr>
              <w:t>；</w:t>
            </w:r>
          </w:p>
          <w:p>
            <w:pPr>
              <w:numPr>
                <w:ilvl w:val="-1"/>
                <w:numId w:val="0"/>
              </w:numPr>
              <w:ind w:left="0" w:leftChars="0" w:firstLine="0" w:firstLineChars="0"/>
              <w:rPr>
                <w:rFonts w:hint="eastAsia" w:ascii="黑体" w:hAnsi="黑体" w:eastAsia="黑体" w:cs="黑体"/>
                <w:sz w:val="22"/>
                <w:szCs w:val="24"/>
                <w:lang w:eastAsia="zh-CN"/>
              </w:rPr>
            </w:pPr>
            <w:r>
              <w:rPr>
                <w:rFonts w:hint="eastAsia" w:ascii="黑体" w:hAnsi="黑体" w:eastAsia="黑体" w:cs="黑体"/>
                <w:sz w:val="22"/>
                <w:szCs w:val="24"/>
                <w:lang w:val="en-US" w:eastAsia="zh-CN"/>
              </w:rPr>
              <w:t>3）中</w:t>
            </w:r>
            <w:r>
              <w:rPr>
                <w:rFonts w:hint="eastAsia" w:ascii="黑体" w:hAnsi="黑体" w:eastAsia="黑体" w:cs="黑体"/>
                <w:sz w:val="22"/>
                <w:szCs w:val="24"/>
              </w:rPr>
              <w:t>：脚本方案符合基本要求，但创意一般，完整准确度一般，字数不足</w:t>
            </w:r>
            <w:r>
              <w:rPr>
                <w:rFonts w:hint="eastAsia" w:ascii="黑体" w:hAnsi="黑体" w:eastAsia="黑体" w:cs="黑体"/>
                <w:sz w:val="22"/>
                <w:szCs w:val="24"/>
                <w:lang w:val="en-US" w:eastAsia="zh-CN"/>
              </w:rPr>
              <w:t>6</w:t>
            </w:r>
            <w:r>
              <w:rPr>
                <w:rFonts w:ascii="黑体" w:hAnsi="黑体" w:eastAsia="黑体" w:cs="黑体"/>
                <w:sz w:val="22"/>
                <w:szCs w:val="24"/>
              </w:rPr>
              <w:t>000</w:t>
            </w:r>
            <w:r>
              <w:rPr>
                <w:rFonts w:hint="eastAsia" w:ascii="黑体" w:hAnsi="黑体" w:eastAsia="黑体" w:cs="黑体"/>
                <w:sz w:val="22"/>
                <w:szCs w:val="24"/>
              </w:rPr>
              <w:t>字</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需注明总字数</w:t>
            </w:r>
            <w:r>
              <w:rPr>
                <w:rFonts w:hint="eastAsia" w:ascii="黑体" w:hAnsi="黑体" w:eastAsia="黑体" w:cs="黑体"/>
                <w:sz w:val="22"/>
                <w:szCs w:val="24"/>
                <w:lang w:eastAsia="zh-CN"/>
              </w:rPr>
              <w:t>）</w:t>
            </w:r>
            <w:r>
              <w:rPr>
                <w:rFonts w:hint="eastAsia" w:ascii="黑体" w:hAnsi="黑体" w:eastAsia="黑体" w:cs="黑体"/>
                <w:sz w:val="22"/>
                <w:szCs w:val="24"/>
              </w:rPr>
              <w:t>，得</w:t>
            </w:r>
            <w:r>
              <w:rPr>
                <w:rFonts w:hint="eastAsia" w:ascii="黑体" w:hAnsi="黑体" w:eastAsia="黑体" w:cs="黑体"/>
                <w:sz w:val="22"/>
                <w:szCs w:val="24"/>
                <w:lang w:val="en-US" w:eastAsia="zh-CN"/>
              </w:rPr>
              <w:t>5</w:t>
            </w:r>
            <w:r>
              <w:rPr>
                <w:rFonts w:ascii="黑体" w:hAnsi="黑体" w:eastAsia="黑体" w:cs="黑体"/>
                <w:sz w:val="22"/>
                <w:szCs w:val="24"/>
              </w:rPr>
              <w:t>分</w:t>
            </w:r>
            <w:r>
              <w:rPr>
                <w:rFonts w:hint="eastAsia" w:ascii="黑体" w:hAnsi="黑体" w:eastAsia="黑体" w:cs="黑体"/>
                <w:sz w:val="22"/>
                <w:szCs w:val="24"/>
                <w:lang w:eastAsia="zh-CN"/>
              </w:rPr>
              <w:t>。</w:t>
            </w:r>
          </w:p>
          <w:p>
            <w:pPr>
              <w:pStyle w:val="2"/>
            </w:pPr>
            <w:r>
              <w:rPr>
                <w:rFonts w:hint="eastAsia" w:ascii="黑体" w:hAnsi="黑体" w:eastAsia="黑体" w:cs="黑体"/>
                <w:sz w:val="22"/>
                <w:szCs w:val="24"/>
                <w:lang w:val="en-US" w:eastAsia="zh-CN"/>
              </w:rPr>
              <w:t>4）</w:t>
            </w:r>
            <w:r>
              <w:rPr>
                <w:rFonts w:hint="eastAsia" w:ascii="黑体" w:hAnsi="黑体" w:eastAsia="黑体" w:cs="黑体"/>
                <w:sz w:val="22"/>
                <w:szCs w:val="24"/>
              </w:rPr>
              <w:t>差：不提供相关方案得0分。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8" w:hRule="atLeast"/>
        </w:trPr>
        <w:tc>
          <w:tcPr>
            <w:tcW w:w="1302" w:type="dxa"/>
            <w:vMerge w:val="continue"/>
            <w:vAlign w:val="center"/>
          </w:tcPr>
          <w:p>
            <w:pPr>
              <w:jc w:val="center"/>
              <w:rPr>
                <w:rFonts w:ascii="黑体" w:hAnsi="黑体" w:eastAsia="黑体" w:cs="黑体"/>
                <w:sz w:val="22"/>
                <w:szCs w:val="24"/>
              </w:rPr>
            </w:pPr>
          </w:p>
        </w:tc>
        <w:tc>
          <w:tcPr>
            <w:tcW w:w="2242" w:type="dxa"/>
            <w:vAlign w:val="center"/>
          </w:tcPr>
          <w:p>
            <w:pPr>
              <w:jc w:val="center"/>
              <w:rPr>
                <w:rFonts w:ascii="黑体" w:hAnsi="黑体" w:eastAsia="黑体" w:cs="黑体"/>
                <w:sz w:val="22"/>
                <w:szCs w:val="24"/>
              </w:rPr>
            </w:pPr>
            <w:r>
              <w:rPr>
                <w:rFonts w:hint="eastAsia" w:ascii="黑体" w:hAnsi="黑体" w:eastAsia="黑体" w:cs="黑体"/>
                <w:sz w:val="22"/>
                <w:szCs w:val="24"/>
              </w:rPr>
              <w:t>实施方案（</w:t>
            </w:r>
            <w:r>
              <w:rPr>
                <w:rFonts w:hint="eastAsia" w:ascii="黑体" w:hAnsi="黑体" w:eastAsia="黑体" w:cs="黑体"/>
                <w:sz w:val="22"/>
                <w:szCs w:val="24"/>
                <w:lang w:val="en-US" w:eastAsia="zh-CN"/>
              </w:rPr>
              <w:t>1</w:t>
            </w:r>
            <w:r>
              <w:rPr>
                <w:rFonts w:ascii="黑体" w:hAnsi="黑体" w:eastAsia="黑体" w:cs="黑体"/>
                <w:sz w:val="22"/>
                <w:szCs w:val="24"/>
              </w:rPr>
              <w:t>0</w:t>
            </w:r>
            <w:r>
              <w:rPr>
                <w:rFonts w:hint="eastAsia" w:ascii="黑体" w:hAnsi="黑体" w:eastAsia="黑体" w:cs="黑体"/>
                <w:sz w:val="22"/>
                <w:szCs w:val="24"/>
              </w:rPr>
              <w:t>分）</w:t>
            </w:r>
          </w:p>
        </w:tc>
        <w:tc>
          <w:tcPr>
            <w:tcW w:w="6410" w:type="dxa"/>
            <w:vAlign w:val="top"/>
          </w:tcPr>
          <w:p>
            <w:pPr>
              <w:ind w:firstLine="440" w:firstLineChars="200"/>
              <w:rPr>
                <w:rFonts w:ascii="黑体" w:hAnsi="黑体" w:eastAsia="黑体" w:cs="黑体"/>
                <w:sz w:val="22"/>
                <w:szCs w:val="24"/>
              </w:rPr>
            </w:pPr>
            <w:r>
              <w:rPr>
                <w:rFonts w:hint="eastAsia" w:ascii="黑体" w:hAnsi="黑体" w:eastAsia="黑体" w:cs="黑体"/>
                <w:sz w:val="22"/>
                <w:szCs w:val="24"/>
              </w:rPr>
              <w:t>根据各响应供应商实施方案（包含但不限于具体实施方案、执行周期、保障措施等内容）进行评审：</w:t>
            </w:r>
          </w:p>
          <w:p>
            <w:pPr>
              <w:numPr>
                <w:ilvl w:val="-1"/>
                <w:numId w:val="0"/>
              </w:numPr>
              <w:rPr>
                <w:rFonts w:ascii="黑体" w:hAnsi="黑体" w:eastAsia="黑体" w:cs="黑体"/>
                <w:sz w:val="22"/>
                <w:szCs w:val="24"/>
              </w:rPr>
            </w:pPr>
            <w:r>
              <w:rPr>
                <w:rFonts w:hint="eastAsia" w:ascii="黑体" w:hAnsi="黑体" w:eastAsia="黑体" w:cs="黑体"/>
                <w:sz w:val="22"/>
                <w:szCs w:val="24"/>
                <w:lang w:val="en-US" w:eastAsia="zh-CN"/>
              </w:rPr>
              <w:t>1）</w:t>
            </w:r>
            <w:r>
              <w:rPr>
                <w:rFonts w:hint="eastAsia" w:ascii="黑体" w:hAnsi="黑体" w:eastAsia="黑体" w:cs="黑体"/>
                <w:sz w:val="22"/>
                <w:szCs w:val="24"/>
              </w:rPr>
              <w:t>优：实施方案科学合理、执行方案条理清晰、针对性强，同比优势明显，得</w:t>
            </w:r>
            <w:r>
              <w:rPr>
                <w:rFonts w:hint="eastAsia" w:ascii="黑体" w:hAnsi="黑体" w:eastAsia="黑体" w:cs="黑体"/>
                <w:sz w:val="22"/>
                <w:szCs w:val="24"/>
                <w:lang w:val="en-US" w:eastAsia="zh-CN"/>
              </w:rPr>
              <w:t>1</w:t>
            </w:r>
            <w:r>
              <w:rPr>
                <w:rFonts w:hint="eastAsia" w:ascii="黑体" w:hAnsi="黑体" w:eastAsia="黑体" w:cs="黑体"/>
                <w:sz w:val="22"/>
                <w:szCs w:val="24"/>
              </w:rPr>
              <w:t>0分；</w:t>
            </w:r>
          </w:p>
          <w:p>
            <w:pPr>
              <w:numPr>
                <w:ilvl w:val="-1"/>
                <w:numId w:val="0"/>
              </w:numPr>
              <w:rPr>
                <w:rFonts w:hint="eastAsia" w:ascii="黑体" w:hAnsi="黑体" w:eastAsia="黑体" w:cs="黑体"/>
                <w:sz w:val="22"/>
                <w:szCs w:val="24"/>
                <w:lang w:eastAsia="zh-CN"/>
              </w:rPr>
            </w:pPr>
            <w:r>
              <w:rPr>
                <w:rFonts w:hint="eastAsia" w:ascii="黑体" w:hAnsi="黑体" w:eastAsia="黑体" w:cs="黑体"/>
                <w:sz w:val="22"/>
                <w:szCs w:val="24"/>
                <w:lang w:val="en-US" w:eastAsia="zh-CN"/>
              </w:rPr>
              <w:t>2）良</w:t>
            </w:r>
            <w:r>
              <w:rPr>
                <w:rFonts w:hint="eastAsia" w:ascii="黑体" w:hAnsi="黑体" w:eastAsia="黑体" w:cs="黑体"/>
                <w:sz w:val="22"/>
                <w:szCs w:val="24"/>
              </w:rPr>
              <w:t>：实施方案较科学合理、执行方案条理较清晰、针对性较强，得</w:t>
            </w:r>
            <w:r>
              <w:rPr>
                <w:rFonts w:hint="eastAsia" w:ascii="黑体" w:hAnsi="黑体" w:eastAsia="黑体" w:cs="黑体"/>
                <w:sz w:val="22"/>
                <w:szCs w:val="24"/>
                <w:lang w:val="en-US" w:eastAsia="zh-CN"/>
              </w:rPr>
              <w:t>6</w:t>
            </w:r>
            <w:r>
              <w:rPr>
                <w:rFonts w:hint="eastAsia" w:ascii="黑体" w:hAnsi="黑体" w:eastAsia="黑体" w:cs="黑体"/>
                <w:sz w:val="22"/>
                <w:szCs w:val="24"/>
              </w:rPr>
              <w:t>分</w:t>
            </w:r>
            <w:r>
              <w:rPr>
                <w:rFonts w:hint="eastAsia" w:ascii="黑体" w:hAnsi="黑体" w:eastAsia="黑体" w:cs="黑体"/>
                <w:sz w:val="22"/>
                <w:szCs w:val="24"/>
                <w:lang w:eastAsia="zh-CN"/>
              </w:rPr>
              <w:t>；</w:t>
            </w:r>
          </w:p>
          <w:p>
            <w:pPr>
              <w:numPr>
                <w:ilvl w:val="-1"/>
                <w:numId w:val="0"/>
              </w:numPr>
              <w:ind w:left="0" w:leftChars="0" w:firstLine="0" w:firstLineChars="0"/>
              <w:rPr>
                <w:rFonts w:hint="eastAsia" w:ascii="黑体" w:hAnsi="黑体" w:eastAsia="黑体" w:cs="黑体"/>
                <w:sz w:val="22"/>
                <w:szCs w:val="24"/>
                <w:lang w:eastAsia="zh-CN"/>
              </w:rPr>
            </w:pPr>
            <w:r>
              <w:rPr>
                <w:rFonts w:hint="eastAsia" w:ascii="黑体" w:hAnsi="黑体" w:eastAsia="黑体" w:cs="黑体"/>
                <w:sz w:val="22"/>
                <w:szCs w:val="24"/>
                <w:lang w:val="en-US" w:eastAsia="zh-CN"/>
              </w:rPr>
              <w:t>3）中</w:t>
            </w:r>
            <w:r>
              <w:rPr>
                <w:rFonts w:hint="eastAsia" w:ascii="黑体" w:hAnsi="黑体" w:eastAsia="黑体" w:cs="黑体"/>
                <w:sz w:val="22"/>
                <w:szCs w:val="24"/>
              </w:rPr>
              <w:t>：实施方案符合基本要求，执行方案条理不够清晰，针对性较一般，得</w:t>
            </w:r>
            <w:r>
              <w:rPr>
                <w:rFonts w:hint="eastAsia" w:ascii="黑体" w:hAnsi="黑体" w:eastAsia="黑体" w:cs="黑体"/>
                <w:sz w:val="22"/>
                <w:szCs w:val="24"/>
                <w:lang w:val="en-US" w:eastAsia="zh-CN"/>
              </w:rPr>
              <w:t>3</w:t>
            </w:r>
            <w:r>
              <w:rPr>
                <w:rFonts w:hint="eastAsia" w:ascii="黑体" w:hAnsi="黑体" w:eastAsia="黑体" w:cs="黑体"/>
                <w:sz w:val="22"/>
                <w:szCs w:val="24"/>
              </w:rPr>
              <w:t>分</w:t>
            </w:r>
            <w:r>
              <w:rPr>
                <w:rFonts w:hint="eastAsia" w:ascii="黑体" w:hAnsi="黑体" w:eastAsia="黑体" w:cs="黑体"/>
                <w:sz w:val="22"/>
                <w:szCs w:val="24"/>
                <w:lang w:eastAsia="zh-CN"/>
              </w:rPr>
              <w:t>。</w:t>
            </w:r>
          </w:p>
          <w:p>
            <w:pPr>
              <w:pStyle w:val="2"/>
            </w:pPr>
            <w:r>
              <w:rPr>
                <w:rFonts w:hint="eastAsia" w:ascii="黑体" w:hAnsi="黑体" w:eastAsia="黑体" w:cs="黑体"/>
                <w:sz w:val="22"/>
                <w:szCs w:val="24"/>
                <w:lang w:val="en-US" w:eastAsia="zh-CN"/>
              </w:rPr>
              <w:t>4）</w:t>
            </w:r>
            <w:r>
              <w:rPr>
                <w:rFonts w:hint="eastAsia" w:ascii="黑体" w:hAnsi="黑体" w:eastAsia="黑体" w:cs="黑体"/>
                <w:sz w:val="22"/>
                <w:szCs w:val="24"/>
              </w:rPr>
              <w:t>差：不提供相关方案得0分。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9" w:hRule="atLeast"/>
        </w:trPr>
        <w:tc>
          <w:tcPr>
            <w:tcW w:w="1302" w:type="dxa"/>
            <w:vMerge w:val="restart"/>
            <w:vAlign w:val="center"/>
          </w:tcPr>
          <w:p>
            <w:pPr>
              <w:jc w:val="center"/>
              <w:rPr>
                <w:rFonts w:ascii="黑体" w:hAnsi="黑体" w:eastAsia="黑体" w:cs="黑体"/>
                <w:sz w:val="22"/>
                <w:szCs w:val="24"/>
              </w:rPr>
            </w:pPr>
            <w:r>
              <w:rPr>
                <w:rFonts w:hint="eastAsia" w:ascii="黑体" w:hAnsi="黑体" w:eastAsia="黑体" w:cs="黑体"/>
                <w:sz w:val="22"/>
                <w:szCs w:val="24"/>
              </w:rPr>
              <w:t>商务部分</w:t>
            </w:r>
          </w:p>
        </w:tc>
        <w:tc>
          <w:tcPr>
            <w:tcW w:w="8652" w:type="dxa"/>
            <w:gridSpan w:val="2"/>
            <w:vAlign w:val="center"/>
          </w:tcPr>
          <w:p>
            <w:pPr>
              <w:jc w:val="left"/>
              <w:rPr>
                <w:rFonts w:ascii="黑体" w:hAnsi="黑体" w:eastAsia="黑体" w:cs="黑体"/>
                <w:b/>
                <w:bCs/>
                <w:color w:val="FF0000"/>
                <w:sz w:val="22"/>
                <w:szCs w:val="24"/>
              </w:rPr>
            </w:pPr>
            <w:r>
              <w:rPr>
                <w:rFonts w:hint="eastAsia" w:ascii="黑体" w:hAnsi="黑体" w:eastAsia="黑体" w:cs="黑体"/>
                <w:b/>
                <w:bCs/>
                <w:color w:val="FF0000"/>
                <w:sz w:val="22"/>
                <w:szCs w:val="24"/>
              </w:rPr>
              <w:t>合格标准：</w:t>
            </w:r>
          </w:p>
          <w:p>
            <w:pPr>
              <w:jc w:val="left"/>
              <w:rPr>
                <w:rFonts w:ascii="黑体" w:hAnsi="黑体" w:eastAsia="黑体" w:cs="黑体"/>
                <w:color w:val="0000FF"/>
                <w:sz w:val="22"/>
                <w:szCs w:val="24"/>
              </w:rPr>
            </w:pPr>
            <w:r>
              <w:rPr>
                <w:rFonts w:hint="eastAsia" w:ascii="宋体" w:hAnsi="宋体" w:cs="宋体"/>
                <w:sz w:val="22"/>
                <w:lang w:val="zh-CN"/>
              </w:rPr>
              <w:t>★</w:t>
            </w:r>
            <w:r>
              <w:rPr>
                <w:rFonts w:hint="eastAsia" w:ascii="黑体" w:hAnsi="黑体" w:eastAsia="黑体" w:cs="黑体"/>
                <w:b/>
                <w:bCs/>
                <w:color w:val="FF0000"/>
                <w:sz w:val="22"/>
                <w:szCs w:val="24"/>
              </w:rPr>
              <w:t>商务得分应不低于商务部分总分值的</w:t>
            </w:r>
            <w:r>
              <w:rPr>
                <w:rFonts w:hint="eastAsia" w:ascii="黑体" w:hAnsi="黑体" w:eastAsia="黑体" w:cs="黑体"/>
                <w:b/>
                <w:bCs/>
                <w:color w:val="FF0000"/>
                <w:sz w:val="22"/>
                <w:szCs w:val="24"/>
                <w:lang w:val="en-US" w:eastAsia="zh-CN"/>
              </w:rPr>
              <w:t>6</w:t>
            </w:r>
            <w:r>
              <w:rPr>
                <w:rFonts w:hint="eastAsia" w:ascii="黑体" w:hAnsi="黑体" w:eastAsia="黑体" w:cs="黑体"/>
                <w:b/>
                <w:bCs/>
                <w:color w:val="FF0000"/>
                <w:sz w:val="22"/>
                <w:szCs w:val="24"/>
              </w:rPr>
              <w:t>0%，否则就认定为无效投标人。</w:t>
            </w:r>
            <w:r>
              <w:rPr>
                <w:rFonts w:hint="eastAsia" w:ascii="黑体" w:hAnsi="黑体" w:eastAsia="黑体" w:cs="黑体"/>
                <w:b/>
                <w:bCs/>
                <w:color w:val="FF0000"/>
                <w:sz w:val="22"/>
                <w:szCs w:val="24"/>
                <w:lang w:val="en-US" w:eastAsia="zh-CN"/>
              </w:rPr>
              <w:t>有效</w:t>
            </w:r>
            <w:r>
              <w:rPr>
                <w:rFonts w:hint="eastAsia" w:ascii="黑体" w:hAnsi="黑体" w:eastAsia="黑体" w:cs="黑体"/>
                <w:b/>
                <w:bCs/>
                <w:color w:val="FF0000"/>
                <w:sz w:val="22"/>
                <w:szCs w:val="24"/>
              </w:rPr>
              <w:t>投标人不足3家的，</w:t>
            </w:r>
            <w:r>
              <w:rPr>
                <w:rFonts w:hint="eastAsia" w:ascii="黑体" w:hAnsi="黑体" w:eastAsia="黑体" w:cs="黑体"/>
                <w:b/>
                <w:bCs/>
                <w:color w:val="FF0000"/>
                <w:sz w:val="22"/>
                <w:szCs w:val="24"/>
                <w:lang w:val="en-US" w:eastAsia="zh-CN"/>
              </w:rPr>
              <w:t>招标失败</w:t>
            </w:r>
            <w:r>
              <w:rPr>
                <w:rFonts w:hint="eastAsia" w:ascii="黑体" w:hAnsi="黑体" w:eastAsia="黑体" w:cs="黑体"/>
                <w:b/>
                <w:bCs/>
                <w:color w:val="FF0000"/>
                <w:sz w:val="22"/>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63" w:hRule="atLeast"/>
        </w:trPr>
        <w:tc>
          <w:tcPr>
            <w:tcW w:w="1302" w:type="dxa"/>
            <w:vMerge w:val="continue"/>
            <w:vAlign w:val="center"/>
          </w:tcPr>
          <w:p>
            <w:pPr>
              <w:jc w:val="center"/>
              <w:rPr>
                <w:rFonts w:ascii="黑体" w:hAnsi="黑体" w:eastAsia="黑体" w:cs="黑体"/>
                <w:sz w:val="22"/>
                <w:szCs w:val="24"/>
              </w:rPr>
            </w:pPr>
          </w:p>
        </w:tc>
        <w:tc>
          <w:tcPr>
            <w:tcW w:w="2242" w:type="dxa"/>
            <w:vAlign w:val="center"/>
          </w:tcPr>
          <w:p>
            <w:pPr>
              <w:jc w:val="center"/>
              <w:rPr>
                <w:rFonts w:ascii="黑体" w:hAnsi="黑体" w:eastAsia="黑体" w:cs="黑体"/>
                <w:sz w:val="22"/>
                <w:szCs w:val="24"/>
              </w:rPr>
            </w:pPr>
          </w:p>
          <w:p>
            <w:pPr>
              <w:jc w:val="center"/>
              <w:rPr>
                <w:rFonts w:ascii="黑体" w:hAnsi="黑体" w:eastAsia="黑体" w:cs="黑体"/>
                <w:sz w:val="22"/>
                <w:szCs w:val="24"/>
              </w:rPr>
            </w:pPr>
            <w:r>
              <w:rPr>
                <w:rFonts w:hint="eastAsia" w:ascii="黑体" w:hAnsi="黑体" w:eastAsia="黑体" w:cs="黑体"/>
                <w:sz w:val="22"/>
                <w:szCs w:val="24"/>
              </w:rPr>
              <w:t>同类项目业绩</w:t>
            </w:r>
          </w:p>
          <w:p>
            <w:pPr>
              <w:jc w:val="center"/>
              <w:rPr>
                <w:rFonts w:ascii="黑体" w:hAnsi="黑体" w:eastAsia="黑体" w:cs="黑体"/>
                <w:sz w:val="22"/>
                <w:szCs w:val="24"/>
              </w:rPr>
            </w:pPr>
            <w:r>
              <w:rPr>
                <w:rFonts w:hint="eastAsia" w:ascii="黑体" w:hAnsi="黑体" w:eastAsia="黑体" w:cs="黑体"/>
                <w:sz w:val="22"/>
                <w:szCs w:val="24"/>
              </w:rPr>
              <w:t>(1</w:t>
            </w:r>
            <w:r>
              <w:rPr>
                <w:rFonts w:ascii="黑体" w:hAnsi="黑体" w:eastAsia="黑体" w:cs="黑体"/>
                <w:sz w:val="22"/>
                <w:szCs w:val="24"/>
              </w:rPr>
              <w:t>0</w:t>
            </w:r>
            <w:r>
              <w:rPr>
                <w:rFonts w:hint="eastAsia" w:ascii="黑体" w:hAnsi="黑体" w:eastAsia="黑体" w:cs="黑体"/>
                <w:sz w:val="22"/>
                <w:szCs w:val="24"/>
              </w:rPr>
              <w:t>分)</w:t>
            </w:r>
          </w:p>
        </w:tc>
        <w:tc>
          <w:tcPr>
            <w:tcW w:w="6410" w:type="dxa"/>
          </w:tcPr>
          <w:p>
            <w:pPr>
              <w:ind w:firstLine="418" w:firstLineChars="190"/>
              <w:jc w:val="both"/>
              <w:rPr>
                <w:rFonts w:ascii="黑体" w:hAnsi="黑体" w:eastAsia="黑体" w:cs="黑体"/>
                <w:sz w:val="22"/>
                <w:szCs w:val="24"/>
              </w:rPr>
            </w:pPr>
            <w:r>
              <w:rPr>
                <w:rFonts w:hint="eastAsia" w:ascii="黑体" w:hAnsi="黑体" w:eastAsia="黑体" w:cs="黑体"/>
                <w:sz w:val="22"/>
                <w:szCs w:val="24"/>
              </w:rPr>
              <w:t>投标人自202</w:t>
            </w:r>
            <w:r>
              <w:rPr>
                <w:rFonts w:hint="eastAsia" w:ascii="黑体" w:hAnsi="黑体" w:eastAsia="黑体" w:cs="黑体"/>
                <w:sz w:val="22"/>
                <w:szCs w:val="24"/>
                <w:lang w:val="en-US" w:eastAsia="zh-CN"/>
              </w:rPr>
              <w:t>1</w:t>
            </w:r>
            <w:r>
              <w:rPr>
                <w:rFonts w:hint="eastAsia" w:ascii="黑体" w:hAnsi="黑体" w:eastAsia="黑体" w:cs="黑体"/>
                <w:sz w:val="22"/>
                <w:szCs w:val="24"/>
              </w:rPr>
              <w:t>年1月1日</w:t>
            </w:r>
            <w:r>
              <w:rPr>
                <w:rFonts w:hint="eastAsia" w:ascii="黑体" w:hAnsi="黑体" w:eastAsia="黑体" w:cs="黑体"/>
                <w:sz w:val="22"/>
                <w:szCs w:val="24"/>
                <w:lang w:val="en-US" w:eastAsia="zh-CN"/>
              </w:rPr>
              <w:t>至今</w:t>
            </w:r>
            <w:r>
              <w:rPr>
                <w:rFonts w:hint="eastAsia" w:ascii="黑体" w:hAnsi="黑体" w:eastAsia="黑体" w:cs="黑体"/>
                <w:sz w:val="22"/>
                <w:szCs w:val="24"/>
              </w:rPr>
              <w:t>（以合同签订时间为准）以来承接的同类项目业绩，每提供一个得</w:t>
            </w:r>
            <w:r>
              <w:rPr>
                <w:rFonts w:hint="eastAsia" w:ascii="黑体" w:hAnsi="黑体" w:eastAsia="黑体" w:cs="黑体"/>
                <w:sz w:val="22"/>
                <w:szCs w:val="24"/>
                <w:lang w:val="en-US" w:eastAsia="zh-CN"/>
              </w:rPr>
              <w:t>2</w:t>
            </w:r>
            <w:r>
              <w:rPr>
                <w:rFonts w:hint="eastAsia" w:ascii="黑体" w:hAnsi="黑体" w:eastAsia="黑体" w:cs="黑体"/>
                <w:sz w:val="22"/>
                <w:szCs w:val="24"/>
              </w:rPr>
              <w:t>分，最多</w:t>
            </w:r>
            <w:r>
              <w:rPr>
                <w:rFonts w:ascii="黑体" w:hAnsi="黑体" w:eastAsia="黑体" w:cs="黑体"/>
                <w:sz w:val="22"/>
                <w:szCs w:val="24"/>
              </w:rPr>
              <w:t>5</w:t>
            </w:r>
            <w:r>
              <w:rPr>
                <w:rFonts w:hint="eastAsia" w:ascii="黑体" w:hAnsi="黑体" w:eastAsia="黑体" w:cs="黑体"/>
                <w:sz w:val="22"/>
                <w:szCs w:val="24"/>
              </w:rPr>
              <w:t>个，最高</w:t>
            </w:r>
            <w:r>
              <w:rPr>
                <w:rFonts w:hint="eastAsia" w:ascii="黑体" w:hAnsi="黑体" w:eastAsia="黑体" w:cs="黑体"/>
                <w:sz w:val="22"/>
                <w:szCs w:val="24"/>
                <w:lang w:val="en-US" w:eastAsia="zh-CN"/>
              </w:rPr>
              <w:t>10</w:t>
            </w:r>
            <w:r>
              <w:rPr>
                <w:rFonts w:hint="eastAsia" w:ascii="黑体" w:hAnsi="黑体" w:eastAsia="黑体" w:cs="黑体"/>
                <w:sz w:val="22"/>
                <w:szCs w:val="24"/>
              </w:rPr>
              <w:t>分；</w:t>
            </w:r>
          </w:p>
          <w:p>
            <w:pPr>
              <w:jc w:val="left"/>
              <w:rPr>
                <w:rFonts w:ascii="黑体" w:hAnsi="黑体" w:eastAsia="黑体" w:cs="黑体"/>
                <w:sz w:val="22"/>
                <w:szCs w:val="24"/>
              </w:rPr>
            </w:pPr>
            <w:r>
              <w:rPr>
                <w:rFonts w:hint="eastAsia" w:ascii="黑体" w:hAnsi="黑体" w:eastAsia="黑体" w:cs="黑体"/>
                <w:color w:val="0000FF"/>
                <w:sz w:val="22"/>
                <w:szCs w:val="24"/>
              </w:rPr>
              <w:t>注：同类业绩是指视频类</w:t>
            </w:r>
            <w:r>
              <w:rPr>
                <w:rFonts w:hint="eastAsia" w:ascii="黑体" w:hAnsi="黑体" w:eastAsia="黑体" w:cs="黑体"/>
                <w:color w:val="0000FF"/>
                <w:sz w:val="22"/>
                <w:szCs w:val="24"/>
                <w:lang w:val="en-US" w:eastAsia="zh-CN"/>
              </w:rPr>
              <w:t>或海报或专栏制作</w:t>
            </w:r>
            <w:r>
              <w:rPr>
                <w:rFonts w:hint="eastAsia" w:ascii="黑体" w:hAnsi="黑体" w:eastAsia="黑体" w:cs="黑体"/>
                <w:color w:val="0000FF"/>
                <w:sz w:val="22"/>
                <w:szCs w:val="24"/>
              </w:rPr>
              <w:t>业绩，需提供合同关键页复印件并加盖投标人公章。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7" w:hRule="atLeast"/>
        </w:trPr>
        <w:tc>
          <w:tcPr>
            <w:tcW w:w="1302" w:type="dxa"/>
            <w:vMerge w:val="continue"/>
            <w:vAlign w:val="center"/>
          </w:tcPr>
          <w:p>
            <w:pPr>
              <w:jc w:val="center"/>
              <w:rPr>
                <w:rFonts w:ascii="黑体" w:hAnsi="黑体" w:eastAsia="黑体" w:cs="黑体"/>
                <w:sz w:val="22"/>
                <w:szCs w:val="24"/>
              </w:rPr>
            </w:pPr>
          </w:p>
        </w:tc>
        <w:tc>
          <w:tcPr>
            <w:tcW w:w="2242" w:type="dxa"/>
            <w:vMerge w:val="restart"/>
            <w:vAlign w:val="center"/>
          </w:tcPr>
          <w:p>
            <w:pPr>
              <w:jc w:val="center"/>
              <w:rPr>
                <w:rFonts w:ascii="黑体" w:hAnsi="黑体" w:eastAsia="黑体" w:cs="黑体"/>
                <w:sz w:val="22"/>
                <w:szCs w:val="24"/>
              </w:rPr>
            </w:pPr>
            <w:r>
              <w:rPr>
                <w:rFonts w:hint="eastAsia" w:ascii="黑体" w:hAnsi="黑体" w:eastAsia="黑体" w:cs="黑体"/>
                <w:sz w:val="22"/>
                <w:szCs w:val="24"/>
              </w:rPr>
              <w:t>团队实力（</w:t>
            </w:r>
            <w:r>
              <w:rPr>
                <w:rFonts w:ascii="黑体" w:hAnsi="黑体" w:eastAsia="黑体" w:cs="黑体"/>
                <w:sz w:val="22"/>
                <w:szCs w:val="24"/>
              </w:rPr>
              <w:t>1</w:t>
            </w:r>
            <w:r>
              <w:rPr>
                <w:rFonts w:hint="eastAsia" w:ascii="黑体" w:hAnsi="黑体" w:eastAsia="黑体" w:cs="黑体"/>
                <w:sz w:val="22"/>
                <w:szCs w:val="24"/>
                <w:lang w:val="en-US" w:eastAsia="zh-CN"/>
              </w:rPr>
              <w:t>8</w:t>
            </w:r>
            <w:r>
              <w:rPr>
                <w:rFonts w:hint="eastAsia" w:ascii="黑体" w:hAnsi="黑体" w:eastAsia="黑体" w:cs="黑体"/>
                <w:sz w:val="22"/>
                <w:szCs w:val="24"/>
              </w:rPr>
              <w:t>分）</w:t>
            </w:r>
          </w:p>
        </w:tc>
        <w:tc>
          <w:tcPr>
            <w:tcW w:w="6410" w:type="dxa"/>
          </w:tcPr>
          <w:p>
            <w:pPr>
              <w:numPr>
                <w:ilvl w:val="0"/>
                <w:numId w:val="0"/>
              </w:numPr>
              <w:ind w:firstLine="418" w:firstLineChars="190"/>
              <w:rPr>
                <w:rFonts w:ascii="黑体" w:hAnsi="黑体" w:eastAsia="黑体" w:cs="黑体"/>
                <w:sz w:val="22"/>
                <w:szCs w:val="24"/>
              </w:rPr>
            </w:pPr>
            <w:r>
              <w:rPr>
                <w:rFonts w:ascii="黑体" w:hAnsi="黑体" w:eastAsia="黑体" w:cs="黑体"/>
                <w:sz w:val="22"/>
                <w:szCs w:val="24"/>
              </w:rPr>
              <w:t>本项目拟投入本项目的团队人员人数情况：本项满分</w:t>
            </w:r>
            <w:r>
              <w:rPr>
                <w:rFonts w:hint="eastAsia" w:ascii="黑体" w:hAnsi="黑体" w:eastAsia="黑体" w:cs="黑体"/>
                <w:sz w:val="22"/>
                <w:szCs w:val="24"/>
                <w:lang w:val="en-US" w:eastAsia="zh-CN"/>
              </w:rPr>
              <w:t>6</w:t>
            </w:r>
            <w:r>
              <w:rPr>
                <w:rFonts w:ascii="黑体" w:hAnsi="黑体" w:eastAsia="黑体" w:cs="黑体"/>
                <w:sz w:val="22"/>
                <w:szCs w:val="24"/>
              </w:rPr>
              <w:t>分。</w:t>
            </w:r>
          </w:p>
          <w:p>
            <w:pPr>
              <w:numPr>
                <w:ilvl w:val="0"/>
                <w:numId w:val="0"/>
              </w:numPr>
              <w:rPr>
                <w:rFonts w:ascii="黑体" w:hAnsi="黑体" w:eastAsia="黑体" w:cs="黑体"/>
                <w:sz w:val="22"/>
                <w:szCs w:val="24"/>
              </w:rPr>
            </w:pPr>
            <w:r>
              <w:rPr>
                <w:rFonts w:hint="eastAsia" w:ascii="黑体" w:hAnsi="黑体" w:eastAsia="黑体" w:cs="黑体"/>
                <w:sz w:val="22"/>
                <w:szCs w:val="24"/>
                <w:lang w:val="en-US" w:eastAsia="zh-CN"/>
              </w:rPr>
              <w:t>1）</w:t>
            </w:r>
            <w:r>
              <w:rPr>
                <w:rFonts w:ascii="黑体" w:hAnsi="黑体" w:eastAsia="黑体" w:cs="黑体"/>
                <w:sz w:val="22"/>
                <w:szCs w:val="24"/>
              </w:rPr>
              <w:t>拟投入本项目的团队成员</w:t>
            </w:r>
            <w:r>
              <w:rPr>
                <w:rFonts w:hint="eastAsia" w:ascii="黑体" w:hAnsi="黑体" w:eastAsia="黑体" w:cs="黑体"/>
                <w:sz w:val="22"/>
                <w:szCs w:val="24"/>
                <w:lang w:val="en-US" w:eastAsia="zh-CN"/>
              </w:rPr>
              <w:t>大于等于</w:t>
            </w:r>
            <w:r>
              <w:rPr>
                <w:rFonts w:hint="eastAsia" w:ascii="黑体" w:hAnsi="黑体" w:eastAsia="黑体" w:cs="黑体"/>
                <w:sz w:val="22"/>
                <w:szCs w:val="24"/>
              </w:rPr>
              <w:t>1</w:t>
            </w:r>
            <w:r>
              <w:rPr>
                <w:rFonts w:ascii="黑体" w:hAnsi="黑体" w:eastAsia="黑体" w:cs="黑体"/>
                <w:sz w:val="22"/>
                <w:szCs w:val="24"/>
              </w:rPr>
              <w:t>0人：得</w:t>
            </w:r>
            <w:r>
              <w:rPr>
                <w:rFonts w:hint="eastAsia" w:ascii="黑体" w:hAnsi="黑体" w:eastAsia="黑体" w:cs="黑体"/>
                <w:sz w:val="22"/>
                <w:szCs w:val="24"/>
                <w:lang w:val="en-US" w:eastAsia="zh-CN"/>
              </w:rPr>
              <w:t>6</w:t>
            </w:r>
            <w:r>
              <w:rPr>
                <w:rFonts w:ascii="黑体" w:hAnsi="黑体" w:eastAsia="黑体" w:cs="黑体"/>
                <w:sz w:val="22"/>
                <w:szCs w:val="24"/>
              </w:rPr>
              <w:t xml:space="preserve">分； </w:t>
            </w:r>
          </w:p>
          <w:p>
            <w:pPr>
              <w:numPr>
                <w:ilvl w:val="0"/>
                <w:numId w:val="0"/>
              </w:numPr>
              <w:rPr>
                <w:rFonts w:ascii="黑体" w:hAnsi="黑体" w:eastAsia="黑体" w:cs="黑体"/>
                <w:sz w:val="22"/>
                <w:szCs w:val="24"/>
              </w:rPr>
            </w:pPr>
            <w:r>
              <w:rPr>
                <w:rFonts w:hint="eastAsia" w:ascii="黑体" w:hAnsi="黑体" w:eastAsia="黑体" w:cs="黑体"/>
                <w:sz w:val="22"/>
                <w:szCs w:val="24"/>
                <w:lang w:val="en-US" w:eastAsia="zh-CN"/>
              </w:rPr>
              <w:t>2）</w:t>
            </w:r>
            <w:r>
              <w:rPr>
                <w:rFonts w:ascii="黑体" w:hAnsi="黑体" w:eastAsia="黑体" w:cs="黑体"/>
                <w:sz w:val="22"/>
                <w:szCs w:val="24"/>
              </w:rPr>
              <w:t>拟投入本项目的团队成员</w:t>
            </w:r>
            <w:r>
              <w:rPr>
                <w:rFonts w:hint="eastAsia" w:ascii="黑体" w:hAnsi="黑体" w:eastAsia="黑体" w:cs="黑体"/>
                <w:sz w:val="22"/>
                <w:szCs w:val="24"/>
                <w:lang w:val="en-US" w:eastAsia="zh-CN"/>
              </w:rPr>
              <w:t>6</w:t>
            </w:r>
            <w:r>
              <w:rPr>
                <w:rFonts w:hint="eastAsia" w:ascii="黑体" w:hAnsi="黑体" w:eastAsia="黑体" w:cs="黑体"/>
                <w:sz w:val="22"/>
                <w:szCs w:val="24"/>
              </w:rPr>
              <w:t>至</w:t>
            </w:r>
            <w:r>
              <w:rPr>
                <w:rFonts w:hint="eastAsia" w:ascii="黑体" w:hAnsi="黑体" w:eastAsia="黑体" w:cs="黑体"/>
                <w:sz w:val="22"/>
                <w:szCs w:val="24"/>
                <w:lang w:val="en-US" w:eastAsia="zh-CN"/>
              </w:rPr>
              <w:t>9</w:t>
            </w:r>
            <w:r>
              <w:rPr>
                <w:rFonts w:ascii="黑体" w:hAnsi="黑体" w:eastAsia="黑体" w:cs="黑体"/>
                <w:sz w:val="22"/>
                <w:szCs w:val="24"/>
              </w:rPr>
              <w:t>人：得</w:t>
            </w:r>
            <w:r>
              <w:rPr>
                <w:rFonts w:hint="eastAsia" w:ascii="黑体" w:hAnsi="黑体" w:eastAsia="黑体" w:cs="黑体"/>
                <w:sz w:val="22"/>
                <w:szCs w:val="24"/>
                <w:lang w:val="en-US" w:eastAsia="zh-CN"/>
              </w:rPr>
              <w:t>3</w:t>
            </w:r>
            <w:r>
              <w:rPr>
                <w:rFonts w:ascii="黑体" w:hAnsi="黑体" w:eastAsia="黑体" w:cs="黑体"/>
                <w:sz w:val="22"/>
                <w:szCs w:val="24"/>
              </w:rPr>
              <w:t>分；</w:t>
            </w:r>
          </w:p>
          <w:p>
            <w:pPr>
              <w:numPr>
                <w:ilvl w:val="0"/>
                <w:numId w:val="0"/>
              </w:numPr>
              <w:rPr>
                <w:rFonts w:ascii="黑体" w:hAnsi="黑体" w:eastAsia="黑体" w:cs="黑体"/>
                <w:sz w:val="22"/>
                <w:szCs w:val="24"/>
              </w:rPr>
            </w:pPr>
            <w:r>
              <w:rPr>
                <w:rFonts w:hint="eastAsia" w:ascii="黑体" w:hAnsi="黑体" w:eastAsia="黑体" w:cs="黑体"/>
                <w:sz w:val="22"/>
                <w:szCs w:val="24"/>
                <w:lang w:val="en-US" w:eastAsia="zh-CN"/>
              </w:rPr>
              <w:t>3）</w:t>
            </w:r>
            <w:r>
              <w:rPr>
                <w:rFonts w:ascii="黑体" w:hAnsi="黑体" w:eastAsia="黑体" w:cs="黑体"/>
                <w:sz w:val="22"/>
                <w:szCs w:val="24"/>
              </w:rPr>
              <w:t>拟投入本项目的团队成员</w:t>
            </w:r>
            <w:r>
              <w:rPr>
                <w:rFonts w:hint="eastAsia" w:ascii="黑体" w:hAnsi="黑体" w:eastAsia="黑体" w:cs="黑体"/>
                <w:sz w:val="22"/>
                <w:szCs w:val="24"/>
                <w:lang w:val="en-US" w:eastAsia="zh-CN"/>
              </w:rPr>
              <w:t>少于6人</w:t>
            </w:r>
            <w:r>
              <w:rPr>
                <w:rFonts w:ascii="黑体" w:hAnsi="黑体" w:eastAsia="黑体" w:cs="黑体"/>
                <w:sz w:val="22"/>
                <w:szCs w:val="24"/>
              </w:rPr>
              <w:t>：得</w:t>
            </w:r>
            <w:r>
              <w:rPr>
                <w:rFonts w:hint="eastAsia" w:ascii="黑体" w:hAnsi="黑体" w:eastAsia="黑体" w:cs="黑体"/>
                <w:sz w:val="22"/>
                <w:szCs w:val="24"/>
                <w:lang w:val="en-US" w:eastAsia="zh-CN"/>
              </w:rPr>
              <w:t>0</w:t>
            </w:r>
            <w:r>
              <w:rPr>
                <w:rFonts w:ascii="黑体" w:hAnsi="黑体" w:eastAsia="黑体" w:cs="黑体"/>
                <w:sz w:val="22"/>
                <w:szCs w:val="24"/>
              </w:rPr>
              <w:t>分；</w:t>
            </w:r>
          </w:p>
          <w:p>
            <w:pPr>
              <w:jc w:val="left"/>
              <w:rPr>
                <w:rFonts w:ascii="黑体" w:hAnsi="黑体" w:eastAsia="黑体" w:cs="黑体"/>
                <w:color w:val="0000FF"/>
                <w:sz w:val="22"/>
                <w:szCs w:val="24"/>
              </w:rPr>
            </w:pPr>
            <w:r>
              <w:rPr>
                <w:rFonts w:ascii="黑体" w:hAnsi="黑体" w:eastAsia="黑体" w:cs="黑体"/>
                <w:b/>
                <w:bCs/>
                <w:color w:val="0000FF"/>
                <w:sz w:val="22"/>
                <w:szCs w:val="24"/>
              </w:rPr>
              <w:t>注：需上述人员提供在本单位缴纳社会保险</w:t>
            </w:r>
            <w:r>
              <w:rPr>
                <w:rFonts w:hint="eastAsia" w:ascii="黑体" w:hAnsi="黑体" w:eastAsia="黑体" w:cs="黑体"/>
                <w:b/>
                <w:bCs/>
                <w:color w:val="0000FF"/>
                <w:sz w:val="22"/>
                <w:szCs w:val="24"/>
              </w:rPr>
              <w:t>或劳动合同</w:t>
            </w:r>
            <w:r>
              <w:rPr>
                <w:rFonts w:ascii="黑体" w:hAnsi="黑体" w:eastAsia="黑体" w:cs="黑体"/>
                <w:b/>
                <w:bCs/>
                <w:color w:val="0000FF"/>
                <w:sz w:val="22"/>
                <w:szCs w:val="24"/>
              </w:rPr>
              <w:t>的有效凭证的复印件。不提供或者不符合不得分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9" w:hRule="atLeast"/>
        </w:trPr>
        <w:tc>
          <w:tcPr>
            <w:tcW w:w="1302" w:type="dxa"/>
            <w:vMerge w:val="continue"/>
            <w:vAlign w:val="center"/>
          </w:tcPr>
          <w:p>
            <w:pPr>
              <w:jc w:val="left"/>
            </w:pPr>
          </w:p>
        </w:tc>
        <w:tc>
          <w:tcPr>
            <w:tcW w:w="2242" w:type="dxa"/>
            <w:vMerge w:val="continue"/>
            <w:vAlign w:val="center"/>
          </w:tcPr>
          <w:p>
            <w:pPr>
              <w:jc w:val="left"/>
            </w:pPr>
          </w:p>
        </w:tc>
        <w:tc>
          <w:tcPr>
            <w:tcW w:w="6410" w:type="dxa"/>
          </w:tcPr>
          <w:p>
            <w:pPr>
              <w:numPr>
                <w:ilvl w:val="0"/>
                <w:numId w:val="0"/>
              </w:numPr>
              <w:ind w:firstLine="440" w:firstLineChars="200"/>
              <w:jc w:val="left"/>
              <w:rPr>
                <w:rFonts w:hint="eastAsia" w:ascii="黑体" w:hAnsi="黑体" w:eastAsia="黑体" w:cs="黑体"/>
                <w:sz w:val="22"/>
                <w:szCs w:val="24"/>
              </w:rPr>
            </w:pPr>
            <w:r>
              <w:rPr>
                <w:rFonts w:hint="eastAsia" w:ascii="黑体" w:hAnsi="黑体" w:eastAsia="黑体" w:cs="黑体"/>
                <w:sz w:val="22"/>
                <w:szCs w:val="24"/>
                <w:highlight w:val="none"/>
                <w:lang w:val="en-US" w:eastAsia="zh-CN"/>
              </w:rPr>
              <w:t>对</w:t>
            </w:r>
            <w:r>
              <w:rPr>
                <w:rFonts w:hint="eastAsia" w:ascii="黑体" w:hAnsi="黑体" w:eastAsia="黑体" w:cs="黑体"/>
                <w:sz w:val="22"/>
                <w:szCs w:val="24"/>
                <w:highlight w:val="none"/>
              </w:rPr>
              <w:t>拟投入本项目负责人（仅一人）</w:t>
            </w:r>
            <w:r>
              <w:rPr>
                <w:rFonts w:hint="eastAsia" w:ascii="黑体" w:hAnsi="黑体" w:eastAsia="黑体" w:cs="黑体"/>
                <w:sz w:val="22"/>
                <w:szCs w:val="24"/>
                <w:highlight w:val="none"/>
                <w:lang w:val="en-US" w:eastAsia="zh-CN"/>
              </w:rPr>
              <w:t>情况进行评分；本项</w:t>
            </w:r>
            <w:r>
              <w:rPr>
                <w:rFonts w:hint="eastAsia" w:ascii="黑体" w:hAnsi="黑体" w:eastAsia="黑体" w:cs="黑体"/>
                <w:sz w:val="22"/>
                <w:szCs w:val="24"/>
                <w:highlight w:val="none"/>
              </w:rPr>
              <w:t>满分</w:t>
            </w:r>
            <w:r>
              <w:rPr>
                <w:rFonts w:hint="eastAsia" w:ascii="黑体" w:hAnsi="黑体" w:eastAsia="黑体" w:cs="黑体"/>
                <w:sz w:val="22"/>
                <w:szCs w:val="24"/>
                <w:highlight w:val="none"/>
                <w:lang w:val="en-US" w:eastAsia="zh-CN"/>
              </w:rPr>
              <w:t>4</w:t>
            </w:r>
            <w:r>
              <w:rPr>
                <w:rFonts w:hint="eastAsia" w:ascii="黑体" w:hAnsi="黑体" w:eastAsia="黑体" w:cs="黑体"/>
                <w:sz w:val="22"/>
                <w:szCs w:val="24"/>
                <w:highlight w:val="none"/>
              </w:rPr>
              <w:t>分</w:t>
            </w:r>
            <w:r>
              <w:rPr>
                <w:rFonts w:hint="eastAsia" w:ascii="黑体" w:hAnsi="黑体" w:eastAsia="黑体" w:cs="黑体"/>
                <w:sz w:val="22"/>
                <w:szCs w:val="24"/>
                <w:highlight w:val="none"/>
                <w:lang w:eastAsia="zh-CN"/>
              </w:rPr>
              <w:t>。</w:t>
            </w:r>
          </w:p>
          <w:p>
            <w:pPr>
              <w:numPr>
                <w:ilvl w:val="0"/>
                <w:numId w:val="0"/>
              </w:numPr>
              <w:jc w:val="left"/>
              <w:rPr>
                <w:rFonts w:hint="eastAsia" w:ascii="Calibri" w:hAnsi="Calibri" w:eastAsia="黑体" w:cs="Calibri"/>
                <w:sz w:val="22"/>
                <w:szCs w:val="24"/>
                <w:highlight w:val="none"/>
                <w:lang w:val="en-US" w:eastAsia="zh-CN"/>
              </w:rPr>
            </w:pPr>
            <w:r>
              <w:rPr>
                <w:rFonts w:hint="eastAsia" w:ascii="黑体" w:hAnsi="黑体" w:eastAsia="黑体" w:cs="黑体"/>
                <w:sz w:val="22"/>
                <w:szCs w:val="24"/>
                <w:lang w:val="en-US" w:eastAsia="zh-CN"/>
              </w:rPr>
              <w:t>1）对</w:t>
            </w:r>
            <w:r>
              <w:rPr>
                <w:rFonts w:hint="eastAsia" w:ascii="黑体" w:hAnsi="黑体" w:eastAsia="黑体" w:cs="黑体"/>
                <w:sz w:val="22"/>
                <w:szCs w:val="24"/>
              </w:rPr>
              <w:t>拟投入本项目</w:t>
            </w:r>
            <w:r>
              <w:rPr>
                <w:rFonts w:hint="eastAsia" w:ascii="黑体" w:hAnsi="黑体" w:eastAsia="黑体" w:cs="黑体"/>
                <w:sz w:val="22"/>
                <w:szCs w:val="24"/>
                <w:lang w:val="en-US" w:eastAsia="zh-CN"/>
              </w:rPr>
              <w:t>项目负责人中</w:t>
            </w:r>
            <w:r>
              <w:rPr>
                <w:rFonts w:hint="eastAsia" w:ascii="黑体" w:hAnsi="黑体" w:eastAsia="黑体" w:cs="黑体"/>
                <w:sz w:val="22"/>
                <w:szCs w:val="24"/>
                <w:highlight w:val="none"/>
              </w:rPr>
              <w:t>具有</w:t>
            </w:r>
            <w:r>
              <w:rPr>
                <w:rFonts w:hint="eastAsia" w:ascii="黑体" w:hAnsi="黑体" w:eastAsia="黑体" w:cs="黑体"/>
                <w:sz w:val="22"/>
                <w:szCs w:val="24"/>
                <w:highlight w:val="none"/>
                <w:lang w:val="en-US" w:eastAsia="zh-CN"/>
              </w:rPr>
              <w:t>本科（或以上）学历的、且</w:t>
            </w:r>
            <w:r>
              <w:rPr>
                <w:rFonts w:hint="eastAsia" w:ascii="黑体" w:hAnsi="黑体" w:eastAsia="黑体" w:cs="黑体"/>
                <w:sz w:val="22"/>
                <w:szCs w:val="24"/>
              </w:rPr>
              <w:t>具有</w:t>
            </w:r>
            <w:r>
              <w:rPr>
                <w:rFonts w:hint="eastAsia" w:ascii="黑体" w:hAnsi="黑体" w:eastAsia="黑体" w:cs="黑体"/>
                <w:sz w:val="22"/>
                <w:szCs w:val="24"/>
                <w:lang w:val="en-US" w:eastAsia="zh-CN"/>
              </w:rPr>
              <w:t>导演专业职称、</w:t>
            </w:r>
            <w:r>
              <w:rPr>
                <w:rFonts w:hint="eastAsia" w:ascii="黑体" w:hAnsi="黑体" w:eastAsia="黑体" w:cs="黑体"/>
                <w:sz w:val="22"/>
                <w:szCs w:val="24"/>
              </w:rPr>
              <w:t>摄影师资格证、影视后期资格证、动画师证等资格证书</w:t>
            </w:r>
            <w:r>
              <w:rPr>
                <w:rFonts w:hint="eastAsia" w:ascii="黑体" w:hAnsi="黑体" w:eastAsia="黑体" w:cs="黑体"/>
                <w:sz w:val="22"/>
                <w:szCs w:val="24"/>
                <w:highlight w:val="none"/>
              </w:rPr>
              <w:t>的得</w:t>
            </w:r>
            <w:r>
              <w:rPr>
                <w:rFonts w:hint="eastAsia" w:ascii="黑体" w:hAnsi="黑体" w:eastAsia="黑体" w:cs="黑体"/>
                <w:sz w:val="22"/>
                <w:szCs w:val="24"/>
                <w:highlight w:val="none"/>
                <w:lang w:val="en-US" w:eastAsia="zh-CN"/>
              </w:rPr>
              <w:t>2</w:t>
            </w:r>
            <w:r>
              <w:rPr>
                <w:rFonts w:hint="eastAsia" w:ascii="黑体" w:hAnsi="黑体" w:eastAsia="黑体" w:cs="黑体"/>
                <w:sz w:val="22"/>
                <w:szCs w:val="24"/>
                <w:highlight w:val="none"/>
              </w:rPr>
              <w:t>分</w:t>
            </w:r>
            <w:r>
              <w:rPr>
                <w:rFonts w:hint="eastAsia" w:ascii="黑体" w:hAnsi="黑体" w:eastAsia="黑体" w:cs="黑体"/>
                <w:sz w:val="22"/>
                <w:szCs w:val="24"/>
                <w:highlight w:val="none"/>
                <w:lang w:eastAsia="zh-CN"/>
              </w:rPr>
              <w:t>；</w:t>
            </w:r>
          </w:p>
          <w:p>
            <w:pPr>
              <w:jc w:val="left"/>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2）</w:t>
            </w:r>
            <w:r>
              <w:rPr>
                <w:rFonts w:hint="eastAsia" w:ascii="Calibri" w:hAnsi="Calibri" w:eastAsia="黑体" w:cs="Calibri"/>
                <w:sz w:val="22"/>
                <w:szCs w:val="24"/>
                <w:highlight w:val="none"/>
                <w:lang w:val="en-US" w:eastAsia="zh-CN"/>
              </w:rPr>
              <w:t>具有8年</w:t>
            </w:r>
            <w:r>
              <w:rPr>
                <w:rFonts w:hint="eastAsia" w:ascii="黑体" w:hAnsi="黑体" w:eastAsia="黑体" w:cs="黑体"/>
                <w:sz w:val="22"/>
                <w:szCs w:val="24"/>
                <w:highlight w:val="none"/>
              </w:rPr>
              <w:t>（或以上）</w:t>
            </w:r>
            <w:r>
              <w:rPr>
                <w:rFonts w:hint="eastAsia" w:ascii="Calibri" w:hAnsi="Calibri" w:eastAsia="黑体" w:cs="Calibri"/>
                <w:sz w:val="22"/>
                <w:szCs w:val="24"/>
                <w:highlight w:val="none"/>
                <w:lang w:val="en-US" w:eastAsia="zh-CN"/>
              </w:rPr>
              <w:t>工作经验的得2分；5年（含）以上8年以下（不含）工作经验的</w:t>
            </w:r>
            <w:r>
              <w:rPr>
                <w:rFonts w:hint="eastAsia" w:ascii="黑体" w:hAnsi="黑体" w:eastAsia="黑体" w:cs="黑体"/>
                <w:sz w:val="22"/>
                <w:szCs w:val="24"/>
                <w:lang w:val="en-US" w:eastAsia="zh-CN"/>
              </w:rPr>
              <w:t>得1分。（需提供工作经验证明材料或承诺函）。</w:t>
            </w:r>
          </w:p>
          <w:p>
            <w:pPr>
              <w:pStyle w:val="2"/>
            </w:pPr>
            <w:r>
              <w:rPr>
                <w:rFonts w:hint="eastAsia" w:ascii="黑体" w:hAnsi="黑体" w:eastAsia="黑体" w:cs="黑体"/>
                <w:b/>
                <w:bCs/>
                <w:color w:val="0000FF"/>
                <w:sz w:val="22"/>
                <w:szCs w:val="24"/>
              </w:rPr>
              <w:t>注：需提供人员身份证复印件、学历/学位证书复印件、职称证书复印件，投标人近三个月（不含开标当月）为其购买的社保证明复印件或劳动合同的有效凭证的复印件加盖投标人公章。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9" w:hRule="atLeast"/>
        </w:trPr>
        <w:tc>
          <w:tcPr>
            <w:tcW w:w="1302" w:type="dxa"/>
            <w:vMerge w:val="continue"/>
            <w:vAlign w:val="center"/>
          </w:tcPr>
          <w:p>
            <w:pPr>
              <w:jc w:val="left"/>
            </w:pPr>
          </w:p>
        </w:tc>
        <w:tc>
          <w:tcPr>
            <w:tcW w:w="2242" w:type="dxa"/>
            <w:vMerge w:val="continue"/>
            <w:vAlign w:val="center"/>
          </w:tcPr>
          <w:p>
            <w:pPr>
              <w:jc w:val="left"/>
            </w:pPr>
          </w:p>
        </w:tc>
        <w:tc>
          <w:tcPr>
            <w:tcW w:w="6410" w:type="dxa"/>
          </w:tcPr>
          <w:p>
            <w:pPr>
              <w:numPr>
                <w:ilvl w:val="0"/>
                <w:numId w:val="0"/>
              </w:numPr>
              <w:ind w:firstLine="418" w:firstLineChars="190"/>
              <w:rPr>
                <w:rFonts w:hint="eastAsia" w:ascii="黑体" w:hAnsi="黑体" w:eastAsia="黑体" w:cs="黑体"/>
                <w:sz w:val="22"/>
                <w:szCs w:val="24"/>
              </w:rPr>
            </w:pPr>
            <w:r>
              <w:rPr>
                <w:rFonts w:hint="eastAsia" w:ascii="黑体" w:hAnsi="黑体" w:eastAsia="黑体" w:cs="黑体"/>
                <w:sz w:val="22"/>
                <w:szCs w:val="24"/>
              </w:rPr>
              <w:t>对拟投入本项目团队成员（</w:t>
            </w:r>
            <w:r>
              <w:rPr>
                <w:rFonts w:hint="eastAsia" w:ascii="黑体" w:hAnsi="黑体" w:eastAsia="黑体" w:cs="黑体"/>
                <w:sz w:val="22"/>
                <w:szCs w:val="24"/>
                <w:lang w:val="en-US" w:eastAsia="zh-CN"/>
              </w:rPr>
              <w:t>不</w:t>
            </w:r>
            <w:r>
              <w:rPr>
                <w:rFonts w:hint="eastAsia" w:ascii="黑体" w:hAnsi="黑体" w:eastAsia="黑体" w:cs="黑体"/>
                <w:sz w:val="22"/>
                <w:szCs w:val="24"/>
              </w:rPr>
              <w:t>含项目负责人）情况进行评分：本项最多得</w:t>
            </w:r>
            <w:r>
              <w:rPr>
                <w:rFonts w:hint="eastAsia" w:ascii="黑体" w:hAnsi="黑体" w:eastAsia="黑体" w:cs="黑体"/>
                <w:sz w:val="22"/>
                <w:szCs w:val="24"/>
                <w:lang w:val="en-US" w:eastAsia="zh-CN"/>
              </w:rPr>
              <w:t>8</w:t>
            </w:r>
            <w:r>
              <w:rPr>
                <w:rFonts w:hint="eastAsia" w:ascii="黑体" w:hAnsi="黑体" w:eastAsia="黑体" w:cs="黑体"/>
                <w:sz w:val="22"/>
                <w:szCs w:val="24"/>
              </w:rPr>
              <w:t>分。</w:t>
            </w:r>
          </w:p>
          <w:p>
            <w:pPr>
              <w:jc w:val="left"/>
              <w:rPr>
                <w:rFonts w:hint="eastAsia" w:ascii="黑体" w:hAnsi="黑体" w:eastAsia="黑体" w:cs="黑体"/>
                <w:sz w:val="22"/>
                <w:szCs w:val="24"/>
              </w:rPr>
            </w:pPr>
            <w:r>
              <w:rPr>
                <w:rFonts w:hint="eastAsia" w:ascii="黑体" w:hAnsi="黑体" w:eastAsia="黑体" w:cs="黑体"/>
                <w:sz w:val="22"/>
                <w:szCs w:val="24"/>
                <w:lang w:val="en-US" w:eastAsia="zh-CN"/>
              </w:rPr>
              <w:t>1）对</w:t>
            </w:r>
            <w:r>
              <w:rPr>
                <w:rFonts w:hint="eastAsia" w:ascii="黑体" w:hAnsi="黑体" w:eastAsia="黑体" w:cs="黑体"/>
                <w:sz w:val="22"/>
                <w:szCs w:val="24"/>
              </w:rPr>
              <w:t>拟投入本项目</w:t>
            </w:r>
            <w:r>
              <w:rPr>
                <w:rFonts w:hint="eastAsia" w:ascii="黑体" w:hAnsi="黑体" w:eastAsia="黑体" w:cs="黑体"/>
                <w:sz w:val="22"/>
                <w:szCs w:val="24"/>
                <w:lang w:val="en-US" w:eastAsia="zh-CN"/>
              </w:rPr>
              <w:t>团队成员中</w:t>
            </w:r>
            <w:r>
              <w:rPr>
                <w:rFonts w:hint="eastAsia" w:ascii="黑体" w:hAnsi="黑体" w:eastAsia="黑体" w:cs="黑体"/>
                <w:sz w:val="22"/>
                <w:szCs w:val="24"/>
              </w:rPr>
              <w:t>具有</w:t>
            </w:r>
            <w:r>
              <w:rPr>
                <w:rFonts w:hint="eastAsia" w:ascii="黑体" w:hAnsi="黑体" w:eastAsia="黑体" w:cs="黑体"/>
                <w:sz w:val="22"/>
                <w:szCs w:val="24"/>
                <w:lang w:val="en-US" w:eastAsia="zh-CN"/>
              </w:rPr>
              <w:t>专</w:t>
            </w:r>
            <w:r>
              <w:rPr>
                <w:rFonts w:hint="eastAsia" w:ascii="黑体" w:hAnsi="黑体" w:eastAsia="黑体" w:cs="黑体"/>
                <w:sz w:val="22"/>
                <w:szCs w:val="24"/>
              </w:rPr>
              <w:t>科（或以上）学历的，且专业为广播电视编导、影视导演、表演、摄影相关专业的，每一个得2分，本项最多得4分。</w:t>
            </w:r>
          </w:p>
          <w:p>
            <w:pPr>
              <w:jc w:val="left"/>
              <w:rPr>
                <w:rFonts w:hint="eastAsia" w:ascii="黑体" w:hAnsi="黑体" w:eastAsia="黑体" w:cs="黑体"/>
                <w:sz w:val="22"/>
                <w:szCs w:val="24"/>
              </w:rPr>
            </w:pPr>
            <w:r>
              <w:rPr>
                <w:rFonts w:hint="eastAsia" w:ascii="黑体" w:hAnsi="黑体" w:eastAsia="黑体" w:cs="黑体"/>
                <w:sz w:val="22"/>
                <w:szCs w:val="24"/>
                <w:lang w:val="en-US" w:eastAsia="zh-CN"/>
              </w:rPr>
              <w:t>2）</w:t>
            </w:r>
            <w:r>
              <w:rPr>
                <w:rFonts w:hint="eastAsia" w:ascii="黑体" w:hAnsi="黑体" w:eastAsia="黑体" w:cs="黑体"/>
                <w:sz w:val="22"/>
                <w:szCs w:val="24"/>
                <w:highlight w:val="none"/>
                <w:lang w:val="en-US" w:eastAsia="zh-CN"/>
              </w:rPr>
              <w:t>对</w:t>
            </w:r>
            <w:r>
              <w:rPr>
                <w:rFonts w:hint="eastAsia" w:ascii="黑体" w:hAnsi="黑体" w:eastAsia="黑体" w:cs="黑体"/>
                <w:sz w:val="22"/>
                <w:szCs w:val="24"/>
                <w:highlight w:val="none"/>
              </w:rPr>
              <w:t>拟投入本项目</w:t>
            </w:r>
            <w:r>
              <w:rPr>
                <w:rFonts w:hint="eastAsia" w:ascii="黑体" w:hAnsi="黑体" w:eastAsia="黑体" w:cs="黑体"/>
                <w:sz w:val="22"/>
                <w:szCs w:val="24"/>
                <w:highlight w:val="none"/>
                <w:lang w:val="en-US" w:eastAsia="zh-CN"/>
              </w:rPr>
              <w:t>团队成员</w:t>
            </w:r>
            <w:r>
              <w:rPr>
                <w:rFonts w:hint="eastAsia" w:ascii="黑体" w:hAnsi="黑体" w:eastAsia="黑体" w:cs="黑体"/>
                <w:sz w:val="22"/>
                <w:szCs w:val="24"/>
              </w:rPr>
              <w:t>中具有</w:t>
            </w:r>
            <w:r>
              <w:rPr>
                <w:rFonts w:hint="eastAsia" w:ascii="黑体" w:hAnsi="黑体" w:eastAsia="黑体" w:cs="黑体"/>
                <w:sz w:val="22"/>
                <w:szCs w:val="24"/>
                <w:lang w:val="en-US" w:eastAsia="zh-CN"/>
              </w:rPr>
              <w:t>导演专业职称、</w:t>
            </w:r>
            <w:r>
              <w:rPr>
                <w:rFonts w:hint="eastAsia" w:ascii="黑体" w:hAnsi="黑体" w:eastAsia="黑体" w:cs="黑体"/>
                <w:sz w:val="22"/>
                <w:szCs w:val="24"/>
              </w:rPr>
              <w:t>摄影师资格证、影视后期资格证、动画师证等资格证书，每有一个得2分，本项最多得4分。</w:t>
            </w:r>
          </w:p>
          <w:p>
            <w:pPr>
              <w:jc w:val="left"/>
              <w:rPr>
                <w:rFonts w:hint="eastAsia" w:ascii="黑体" w:hAnsi="黑体" w:eastAsia="黑体" w:cs="黑体"/>
                <w:b/>
                <w:bCs/>
                <w:color w:val="0000FF"/>
                <w:sz w:val="22"/>
                <w:szCs w:val="24"/>
              </w:rPr>
            </w:pPr>
            <w:r>
              <w:rPr>
                <w:rFonts w:hint="eastAsia" w:ascii="黑体" w:hAnsi="黑体" w:eastAsia="黑体" w:cs="黑体"/>
                <w:b/>
                <w:bCs/>
                <w:color w:val="0000FF"/>
                <w:sz w:val="22"/>
                <w:szCs w:val="24"/>
              </w:rPr>
              <w:t>注：需提供人员身份证复印件、学历/学位证书复印件、职称证书复印件，投标人近三个月（不含开标当月）为其购买的社保证明复印件或劳动合同的有效凭证的复印件加盖投标人公章。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55" w:hRule="atLeast"/>
        </w:trPr>
        <w:tc>
          <w:tcPr>
            <w:tcW w:w="1302" w:type="dxa"/>
            <w:vMerge w:val="continue"/>
            <w:vAlign w:val="center"/>
          </w:tcPr>
          <w:p>
            <w:pPr>
              <w:jc w:val="left"/>
            </w:pPr>
          </w:p>
        </w:tc>
        <w:tc>
          <w:tcPr>
            <w:tcW w:w="2242" w:type="dxa"/>
            <w:vAlign w:val="center"/>
          </w:tcPr>
          <w:p>
            <w:pPr>
              <w:jc w:val="both"/>
              <w:rPr>
                <w:rFonts w:ascii="黑体" w:hAnsi="黑体" w:eastAsia="黑体" w:cs="黑体"/>
                <w:sz w:val="22"/>
                <w:szCs w:val="24"/>
              </w:rPr>
            </w:pPr>
            <w:r>
              <w:rPr>
                <w:rFonts w:hint="eastAsia" w:ascii="黑体" w:hAnsi="黑体" w:eastAsia="黑体" w:cs="黑体"/>
                <w:sz w:val="22"/>
                <w:szCs w:val="24"/>
              </w:rPr>
              <w:t>荣誉或奖项(</w:t>
            </w:r>
            <w:r>
              <w:rPr>
                <w:rFonts w:hint="eastAsia" w:ascii="黑体" w:hAnsi="黑体" w:eastAsia="黑体" w:cs="黑体"/>
                <w:sz w:val="22"/>
                <w:szCs w:val="24"/>
                <w:lang w:val="en-US" w:eastAsia="zh-CN"/>
              </w:rPr>
              <w:t>2</w:t>
            </w:r>
            <w:r>
              <w:rPr>
                <w:rFonts w:hint="eastAsia" w:ascii="黑体" w:hAnsi="黑体" w:eastAsia="黑体" w:cs="黑体"/>
                <w:sz w:val="22"/>
                <w:szCs w:val="24"/>
              </w:rPr>
              <w:t>分)</w:t>
            </w:r>
          </w:p>
        </w:tc>
        <w:tc>
          <w:tcPr>
            <w:tcW w:w="6410" w:type="dxa"/>
          </w:tcPr>
          <w:p>
            <w:pPr>
              <w:ind w:firstLine="418" w:firstLineChars="190"/>
              <w:jc w:val="left"/>
              <w:rPr>
                <w:rFonts w:ascii="黑体" w:hAnsi="黑体" w:eastAsia="黑体" w:cs="黑体"/>
                <w:sz w:val="22"/>
                <w:szCs w:val="24"/>
              </w:rPr>
            </w:pPr>
            <w:r>
              <w:rPr>
                <w:rFonts w:hint="eastAsia" w:ascii="黑体" w:hAnsi="黑体" w:eastAsia="黑体" w:cs="黑体"/>
                <w:sz w:val="22"/>
                <w:szCs w:val="24"/>
              </w:rPr>
              <w:t>投标人或投标人承接的项目自2021年1月1日以来获得主管部门/甲方/协会组织等颁发的奖项/荣誉/表彰证书/感谢信（函）的</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每一个</w:t>
            </w:r>
            <w:r>
              <w:rPr>
                <w:rFonts w:hint="eastAsia" w:ascii="黑体" w:hAnsi="黑体" w:eastAsia="黑体" w:cs="黑体"/>
                <w:sz w:val="22"/>
                <w:szCs w:val="24"/>
              </w:rPr>
              <w:t>得</w:t>
            </w:r>
            <w:r>
              <w:rPr>
                <w:rFonts w:hint="eastAsia" w:ascii="黑体" w:hAnsi="黑体" w:eastAsia="黑体" w:cs="黑体"/>
                <w:sz w:val="22"/>
                <w:szCs w:val="24"/>
                <w:lang w:val="en-US" w:eastAsia="zh-CN"/>
              </w:rPr>
              <w:t>1</w:t>
            </w:r>
            <w:r>
              <w:rPr>
                <w:rFonts w:hint="eastAsia" w:ascii="黑体" w:hAnsi="黑体" w:eastAsia="黑体" w:cs="黑体"/>
                <w:sz w:val="22"/>
                <w:szCs w:val="24"/>
              </w:rPr>
              <w:t>分，本项最多得</w:t>
            </w:r>
            <w:r>
              <w:rPr>
                <w:rFonts w:hint="eastAsia" w:ascii="黑体" w:hAnsi="黑体" w:eastAsia="黑体" w:cs="黑体"/>
                <w:sz w:val="22"/>
                <w:szCs w:val="24"/>
                <w:lang w:val="en-US" w:eastAsia="zh-CN"/>
              </w:rPr>
              <w:t>2</w:t>
            </w:r>
            <w:r>
              <w:rPr>
                <w:rFonts w:hint="eastAsia" w:ascii="黑体" w:hAnsi="黑体" w:eastAsia="黑体" w:cs="黑体"/>
                <w:sz w:val="22"/>
                <w:szCs w:val="24"/>
              </w:rPr>
              <w:t xml:space="preserve">分。 </w:t>
            </w:r>
          </w:p>
          <w:p>
            <w:pPr>
              <w:rPr>
                <w:rFonts w:ascii="黑体" w:hAnsi="黑体" w:eastAsia="黑体" w:cs="黑体"/>
                <w:sz w:val="22"/>
                <w:szCs w:val="24"/>
              </w:rPr>
            </w:pPr>
            <w:r>
              <w:rPr>
                <w:rFonts w:hint="eastAsia" w:ascii="黑体" w:hAnsi="黑体" w:eastAsia="黑体" w:cs="黑体"/>
                <w:b/>
                <w:bCs/>
                <w:color w:val="0000FF"/>
                <w:sz w:val="22"/>
                <w:szCs w:val="24"/>
              </w:rPr>
              <w:t>注：须提供相关有效证明文件复印件作为评审依据，时间以相关证书/证明文件的颁发时间为准，不提供不得分。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Align w:val="center"/>
          </w:tcPr>
          <w:p>
            <w:pPr>
              <w:jc w:val="center"/>
              <w:rPr>
                <w:rFonts w:ascii="黑体" w:hAnsi="黑体" w:eastAsia="黑体" w:cs="黑体"/>
                <w:sz w:val="22"/>
                <w:szCs w:val="24"/>
              </w:rPr>
            </w:pPr>
            <w:r>
              <w:rPr>
                <w:rFonts w:hint="eastAsia" w:ascii="黑体" w:hAnsi="黑体" w:eastAsia="黑体" w:cs="黑体"/>
                <w:sz w:val="22"/>
                <w:szCs w:val="24"/>
              </w:rPr>
              <w:t>投标报价</w:t>
            </w:r>
          </w:p>
        </w:tc>
        <w:tc>
          <w:tcPr>
            <w:tcW w:w="2242" w:type="dxa"/>
            <w:vAlign w:val="center"/>
          </w:tcPr>
          <w:p>
            <w:pPr>
              <w:jc w:val="center"/>
              <w:rPr>
                <w:rFonts w:ascii="黑体" w:hAnsi="黑体" w:eastAsia="黑体" w:cs="黑体"/>
                <w:sz w:val="22"/>
                <w:szCs w:val="24"/>
              </w:rPr>
            </w:pPr>
            <w:r>
              <w:rPr>
                <w:rFonts w:hint="eastAsia" w:ascii="黑体" w:hAnsi="黑体" w:eastAsia="黑体" w:cs="黑体"/>
                <w:sz w:val="22"/>
                <w:szCs w:val="24"/>
              </w:rPr>
              <w:t xml:space="preserve">投标报价得分 </w:t>
            </w:r>
          </w:p>
          <w:p>
            <w:pPr>
              <w:jc w:val="center"/>
              <w:rPr>
                <w:rFonts w:ascii="黑体" w:hAnsi="黑体" w:eastAsia="黑体" w:cs="黑体"/>
                <w:sz w:val="22"/>
                <w:szCs w:val="24"/>
              </w:rPr>
            </w:pPr>
            <w:r>
              <w:rPr>
                <w:rFonts w:hint="eastAsia" w:ascii="黑体" w:hAnsi="黑体" w:eastAsia="黑体" w:cs="黑体"/>
                <w:sz w:val="22"/>
                <w:szCs w:val="24"/>
              </w:rPr>
              <w:t>(</w:t>
            </w:r>
            <w:r>
              <w:rPr>
                <w:rFonts w:hint="eastAsia" w:ascii="黑体" w:hAnsi="黑体" w:eastAsia="黑体" w:cs="黑体"/>
                <w:sz w:val="22"/>
                <w:szCs w:val="24"/>
                <w:lang w:val="en-US" w:eastAsia="zh-CN"/>
              </w:rPr>
              <w:t>2</w:t>
            </w:r>
            <w:r>
              <w:rPr>
                <w:rFonts w:hint="eastAsia" w:ascii="黑体" w:hAnsi="黑体" w:eastAsia="黑体" w:cs="黑体"/>
                <w:sz w:val="22"/>
                <w:szCs w:val="24"/>
              </w:rPr>
              <w:t>0分)</w:t>
            </w:r>
          </w:p>
        </w:tc>
        <w:tc>
          <w:tcPr>
            <w:tcW w:w="6410" w:type="dxa"/>
          </w:tcPr>
          <w:p>
            <w:pPr>
              <w:numPr>
                <w:ilvl w:val="0"/>
                <w:numId w:val="0"/>
              </w:numPr>
              <w:rPr>
                <w:rFonts w:ascii="黑体" w:hAnsi="黑体" w:eastAsia="黑体" w:cs="黑体"/>
                <w:sz w:val="22"/>
                <w:szCs w:val="24"/>
              </w:rPr>
            </w:pPr>
            <w:r>
              <w:rPr>
                <w:rFonts w:hint="eastAsia" w:ascii="黑体" w:hAnsi="黑体" w:eastAsia="黑体" w:cs="黑体"/>
                <w:sz w:val="22"/>
                <w:szCs w:val="24"/>
                <w:lang w:val="en-US" w:eastAsia="zh-CN"/>
              </w:rPr>
              <w:t>1）</w:t>
            </w:r>
            <w:r>
              <w:rPr>
                <w:rFonts w:hint="eastAsia" w:ascii="黑体" w:hAnsi="黑体" w:eastAsia="黑体" w:cs="黑体"/>
                <w:sz w:val="22"/>
                <w:szCs w:val="24"/>
              </w:rPr>
              <w:t>满足招标文件要求且投标价格最低的投标报价为评标基准价。</w:t>
            </w:r>
          </w:p>
          <w:p>
            <w:pPr>
              <w:numPr>
                <w:ilvl w:val="0"/>
                <w:numId w:val="0"/>
              </w:numPr>
              <w:rPr>
                <w:rFonts w:ascii="黑体" w:hAnsi="黑体" w:eastAsia="黑体" w:cs="黑体"/>
                <w:sz w:val="22"/>
                <w:szCs w:val="24"/>
              </w:rPr>
            </w:pPr>
            <w:r>
              <w:rPr>
                <w:rFonts w:hint="eastAsia" w:ascii="黑体" w:hAnsi="黑体" w:eastAsia="黑体" w:cs="黑体"/>
                <w:sz w:val="22"/>
                <w:szCs w:val="24"/>
                <w:lang w:val="en-US" w:eastAsia="zh-CN"/>
              </w:rPr>
              <w:t>2）</w:t>
            </w:r>
            <w:r>
              <w:rPr>
                <w:rFonts w:hint="eastAsia" w:ascii="黑体" w:hAnsi="黑体" w:eastAsia="黑体" w:cs="黑体"/>
                <w:sz w:val="22"/>
                <w:szCs w:val="24"/>
              </w:rPr>
              <w:t>投标报价得分＝（评标基准价/投标报价）×价格标准分值。</w:t>
            </w:r>
          </w:p>
        </w:tc>
      </w:tr>
      <w:bookmarkEnd w:id="111"/>
      <w:bookmarkEnd w:id="112"/>
      <w:bookmarkEnd w:id="113"/>
      <w:bookmarkEnd w:id="114"/>
      <w:bookmarkEnd w:id="115"/>
    </w:tbl>
    <w:p>
      <w:pPr>
        <w:spacing w:line="360" w:lineRule="auto"/>
        <w:rPr>
          <w:color w:val="000000" w:themeColor="text1"/>
          <w:sz w:val="22"/>
          <w:szCs w:val="24"/>
          <w14:textFill>
            <w14:solidFill>
              <w14:schemeClr w14:val="tx1"/>
            </w14:solidFill>
          </w14:textFill>
        </w:rPr>
      </w:pPr>
      <w:r>
        <w:rPr>
          <w:rFonts w:hint="eastAsia" w:ascii="黑体" w:hAnsi="黑体" w:eastAsia="黑体"/>
          <w:bCs w:val="0"/>
          <w:color w:val="000000" w:themeColor="text1"/>
          <w:kern w:val="0"/>
          <w:sz w:val="22"/>
          <w:szCs w:val="22"/>
          <w14:textFill>
            <w14:solidFill>
              <w14:schemeClr w14:val="tx1"/>
            </w14:solidFill>
          </w14:textFill>
        </w:rPr>
        <w:br w:type="page"/>
      </w:r>
      <w:bookmarkStart w:id="116" w:name="_Toc405313957"/>
      <w:bookmarkStart w:id="117" w:name="_Toc391627753"/>
    </w:p>
    <w:p>
      <w:pPr>
        <w:pStyle w:val="3"/>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118" w:name="_Toc10024"/>
      <w:bookmarkStart w:id="119" w:name="_Toc853"/>
      <w:bookmarkStart w:id="120" w:name="_Toc6449"/>
      <w:r>
        <w:rPr>
          <w:rFonts w:hint="eastAsia" w:ascii="黑体" w:hAnsi="黑体" w:eastAsia="黑体"/>
          <w:color w:val="000000" w:themeColor="text1"/>
          <w:spacing w:val="20"/>
          <w:sz w:val="36"/>
          <w:szCs w:val="36"/>
          <w14:textFill>
            <w14:solidFill>
              <w14:schemeClr w14:val="tx1"/>
            </w14:solidFill>
          </w14:textFill>
        </w:rPr>
        <w:t>第六部分　合同书文本</w:t>
      </w:r>
      <w:bookmarkEnd w:id="118"/>
      <w:bookmarkEnd w:id="119"/>
      <w:bookmarkEnd w:id="120"/>
    </w:p>
    <w:p>
      <w:pPr>
        <w:tabs>
          <w:tab w:val="left" w:pos="720"/>
        </w:tabs>
        <w:spacing w:line="360" w:lineRule="auto"/>
        <w:jc w:val="center"/>
        <w:rPr>
          <w:rFonts w:ascii="黑体" w:hAnsi="黑体" w:eastAsia="黑体"/>
          <w:b/>
          <w:color w:val="000000" w:themeColor="text1"/>
          <w:sz w:val="22"/>
          <w:szCs w:val="22"/>
          <w14:textFill>
            <w14:solidFill>
              <w14:schemeClr w14:val="tx1"/>
            </w14:solidFill>
          </w14:textFill>
        </w:rPr>
      </w:pPr>
      <w:r>
        <w:rPr>
          <w:rFonts w:hint="eastAsia"/>
          <w:b/>
          <w:bCs/>
          <w:sz w:val="22"/>
          <w:szCs w:val="24"/>
          <w:lang w:eastAsia="zh-CN"/>
        </w:rPr>
        <w:t>（</w:t>
      </w:r>
      <w:r>
        <w:rPr>
          <w:rFonts w:hint="eastAsia"/>
          <w:b/>
          <w:bCs/>
          <w:sz w:val="22"/>
          <w:szCs w:val="24"/>
          <w:lang w:val="en-US" w:eastAsia="zh-CN"/>
        </w:rPr>
        <w:t>仅供参考</w:t>
      </w:r>
      <w:r>
        <w:rPr>
          <w:rFonts w:hint="eastAsia"/>
          <w:b/>
          <w:bCs/>
          <w:sz w:val="22"/>
          <w:szCs w:val="24"/>
          <w:lang w:eastAsia="zh-CN"/>
        </w:rPr>
        <w:t>）</w:t>
      </w:r>
    </w:p>
    <w:p>
      <w:pPr>
        <w:tabs>
          <w:tab w:val="left" w:pos="720"/>
        </w:tabs>
        <w:spacing w:line="360" w:lineRule="auto"/>
        <w:rPr>
          <w:rFonts w:ascii="黑体" w:hAnsi="黑体" w:eastAsia="黑体"/>
          <w:b/>
          <w:color w:val="000000" w:themeColor="text1"/>
          <w:sz w:val="22"/>
          <w:szCs w:val="22"/>
          <w14:textFill>
            <w14:solidFill>
              <w14:schemeClr w14:val="tx1"/>
            </w14:solidFill>
          </w14:textFill>
        </w:rPr>
      </w:pPr>
    </w:p>
    <w:p>
      <w:pPr>
        <w:pStyle w:val="82"/>
        <w:rPr>
          <w:rFonts w:ascii="黑体" w:hAnsi="黑体" w:eastAsia="黑体"/>
          <w:color w:val="000000" w:themeColor="text1"/>
          <w:sz w:val="22"/>
          <w:szCs w:val="22"/>
          <w14:textFill>
            <w14:solidFill>
              <w14:schemeClr w14:val="tx1"/>
            </w14:solidFill>
          </w14:textFill>
        </w:rPr>
      </w:pPr>
    </w:p>
    <w:p>
      <w:pPr>
        <w:jc w:val="left"/>
        <w:rPr>
          <w:sz w:val="22"/>
          <w:szCs w:val="24"/>
          <w:highlight w:val="yellow"/>
        </w:rPr>
      </w:pPr>
      <w:r>
        <w:rPr>
          <w:b/>
          <w:sz w:val="22"/>
          <w:szCs w:val="24"/>
          <w:highlight w:val="yellow"/>
        </w:rPr>
        <w:t>注：1、合同具体事项须根据</w:t>
      </w:r>
      <w:r>
        <w:rPr>
          <w:rFonts w:hint="eastAsia"/>
          <w:b/>
          <w:sz w:val="22"/>
          <w:szCs w:val="24"/>
          <w:highlight w:val="yellow"/>
          <w:lang w:val="en-US" w:eastAsia="zh-CN"/>
        </w:rPr>
        <w:t>招标</w:t>
      </w:r>
      <w:r>
        <w:rPr>
          <w:b/>
          <w:sz w:val="22"/>
          <w:szCs w:val="24"/>
          <w:highlight w:val="yellow"/>
        </w:rPr>
        <w:t>文件的约定及乙方投标文件的承诺执行；</w:t>
      </w:r>
    </w:p>
    <w:p>
      <w:pPr>
        <w:pStyle w:val="29"/>
        <w:ind w:firstLine="400"/>
        <w:rPr>
          <w:rFonts w:ascii="黑体" w:hAnsi="黑体" w:eastAsia="黑体"/>
          <w:color w:val="000000" w:themeColor="text1"/>
          <w:sz w:val="22"/>
          <w:szCs w:val="22"/>
          <w14:textFill>
            <w14:solidFill>
              <w14:schemeClr w14:val="tx1"/>
            </w14:solidFill>
          </w14:textFill>
        </w:rPr>
      </w:pPr>
    </w:p>
    <w:p>
      <w:pPr>
        <w:pStyle w:val="29"/>
        <w:ind w:firstLine="400"/>
        <w:rPr>
          <w:rFonts w:ascii="黑体" w:hAnsi="黑体" w:eastAsia="黑体"/>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44"/>
          <w:szCs w:val="44"/>
          <w14:textFill>
            <w14:solidFill>
              <w14:schemeClr w14:val="tx1"/>
            </w14:solidFill>
          </w14:textFill>
        </w:rPr>
      </w:pPr>
      <w:bookmarkStart w:id="121" w:name="_Toc116593612"/>
      <w:r>
        <w:rPr>
          <w:rFonts w:hint="eastAsia" w:ascii="黑体" w:hAnsi="黑体" w:eastAsia="黑体"/>
          <w:b/>
          <w:color w:val="000000" w:themeColor="text1"/>
          <w:sz w:val="44"/>
          <w:szCs w:val="44"/>
          <w:lang w:val="en-US" w:eastAsia="zh-CN"/>
          <w14:textFill>
            <w14:solidFill>
              <w14:schemeClr w14:val="tx1"/>
            </w14:solidFill>
          </w14:textFill>
        </w:rPr>
        <w:t>XXXXX</w:t>
      </w:r>
      <w:r>
        <w:rPr>
          <w:rFonts w:ascii="黑体" w:hAnsi="黑体" w:eastAsia="黑体"/>
          <w:b/>
          <w:color w:val="000000" w:themeColor="text1"/>
          <w:sz w:val="44"/>
          <w:szCs w:val="44"/>
          <w14:textFill>
            <w14:solidFill>
              <w14:schemeClr w14:val="tx1"/>
            </w14:solidFill>
          </w14:textFill>
        </w:rPr>
        <w:t>采购</w:t>
      </w:r>
      <w:r>
        <w:rPr>
          <w:rFonts w:hint="eastAsia" w:ascii="黑体" w:hAnsi="黑体" w:eastAsia="黑体"/>
          <w:b/>
          <w:color w:val="000000" w:themeColor="text1"/>
          <w:sz w:val="44"/>
          <w:szCs w:val="44"/>
          <w14:textFill>
            <w14:solidFill>
              <w14:schemeClr w14:val="tx1"/>
            </w14:solidFill>
          </w14:textFill>
        </w:rPr>
        <w:t>合</w:t>
      </w:r>
      <w:r>
        <w:rPr>
          <w:rFonts w:ascii="黑体" w:hAnsi="黑体" w:eastAsia="黑体"/>
          <w:b/>
          <w:color w:val="000000" w:themeColor="text1"/>
          <w:sz w:val="44"/>
          <w:szCs w:val="44"/>
          <w14:textFill>
            <w14:solidFill>
              <w14:schemeClr w14:val="tx1"/>
            </w14:solidFill>
          </w14:textFill>
        </w:rPr>
        <w:t>同</w:t>
      </w:r>
      <w:bookmarkEnd w:id="121"/>
    </w:p>
    <w:p>
      <w:pPr>
        <w:tabs>
          <w:tab w:val="left" w:pos="840"/>
        </w:tabs>
        <w:spacing w:line="480" w:lineRule="exact"/>
        <w:ind w:firstLine="330" w:firstLineChars="150"/>
        <w:rPr>
          <w:rFonts w:ascii="黑体" w:hAnsi="黑体" w:eastAsia="黑体"/>
          <w:color w:val="000000" w:themeColor="text1"/>
          <w:sz w:val="22"/>
          <w:szCs w:val="22"/>
          <w14:textFill>
            <w14:solidFill>
              <w14:schemeClr w14:val="tx1"/>
            </w14:solidFill>
          </w14:textFill>
        </w:rPr>
      </w:pPr>
    </w:p>
    <w:p>
      <w:pPr>
        <w:spacing w:line="360" w:lineRule="auto"/>
        <w:jc w:val="center"/>
        <w:rPr>
          <w:rFonts w:ascii="黑体" w:hAnsi="黑体" w:eastAsia="黑体"/>
          <w:color w:val="000000" w:themeColor="text1"/>
          <w:sz w:val="22"/>
          <w:szCs w:val="22"/>
          <w14:textFill>
            <w14:solidFill>
              <w14:schemeClr w14:val="tx1"/>
            </w14:solidFill>
          </w14:textFill>
        </w:rPr>
      </w:pPr>
    </w:p>
    <w:p>
      <w:pPr>
        <w:pStyle w:val="82"/>
        <w:spacing w:line="360" w:lineRule="auto"/>
        <w:rPr>
          <w:rFonts w:ascii="黑体" w:hAnsi="黑体" w:eastAsia="黑体"/>
          <w:color w:val="000000" w:themeColor="text1"/>
          <w:sz w:val="22"/>
          <w:szCs w:val="22"/>
          <w14:textFill>
            <w14:solidFill>
              <w14:schemeClr w14:val="tx1"/>
            </w14:solidFill>
          </w14:textFill>
        </w:rPr>
      </w:pPr>
    </w:p>
    <w:p>
      <w:pPr>
        <w:pStyle w:val="29"/>
        <w:ind w:firstLine="1040"/>
        <w:rPr>
          <w:rFonts w:ascii="黑体" w:hAnsi="黑体" w:eastAsia="黑体"/>
          <w:color w:val="000000" w:themeColor="text1"/>
          <w:sz w:val="22"/>
          <w:szCs w:val="22"/>
          <w14:textFill>
            <w14:solidFill>
              <w14:schemeClr w14:val="tx1"/>
            </w14:solidFill>
          </w14:textFill>
        </w:rPr>
      </w:pPr>
    </w:p>
    <w:p>
      <w:pPr>
        <w:pStyle w:val="29"/>
        <w:ind w:firstLine="1040"/>
        <w:rPr>
          <w:rFonts w:ascii="黑体" w:hAnsi="黑体" w:eastAsia="黑体"/>
          <w:color w:val="000000" w:themeColor="text1"/>
          <w:sz w:val="22"/>
          <w:szCs w:val="22"/>
          <w14:textFill>
            <w14:solidFill>
              <w14:schemeClr w14:val="tx1"/>
            </w14:solidFill>
          </w14:textFill>
        </w:rPr>
      </w:pPr>
    </w:p>
    <w:p>
      <w:pPr>
        <w:pStyle w:val="29"/>
        <w:ind w:firstLine="400"/>
        <w:rPr>
          <w:rFonts w:ascii="黑体" w:hAnsi="黑体" w:eastAsia="黑体"/>
          <w:color w:val="000000" w:themeColor="text1"/>
          <w:sz w:val="22"/>
          <w:szCs w:val="22"/>
          <w14:textFill>
            <w14:solidFill>
              <w14:schemeClr w14:val="tx1"/>
            </w14:solidFill>
          </w14:textFill>
        </w:rPr>
      </w:pPr>
    </w:p>
    <w:p>
      <w:pPr>
        <w:pStyle w:val="29"/>
        <w:ind w:firstLine="400"/>
        <w:rPr>
          <w:rFonts w:ascii="黑体" w:hAnsi="黑体" w:eastAsia="黑体"/>
          <w:color w:val="000000" w:themeColor="text1"/>
          <w:sz w:val="22"/>
          <w:szCs w:val="22"/>
          <w14:textFill>
            <w14:solidFill>
              <w14:schemeClr w14:val="tx1"/>
            </w14:solidFill>
          </w14:textFill>
        </w:rPr>
      </w:pPr>
    </w:p>
    <w:p>
      <w:pPr>
        <w:pStyle w:val="29"/>
        <w:ind w:firstLine="400"/>
        <w:rPr>
          <w:rFonts w:ascii="黑体" w:hAnsi="黑体" w:eastAsia="黑体"/>
          <w:color w:val="000000" w:themeColor="text1"/>
          <w:sz w:val="22"/>
          <w:szCs w:val="22"/>
          <w14:textFill>
            <w14:solidFill>
              <w14:schemeClr w14:val="tx1"/>
            </w14:solidFill>
          </w14:textFill>
        </w:rPr>
      </w:pPr>
    </w:p>
    <w:p>
      <w:pPr>
        <w:spacing w:line="360" w:lineRule="auto"/>
        <w:ind w:left="2240" w:hanging="2520" w:hangingChars="700"/>
        <w:rPr>
          <w:rFonts w:ascii="黑体" w:hAnsi="黑体" w:eastAsia="黑体" w:cs="Arial"/>
          <w:bCs/>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项目名称：</w:t>
      </w:r>
    </w:p>
    <w:p>
      <w:pPr>
        <w:spacing w:line="360" w:lineRule="auto"/>
        <w:ind w:firstLine="720" w:firstLineChars="200"/>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合同编号： </w:t>
      </w:r>
    </w:p>
    <w:p>
      <w:pPr>
        <w:spacing w:line="360" w:lineRule="auto"/>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签订地点：</w:t>
      </w:r>
    </w:p>
    <w:p>
      <w:pPr>
        <w:spacing w:line="360" w:lineRule="auto"/>
        <w:rPr>
          <w:rFonts w:ascii="黑体" w:hAnsi="黑体" w:eastAsia="黑体"/>
          <w:color w:val="000000" w:themeColor="text1"/>
          <w:sz w:val="36"/>
          <w:szCs w:val="36"/>
          <w14:textFill>
            <w14:solidFill>
              <w14:schemeClr w14:val="tx1"/>
            </w14:solidFill>
          </w14:textFill>
        </w:rPr>
      </w:pPr>
    </w:p>
    <w:p>
      <w:pPr>
        <w:spacing w:line="36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二○二</w:t>
      </w:r>
      <w:r>
        <w:rPr>
          <w:rFonts w:hint="eastAsia" w:ascii="黑体" w:hAnsi="黑体" w:eastAsia="黑体"/>
          <w:color w:val="000000" w:themeColor="text1"/>
          <w:sz w:val="36"/>
          <w:szCs w:val="36"/>
          <w:lang w:val="en-US" w:eastAsia="zh-CN"/>
          <w14:textFill>
            <w14:solidFill>
              <w14:schemeClr w14:val="tx1"/>
            </w14:solidFill>
          </w14:textFill>
        </w:rPr>
        <w:t>X</w:t>
      </w:r>
      <w:r>
        <w:rPr>
          <w:rFonts w:hint="eastAsia" w:ascii="黑体" w:hAnsi="黑体" w:eastAsia="黑体"/>
          <w:color w:val="000000" w:themeColor="text1"/>
          <w:sz w:val="36"/>
          <w:szCs w:val="36"/>
          <w14:textFill>
            <w14:solidFill>
              <w14:schemeClr w14:val="tx1"/>
            </w14:solidFill>
          </w14:textFill>
        </w:rPr>
        <w:t>年   月</w:t>
      </w:r>
    </w:p>
    <w:p>
      <w:pPr>
        <w:pStyle w:val="82"/>
        <w:rPr>
          <w:rFonts w:ascii="黑体" w:hAnsi="黑体" w:eastAsia="黑体"/>
          <w:color w:val="000000" w:themeColor="text1"/>
          <w:sz w:val="22"/>
          <w:szCs w:val="22"/>
          <w14:textFill>
            <w14:solidFill>
              <w14:schemeClr w14:val="tx1"/>
            </w14:solidFill>
          </w14:textFill>
        </w:rPr>
      </w:pPr>
    </w:p>
    <w:p>
      <w:pPr>
        <w:pStyle w:val="29"/>
        <w:ind w:firstLine="400"/>
        <w:rPr>
          <w:rFonts w:ascii="黑体" w:hAnsi="黑体" w:eastAsia="黑体"/>
          <w:color w:val="000000" w:themeColor="text1"/>
          <w:sz w:val="22"/>
          <w:szCs w:val="22"/>
          <w14:textFill>
            <w14:solidFill>
              <w14:schemeClr w14:val="tx1"/>
            </w14:solidFill>
          </w14:textFill>
        </w:rPr>
      </w:pPr>
    </w:p>
    <w:p>
      <w:pPr>
        <w:widowControl/>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br w:type="page"/>
      </w:r>
    </w:p>
    <w:p>
      <w:pPr>
        <w:jc w:val="center"/>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b w:val="0"/>
          <w:bCs w:val="0"/>
          <w:sz w:val="24"/>
          <w:szCs w:val="24"/>
          <w:highlight w:val="none"/>
          <w:u w:val="none"/>
        </w:rPr>
        <w:t>视频、海报及专栏制作服务项目合同</w:t>
      </w:r>
    </w:p>
    <w:p>
      <w:pPr>
        <w:rPr>
          <w:rFonts w:hint="eastAsia" w:ascii="仿宋_GB2312" w:hAnsi="仿宋_GB2312" w:eastAsia="仿宋_GB2312" w:cs="仿宋_GB2312"/>
          <w:b/>
          <w:bCs/>
          <w:sz w:val="24"/>
          <w:szCs w:val="24"/>
          <w:highlight w:val="none"/>
        </w:rPr>
      </w:pP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甲方：</w:t>
      </w:r>
    </w:p>
    <w:p>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乙方：</w:t>
      </w:r>
      <w:r>
        <w:rPr>
          <w:rFonts w:hint="eastAsia" w:ascii="仿宋_GB2312" w:hAnsi="仿宋_GB2312" w:eastAsia="仿宋_GB2312" w:cs="仿宋_GB2312"/>
          <w:b/>
          <w:bCs/>
          <w:sz w:val="24"/>
          <w:szCs w:val="24"/>
          <w:highlight w:val="none"/>
          <w:lang w:val="en-US" w:eastAsia="zh-CN"/>
        </w:rPr>
        <w:t xml:space="preserve"> </w:t>
      </w:r>
    </w:p>
    <w:p>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联系方式：</w:t>
      </w: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 xml:space="preserve">      </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为了保障甲、乙双方的合法权益，依据《中华人民共和国民法典</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合同编</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》和有关法规的规定，本着平等互利诚实信用的原则，经双方友好协商，订立本合同，以兹双方共同遵守：</w:t>
      </w:r>
    </w:p>
    <w:p>
      <w:pPr>
        <w:numPr>
          <w:ilvl w:val="0"/>
          <w:numId w:val="65"/>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服务要求</w:t>
      </w:r>
    </w:p>
    <w:p>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详见《采购需求书》</w:t>
      </w: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w:t>
      </w:r>
      <w:r>
        <w:rPr>
          <w:rFonts w:hint="eastAsia" w:ascii="仿宋_GB2312" w:hAnsi="仿宋_GB2312" w:eastAsia="仿宋_GB2312" w:cs="仿宋_GB2312"/>
          <w:b/>
          <w:bCs/>
          <w:sz w:val="24"/>
          <w:szCs w:val="24"/>
          <w:highlight w:val="none"/>
          <w:lang w:val="en-US" w:eastAsia="zh-CN"/>
        </w:rPr>
        <w:t>合同金额及</w:t>
      </w:r>
      <w:r>
        <w:rPr>
          <w:rFonts w:hint="eastAsia" w:ascii="仿宋_GB2312" w:hAnsi="仿宋_GB2312" w:eastAsia="仿宋_GB2312" w:cs="仿宋_GB2312"/>
          <w:b/>
          <w:bCs/>
          <w:sz w:val="24"/>
          <w:szCs w:val="24"/>
          <w:highlight w:val="none"/>
        </w:rPr>
        <w:t>付款方式</w:t>
      </w:r>
    </w:p>
    <w:p>
      <w:pPr>
        <w:numPr>
          <w:ilvl w:val="0"/>
          <w:numId w:val="0"/>
        </w:numPr>
        <w:spacing w:line="240" w:lineRule="auto"/>
        <w:ind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1.合同金额（不含税）为人民币【 】元，大写：人民币【 】；合同增值税税率：【 】%，合同增值税税额：人民币【 】元，大写：人民币【 】；合同价税合计为人民币【 】元，大写：人民币【 】。若国家相关法律法规及政策对增值税税率有调整的，以本合同不含税价格为基准结合最新的税率执行。</w:t>
      </w:r>
    </w:p>
    <w:p>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本合同签订后，甲方在</w:t>
      </w:r>
      <w:r>
        <w:rPr>
          <w:rFonts w:hint="eastAsia" w:ascii="仿宋_GB2312" w:hAnsi="仿宋_GB2312" w:eastAsia="仿宋_GB2312" w:cs="仿宋_GB2312"/>
          <w:b w:val="0"/>
          <w:bCs w:val="0"/>
          <w:sz w:val="24"/>
          <w:szCs w:val="24"/>
          <w:highlight w:val="none"/>
        </w:rPr>
        <w:t>收到乙方提供等额增值税专用发票后的</w:t>
      </w:r>
      <w:r>
        <w:rPr>
          <w:rFonts w:hint="eastAsia" w:ascii="仿宋_GB2312" w:hAnsi="仿宋_GB2312" w:eastAsia="仿宋_GB2312" w:cs="仿宋_GB2312"/>
          <w:b w:val="0"/>
          <w:bCs w:val="0"/>
          <w:sz w:val="24"/>
          <w:szCs w:val="24"/>
          <w:highlight w:val="none"/>
          <w:lang w:val="en-US" w:eastAsia="zh-CN"/>
        </w:rPr>
        <w:t>30</w:t>
      </w:r>
      <w:r>
        <w:rPr>
          <w:rFonts w:hint="eastAsia" w:ascii="仿宋_GB2312" w:hAnsi="仿宋_GB2312" w:eastAsia="仿宋_GB2312" w:cs="仿宋_GB2312"/>
          <w:b w:val="0"/>
          <w:bCs w:val="0"/>
          <w:sz w:val="24"/>
          <w:szCs w:val="24"/>
          <w:highlight w:val="none"/>
        </w:rPr>
        <w:t>个工作日内</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向乙方支付</w:t>
      </w:r>
      <w:r>
        <w:rPr>
          <w:rFonts w:hint="eastAsia" w:ascii="仿宋_GB2312" w:hAnsi="仿宋_GB2312" w:eastAsia="仿宋_GB2312" w:cs="仿宋_GB2312"/>
          <w:b w:val="0"/>
          <w:bCs w:val="0"/>
          <w:sz w:val="24"/>
          <w:szCs w:val="24"/>
          <w:highlight w:val="none"/>
          <w:lang w:val="en-US" w:eastAsia="zh-CN"/>
        </w:rPr>
        <w:t>合同总额的50%即RMB：</w:t>
      </w:r>
      <w:r>
        <w:rPr>
          <w:rFonts w:hint="eastAsia" w:ascii="仿宋_GB2312" w:hAnsi="仿宋_GB2312" w:eastAsia="仿宋_GB2312" w:cs="仿宋_GB2312"/>
          <w:b w:val="0"/>
          <w:bCs w:val="0"/>
          <w:sz w:val="24"/>
          <w:szCs w:val="24"/>
          <w:highlight w:val="none"/>
          <w:u w:val="single"/>
        </w:rPr>
        <w:t xml:space="preserve">  </w:t>
      </w:r>
      <w:r>
        <w:rPr>
          <w:rFonts w:hint="eastAsia" w:ascii="仿宋_GB2312" w:hAnsi="仿宋_GB2312" w:eastAsia="仿宋_GB2312" w:cs="仿宋_GB2312"/>
          <w:b w:val="0"/>
          <w:bCs w:val="0"/>
          <w:sz w:val="24"/>
          <w:szCs w:val="24"/>
          <w:highlight w:val="none"/>
          <w:u w:val="single"/>
          <w:lang w:val="en-US" w:eastAsia="zh-CN"/>
        </w:rPr>
        <w:t xml:space="preserve">  元</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sz w:val="24"/>
          <w:szCs w:val="24"/>
          <w:highlight w:val="none"/>
          <w:lang w:val="en-US" w:eastAsia="zh-CN"/>
        </w:rPr>
        <w:t>大写：人民币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整）；</w:t>
      </w:r>
    </w:p>
    <w:p>
      <w:pPr>
        <w:numPr>
          <w:ilvl w:val="0"/>
          <w:numId w:val="0"/>
        </w:numPr>
        <w:spacing w:line="24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甲方对本合同第一条所列成果验收无误，并在</w:t>
      </w:r>
      <w:r>
        <w:rPr>
          <w:rFonts w:hint="eastAsia" w:ascii="仿宋_GB2312" w:hAnsi="仿宋_GB2312" w:eastAsia="仿宋_GB2312" w:cs="仿宋_GB2312"/>
          <w:sz w:val="24"/>
          <w:szCs w:val="24"/>
          <w:highlight w:val="none"/>
        </w:rPr>
        <w:t>收到乙方提供等额增值税专用发票后的</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个工作日内</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向乙方支付</w:t>
      </w:r>
      <w:r>
        <w:rPr>
          <w:rFonts w:hint="eastAsia" w:ascii="仿宋_GB2312" w:hAnsi="仿宋_GB2312" w:eastAsia="仿宋_GB2312" w:cs="仿宋_GB2312"/>
          <w:sz w:val="24"/>
          <w:szCs w:val="24"/>
          <w:highlight w:val="none"/>
          <w:lang w:val="en-US" w:eastAsia="zh-CN"/>
        </w:rPr>
        <w:t>合同总额的50%即RMB：</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元</w:t>
      </w:r>
      <w:r>
        <w:rPr>
          <w:rFonts w:hint="eastAsia" w:ascii="仿宋_GB2312" w:hAnsi="仿宋_GB2312" w:eastAsia="仿宋_GB2312" w:cs="仿宋_GB2312"/>
          <w:sz w:val="24"/>
          <w:szCs w:val="24"/>
          <w:highlight w:val="none"/>
          <w:lang w:val="en-US" w:eastAsia="zh-CN"/>
        </w:rPr>
        <w:t>（大写：人民币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整）；</w:t>
      </w:r>
    </w:p>
    <w:p>
      <w:pPr>
        <w:numPr>
          <w:ilvl w:val="0"/>
          <w:numId w:val="0"/>
        </w:numPr>
        <w:spacing w:line="240" w:lineRule="auto"/>
        <w:ind w:firstLine="480" w:firstLineChars="200"/>
        <w:rPr>
          <w:rFonts w:hint="eastAsia"/>
          <w:highlight w:val="none"/>
          <w:lang w:val="en-US" w:eastAsia="zh-CN"/>
        </w:rPr>
      </w:pPr>
      <w:r>
        <w:rPr>
          <w:rFonts w:hint="eastAsia" w:ascii="仿宋_GB2312" w:hAnsi="仿宋_GB2312" w:eastAsia="仿宋_GB2312" w:cs="仿宋_GB2312"/>
          <w:sz w:val="24"/>
          <w:szCs w:val="24"/>
          <w:highlight w:val="none"/>
          <w:lang w:val="en-US" w:eastAsia="zh-CN"/>
        </w:rPr>
        <w:t>与本合同相关的税费由乙方承担，本合同总价为含税价。</w:t>
      </w:r>
    </w:p>
    <w:p>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pPr>
        <w:numPr>
          <w:ilvl w:val="0"/>
          <w:numId w:val="0"/>
        </w:numPr>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3.付款方式：银行转账</w:t>
      </w:r>
    </w:p>
    <w:p>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p>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p>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银行</w:t>
      </w:r>
      <w:r>
        <w:rPr>
          <w:rFonts w:hint="eastAsia" w:ascii="仿宋_GB2312" w:hAnsi="仿宋_GB2312" w:eastAsia="仿宋_GB2312" w:cs="仿宋_GB2312"/>
          <w:sz w:val="24"/>
          <w:szCs w:val="24"/>
          <w:highlight w:val="none"/>
        </w:rPr>
        <w:t>账号：</w:t>
      </w:r>
    </w:p>
    <w:p>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乙方保证以上账号信息准确无误，若有变更乙方应至少提前5个工作日以书面方式通知甲方，否则由乙方自行承担所有后果及责任。</w:t>
      </w:r>
    </w:p>
    <w:p>
      <w:p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三、</w:t>
      </w:r>
      <w:r>
        <w:rPr>
          <w:rFonts w:hint="eastAsia" w:ascii="仿宋_GB2312" w:hAnsi="仿宋_GB2312" w:eastAsia="仿宋_GB2312" w:cs="仿宋_GB2312"/>
          <w:b/>
          <w:bCs/>
          <w:sz w:val="24"/>
          <w:szCs w:val="24"/>
          <w:highlight w:val="none"/>
          <w:lang w:val="en-US" w:eastAsia="zh-CN"/>
        </w:rPr>
        <w:t>时间要求</w:t>
      </w:r>
    </w:p>
    <w:p>
      <w:pPr>
        <w:ind w:firstLine="480" w:firstLineChars="2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w:t>
      </w:r>
      <w:r>
        <w:rPr>
          <w:rFonts w:hint="eastAsia" w:ascii="仿宋_GB2312" w:hAnsi="仿宋_GB2312" w:eastAsia="仿宋_GB2312" w:cs="仿宋_GB2312"/>
          <w:sz w:val="24"/>
          <w:szCs w:val="24"/>
          <w:highlight w:val="none"/>
          <w:lang w:eastAsia="zh-CN"/>
        </w:rPr>
        <w:t>须</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u w:val="single"/>
          <w:lang w:val="en-US" w:eastAsia="zh-CN"/>
        </w:rPr>
        <w:t>2024年12月31日</w:t>
      </w:r>
      <w:r>
        <w:rPr>
          <w:rFonts w:hint="eastAsia" w:ascii="仿宋_GB2312" w:hAnsi="仿宋_GB2312" w:eastAsia="仿宋_GB2312" w:cs="仿宋_GB2312"/>
          <w:sz w:val="24"/>
          <w:szCs w:val="24"/>
          <w:highlight w:val="none"/>
          <w:u w:val="none"/>
          <w:lang w:val="en-US" w:eastAsia="zh-CN"/>
        </w:rPr>
        <w:t>前向甲方交付最终成果；</w:t>
      </w:r>
    </w:p>
    <w:p>
      <w:pPr>
        <w:ind w:firstLine="480" w:firstLineChars="200"/>
        <w:rPr>
          <w:rFonts w:hint="eastAsia"/>
          <w:highlight w:val="none"/>
        </w:rPr>
      </w:pPr>
      <w:r>
        <w:rPr>
          <w:rFonts w:hint="eastAsia" w:ascii="仿宋_GB2312" w:hAnsi="仿宋_GB2312" w:eastAsia="仿宋_GB2312" w:cs="仿宋_GB2312"/>
          <w:sz w:val="24"/>
          <w:szCs w:val="24"/>
          <w:highlight w:val="none"/>
        </w:rPr>
        <w:t>2.乙方应严格按照甲方要求时间交付成果，对于有重大项目需求或突发需求，乙方应及时响应。</w:t>
      </w: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四、知识产权约定</w:t>
      </w:r>
    </w:p>
    <w:p>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乙方因履行本合同制作的任何工作成果，其全部知识产权归甲方所有</w:t>
      </w:r>
      <w:r>
        <w:rPr>
          <w:rFonts w:hint="eastAsia" w:ascii="仿宋_GB2312" w:hAnsi="仿宋_GB2312" w:eastAsia="仿宋_GB2312" w:cs="仿宋_GB2312"/>
          <w:sz w:val="24"/>
          <w:szCs w:val="24"/>
          <w:highlight w:val="none"/>
          <w:lang w:eastAsia="zh-CN"/>
        </w:rPr>
        <w:t>；</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2.乙方应保证本合同所提交的工作成果由乙方独立制作，不可交由第三方，否则由此产生的纠纷由乙方负责处理并承担责任；</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乙方履行本合同所提交的成果需真实合法，且不侵犯任何第三方合法权益，否则，乙方应负责处理相关纠纷，并承担最终责任。</w:t>
      </w:r>
    </w:p>
    <w:p>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五、</w:t>
      </w:r>
      <w:r>
        <w:rPr>
          <w:rFonts w:hint="eastAsia" w:ascii="仿宋_GB2312" w:hAnsi="仿宋_GB2312" w:eastAsia="仿宋_GB2312" w:cs="仿宋_GB2312"/>
          <w:b/>
          <w:bCs/>
          <w:sz w:val="24"/>
          <w:szCs w:val="24"/>
          <w:highlight w:val="none"/>
          <w:lang w:val="en-US" w:eastAsia="zh-CN"/>
        </w:rPr>
        <w:t>权利和义务</w:t>
      </w:r>
    </w:p>
    <w:p>
      <w:pPr>
        <w:ind w:firstLine="480" w:firstLineChars="200"/>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（一）甲方权利义务</w:t>
      </w:r>
    </w:p>
    <w:p>
      <w:pPr>
        <w:ind w:firstLine="480" w:firstLineChars="200"/>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lang w:val="en-US" w:eastAsia="zh-CN"/>
        </w:rPr>
        <w:t>.</w:t>
      </w:r>
      <w:r>
        <w:rPr>
          <w:rFonts w:hint="default" w:ascii="仿宋_GB2312" w:hAnsi="仿宋_GB2312" w:eastAsia="仿宋_GB2312" w:cs="仿宋_GB2312"/>
          <w:b w:val="0"/>
          <w:bCs w:val="0"/>
          <w:sz w:val="24"/>
          <w:szCs w:val="24"/>
          <w:highlight w:val="none"/>
          <w:lang w:val="en-US" w:eastAsia="zh-CN"/>
        </w:rPr>
        <w:t>甲方指定专人负责与乙方进行工作对接，负责向乙方传达项目要求</w:t>
      </w:r>
      <w:r>
        <w:rPr>
          <w:rFonts w:hint="eastAsia" w:ascii="仿宋_GB2312" w:hAnsi="仿宋_GB2312" w:eastAsia="仿宋_GB2312" w:cs="仿宋_GB2312"/>
          <w:b w:val="0"/>
          <w:bCs w:val="0"/>
          <w:sz w:val="24"/>
          <w:szCs w:val="24"/>
          <w:highlight w:val="none"/>
          <w:lang w:val="en-US" w:eastAsia="zh-CN"/>
        </w:rPr>
        <w:t>；</w:t>
      </w:r>
    </w:p>
    <w:p>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r>
        <w:rPr>
          <w:rFonts w:hint="default" w:ascii="仿宋_GB2312" w:hAnsi="仿宋_GB2312" w:eastAsia="仿宋_GB2312" w:cs="仿宋_GB2312"/>
          <w:b w:val="0"/>
          <w:bCs w:val="0"/>
          <w:sz w:val="24"/>
          <w:szCs w:val="24"/>
          <w:highlight w:val="none"/>
          <w:lang w:val="en-US" w:eastAsia="zh-CN"/>
        </w:rPr>
        <w:t>甲方对乙方提供</w:t>
      </w:r>
      <w:r>
        <w:rPr>
          <w:rFonts w:hint="eastAsia" w:ascii="仿宋_GB2312" w:hAnsi="仿宋_GB2312" w:eastAsia="仿宋_GB2312" w:cs="仿宋_GB2312"/>
          <w:b w:val="0"/>
          <w:bCs w:val="0"/>
          <w:sz w:val="24"/>
          <w:szCs w:val="24"/>
          <w:highlight w:val="none"/>
          <w:lang w:val="en-US" w:eastAsia="zh-CN"/>
        </w:rPr>
        <w:t>的成果</w:t>
      </w:r>
      <w:r>
        <w:rPr>
          <w:rFonts w:hint="default" w:ascii="仿宋_GB2312" w:hAnsi="仿宋_GB2312" w:eastAsia="仿宋_GB2312" w:cs="仿宋_GB2312"/>
          <w:b w:val="0"/>
          <w:bCs w:val="0"/>
          <w:sz w:val="24"/>
          <w:szCs w:val="24"/>
          <w:highlight w:val="none"/>
          <w:lang w:val="en-US" w:eastAsia="zh-CN"/>
        </w:rPr>
        <w:t>内容有最终审定权</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sz w:val="24"/>
          <w:szCs w:val="24"/>
          <w:highlight w:val="none"/>
        </w:rPr>
        <w:t>有权提出</w:t>
      </w:r>
      <w:r>
        <w:rPr>
          <w:rFonts w:hint="eastAsia" w:ascii="仿宋_GB2312" w:hAnsi="仿宋_GB2312" w:eastAsia="仿宋_GB2312" w:cs="仿宋_GB2312"/>
          <w:sz w:val="24"/>
          <w:szCs w:val="24"/>
          <w:highlight w:val="none"/>
          <w:lang w:val="en-US" w:eastAsia="zh-CN"/>
        </w:rPr>
        <w:t>合理的</w:t>
      </w:r>
      <w:r>
        <w:rPr>
          <w:rFonts w:hint="eastAsia" w:ascii="仿宋_GB2312" w:hAnsi="仿宋_GB2312" w:eastAsia="仿宋_GB2312" w:cs="仿宋_GB2312"/>
          <w:sz w:val="24"/>
          <w:szCs w:val="24"/>
          <w:highlight w:val="none"/>
        </w:rPr>
        <w:t>修改意见</w:t>
      </w:r>
      <w:r>
        <w:rPr>
          <w:rFonts w:hint="eastAsia" w:ascii="仿宋_GB2312" w:hAnsi="仿宋_GB2312" w:eastAsia="仿宋_GB2312" w:cs="仿宋_GB2312"/>
          <w:sz w:val="24"/>
          <w:szCs w:val="24"/>
          <w:highlight w:val="none"/>
          <w:lang w:eastAsia="zh-CN"/>
        </w:rPr>
        <w:t>，乙方应按甲方要求对成果进行修改，使成果符合甲方的预期要求；</w:t>
      </w:r>
    </w:p>
    <w:p>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r>
        <w:rPr>
          <w:rFonts w:hint="default" w:ascii="仿宋_GB2312" w:hAnsi="仿宋_GB2312" w:eastAsia="仿宋_GB2312" w:cs="仿宋_GB2312"/>
          <w:b w:val="0"/>
          <w:bCs w:val="0"/>
          <w:sz w:val="24"/>
          <w:szCs w:val="24"/>
          <w:highlight w:val="none"/>
          <w:lang w:val="en-US" w:eastAsia="zh-CN"/>
        </w:rPr>
        <w:t>甲方有权根据本合同约定，对乙方提供的各项服务内容进行审查、监督和验收</w:t>
      </w:r>
      <w:r>
        <w:rPr>
          <w:rFonts w:hint="eastAsia" w:ascii="仿宋_GB2312" w:hAnsi="仿宋_GB2312" w:eastAsia="仿宋_GB2312" w:cs="仿宋_GB2312"/>
          <w:b w:val="0"/>
          <w:bCs w:val="0"/>
          <w:sz w:val="24"/>
          <w:szCs w:val="24"/>
          <w:highlight w:val="none"/>
          <w:lang w:val="en-US" w:eastAsia="zh-CN"/>
        </w:rPr>
        <w:t>；</w:t>
      </w:r>
    </w:p>
    <w:p>
      <w:pPr>
        <w:ind w:firstLine="480"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（二）乙方</w:t>
      </w:r>
      <w:r>
        <w:rPr>
          <w:rFonts w:hint="eastAsia" w:ascii="仿宋_GB2312" w:hAnsi="仿宋_GB2312" w:eastAsia="仿宋_GB2312" w:cs="仿宋_GB2312"/>
          <w:b/>
          <w:bCs/>
          <w:sz w:val="24"/>
          <w:szCs w:val="24"/>
          <w:highlight w:val="none"/>
        </w:rPr>
        <w:t>的权利义务</w:t>
      </w:r>
    </w:p>
    <w:p>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乙方不得自行使用或许可他人使用</w:t>
      </w:r>
      <w:r>
        <w:rPr>
          <w:rFonts w:hint="eastAsia" w:ascii="仿宋_GB2312" w:hAnsi="仿宋_GB2312" w:eastAsia="仿宋_GB2312" w:cs="仿宋_GB2312"/>
          <w:sz w:val="24"/>
          <w:szCs w:val="24"/>
          <w:highlight w:val="none"/>
          <w:lang w:val="en-US" w:eastAsia="zh-CN"/>
        </w:rPr>
        <w:t>本合同涉及的内容，不得将成果再创作或用于其他商业用途</w:t>
      </w:r>
      <w:r>
        <w:rPr>
          <w:rFonts w:hint="eastAsia" w:ascii="仿宋_GB2312" w:hAnsi="仿宋_GB2312" w:eastAsia="仿宋_GB2312" w:cs="仿宋_GB2312"/>
          <w:sz w:val="24"/>
          <w:szCs w:val="24"/>
          <w:highlight w:val="none"/>
          <w:lang w:eastAsia="zh-CN"/>
        </w:rPr>
        <w:t>；</w:t>
      </w:r>
    </w:p>
    <w:p>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2.乙方有义务向甲方提供符合甲方要求的成果版本；</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3.乙方不得将本合同权利义务转委托第三方处理；</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4.乙方应及时与甲方沟通工作进展，就情况进展、存在问题等进行沟通交流，减少风险；</w:t>
      </w:r>
    </w:p>
    <w:p>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5.乙方不得在成果中擅自加入非甲方要求的内容；</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6.乙方应按照甲方需求定期召开例会；</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7.乙方需指定专人负责与甲方进行工作对接，保证服务质量；</w:t>
      </w:r>
    </w:p>
    <w:p>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8.乙方应协助甲方完成相关项目验收工作，包括收集、整理验收所需文档资料，检查验收所需文档资料是否齐全、内容是否完备。</w:t>
      </w:r>
    </w:p>
    <w:p>
      <w:pPr>
        <w:numPr>
          <w:ilvl w:val="0"/>
          <w:numId w:val="66"/>
        </w:num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项目验收</w:t>
      </w:r>
    </w:p>
    <w:p>
      <w:pPr>
        <w:numPr>
          <w:ilvl w:val="0"/>
          <w:numId w:val="0"/>
        </w:num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乙方完成合同所规定的全部工作</w:t>
      </w:r>
      <w:r>
        <w:rPr>
          <w:rFonts w:hint="eastAsia" w:ascii="仿宋_GB2312" w:hAnsi="仿宋_GB2312" w:eastAsia="仿宋_GB2312" w:cs="仿宋_GB2312"/>
          <w:sz w:val="24"/>
          <w:szCs w:val="24"/>
          <w:highlight w:val="none"/>
          <w:lang w:val="en-US" w:eastAsia="zh-CN"/>
        </w:rPr>
        <w:t>后向甲方提出验收申请，甲方应及时组织验收，若甲方提出合理建议，乙方应根据建议完成相应的完善工作后，再向甲方重新提出验收申请，乙方应无条件配合验收工作，提交验收材料；</w:t>
      </w:r>
    </w:p>
    <w:p>
      <w:pPr>
        <w:numPr>
          <w:ilvl w:val="0"/>
          <w:numId w:val="0"/>
        </w:num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2.验收材料属于本合同附件材料之一，与本合同具有同等法律效力。</w:t>
      </w:r>
    </w:p>
    <w:p>
      <w:pP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七</w:t>
      </w:r>
      <w:r>
        <w:rPr>
          <w:rFonts w:hint="eastAsia" w:ascii="仿宋_GB2312" w:hAnsi="仿宋_GB2312" w:eastAsia="仿宋_GB2312" w:cs="仿宋_GB2312"/>
          <w:b/>
          <w:bCs/>
          <w:sz w:val="24"/>
          <w:szCs w:val="24"/>
          <w:highlight w:val="none"/>
        </w:rPr>
        <w:t>、保密</w:t>
      </w:r>
      <w:r>
        <w:rPr>
          <w:rFonts w:hint="eastAsia" w:ascii="仿宋_GB2312" w:hAnsi="仿宋_GB2312" w:eastAsia="仿宋_GB2312" w:cs="仿宋_GB2312"/>
          <w:b/>
          <w:bCs/>
          <w:sz w:val="24"/>
          <w:szCs w:val="24"/>
          <w:highlight w:val="none"/>
          <w:lang w:val="en-US" w:eastAsia="zh-CN"/>
        </w:rPr>
        <w:t>信息</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1.乙方对于因签署或履行本协议而了解或接触到甲方的秘密、其他未公开资料和信息均应保守秘密；</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2.乙方不得向第三方泄露、给予或转让本协议条款、签订及履行情况。</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3.乙方不得擅自使用、复制甲方的商标、标志、商业信息、技术及其他资料，也不得将信息内容用作其他商业目的；</w:t>
      </w:r>
    </w:p>
    <w:p>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合同终止后本条款仍具法律效力</w:t>
      </w:r>
      <w:r>
        <w:rPr>
          <w:rFonts w:hint="eastAsia" w:ascii="仿宋_GB2312" w:hAnsi="仿宋_GB2312" w:eastAsia="仿宋_GB2312" w:cs="仿宋_GB2312"/>
          <w:sz w:val="24"/>
          <w:szCs w:val="24"/>
          <w:highlight w:val="none"/>
          <w:lang w:eastAsia="zh-CN"/>
        </w:rPr>
        <w:t>，直至相关信息不再具有保密意义。</w:t>
      </w:r>
    </w:p>
    <w:p>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八</w:t>
      </w:r>
      <w:r>
        <w:rPr>
          <w:rFonts w:hint="eastAsia" w:ascii="仿宋_GB2312" w:hAnsi="仿宋_GB2312" w:eastAsia="仿宋_GB2312" w:cs="仿宋_GB2312"/>
          <w:b/>
          <w:bCs/>
          <w:sz w:val="24"/>
          <w:szCs w:val="24"/>
          <w:highlight w:val="none"/>
        </w:rPr>
        <w:t>、违约责任</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若乙方不能按时完成</w:t>
      </w:r>
      <w:r>
        <w:rPr>
          <w:rFonts w:hint="eastAsia" w:ascii="仿宋_GB2312" w:hAnsi="仿宋_GB2312" w:eastAsia="仿宋_GB2312" w:cs="仿宋_GB2312"/>
          <w:sz w:val="24"/>
          <w:szCs w:val="24"/>
          <w:highlight w:val="none"/>
          <w:lang w:val="en-US" w:eastAsia="zh-CN"/>
        </w:rPr>
        <w:t>本合同第一条所列内容的</w:t>
      </w:r>
      <w:r>
        <w:rPr>
          <w:rFonts w:hint="eastAsia" w:ascii="仿宋_GB2312" w:hAnsi="仿宋_GB2312" w:eastAsia="仿宋_GB2312" w:cs="仿宋_GB2312"/>
          <w:sz w:val="24"/>
          <w:szCs w:val="24"/>
          <w:highlight w:val="none"/>
        </w:rPr>
        <w:t>，需每日按合同总金额的1%向甲方支付违约金，</w:t>
      </w:r>
      <w:r>
        <w:rPr>
          <w:rFonts w:hint="eastAsia" w:ascii="仿宋_GB2312" w:hAnsi="仿宋_GB2312" w:eastAsia="仿宋_GB2312" w:cs="仿宋_GB2312"/>
          <w:sz w:val="24"/>
          <w:szCs w:val="24"/>
          <w:highlight w:val="none"/>
          <w:lang w:val="en-US" w:eastAsia="zh-CN"/>
        </w:rPr>
        <w:t>逾期超过10日的，甲方有权解除合同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给甲方造成损失的，乙方还需赔偿损失，严重影响甲方利益或名誉的，甲方有权终止本合同，并有权要求乙方赔偿甲方一切损失；</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2.乙方提供的服务明显不符合本合同规定或甲方要求的，甲方有权拒收，乙方应按甲方要求整改，直至完成项目为止，给甲方造成损失的，乙方还需赔偿损失。</w:t>
      </w:r>
    </w:p>
    <w:p>
      <w:pPr>
        <w:numPr>
          <w:ilvl w:val="0"/>
          <w:numId w:val="0"/>
        </w:num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九、法律适用及争议解决</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1.若发生争议，双方应首先通过协商解决。协商不成可向甲方所在地人民法院提起诉讼，双方无争议的部分，应当继续履行；</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2.本合同的成立、生效、履行、解释及纠纷解决等双方均同意适用中华人民共和国法律；</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3.合理的律师费、诉讼费、鉴定费、财产保全费、证据保全费、差旅费等由败诉一方承担。</w:t>
      </w:r>
    </w:p>
    <w:p>
      <w:pPr>
        <w:numPr>
          <w:ilvl w:val="0"/>
          <w:numId w:val="0"/>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十、</w:t>
      </w:r>
      <w:r>
        <w:rPr>
          <w:rFonts w:hint="eastAsia" w:ascii="仿宋_GB2312" w:hAnsi="仿宋_GB2312" w:eastAsia="仿宋_GB2312" w:cs="仿宋_GB2312"/>
          <w:b/>
          <w:bCs/>
          <w:sz w:val="24"/>
          <w:szCs w:val="24"/>
          <w:highlight w:val="none"/>
        </w:rPr>
        <w:t>不可抗力</w:t>
      </w:r>
    </w:p>
    <w:p>
      <w:pPr>
        <w:ind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由于不可抗力原因不能履行合同时，</w:t>
      </w:r>
      <w:r>
        <w:rPr>
          <w:rFonts w:hint="eastAsia" w:ascii="仿宋_GB2312" w:hAnsi="仿宋_GB2312" w:eastAsia="仿宋_GB2312" w:cs="仿宋_GB2312"/>
          <w:b w:val="0"/>
          <w:bCs w:val="0"/>
          <w:sz w:val="24"/>
          <w:szCs w:val="24"/>
          <w:highlight w:val="none"/>
          <w:lang w:val="en-US" w:eastAsia="zh-CN"/>
        </w:rPr>
        <w:t>乙方</w:t>
      </w:r>
      <w:r>
        <w:rPr>
          <w:rFonts w:hint="eastAsia" w:ascii="仿宋_GB2312" w:hAnsi="仿宋_GB2312" w:eastAsia="仿宋_GB2312" w:cs="仿宋_GB2312"/>
          <w:b w:val="0"/>
          <w:bCs w:val="0"/>
          <w:sz w:val="24"/>
          <w:szCs w:val="24"/>
          <w:highlight w:val="none"/>
        </w:rPr>
        <w:t>应在不可抗力事件结束后1日内向</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通报，以减轻可能给</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造成的损失，在取得有关机构的不可抗力证明后，允许延期履行或修订合同，并根据情况可部分或全部免于承担违约责任。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十一、税费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在中国境内、外发生的与本合同执行有关的一切税费均由乙方负担。</w:t>
      </w:r>
    </w:p>
    <w:p>
      <w:pP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十二</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其他</w:t>
      </w:r>
    </w:p>
    <w:p>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本</w:t>
      </w:r>
      <w:r>
        <w:rPr>
          <w:rFonts w:hint="eastAsia" w:ascii="仿宋_GB2312" w:hAnsi="仿宋_GB2312" w:eastAsia="仿宋_GB2312" w:cs="仿宋_GB2312"/>
          <w:sz w:val="24"/>
          <w:szCs w:val="24"/>
          <w:highlight w:val="none"/>
          <w:lang w:val="en-US" w:eastAsia="zh-CN"/>
        </w:rPr>
        <w:t>合同</w:t>
      </w:r>
      <w:r>
        <w:rPr>
          <w:rFonts w:hint="eastAsia" w:ascii="仿宋_GB2312" w:hAnsi="仿宋_GB2312" w:eastAsia="仿宋_GB2312" w:cs="仿宋_GB2312"/>
          <w:sz w:val="24"/>
          <w:szCs w:val="24"/>
          <w:highlight w:val="none"/>
        </w:rPr>
        <w:t>一式</w:t>
      </w:r>
      <w:r>
        <w:rPr>
          <w:rFonts w:hint="eastAsia" w:ascii="仿宋_GB2312" w:hAnsi="仿宋_GB2312" w:eastAsia="仿宋_GB2312" w:cs="仿宋_GB2312"/>
          <w:sz w:val="24"/>
          <w:szCs w:val="24"/>
          <w:highlight w:val="none"/>
          <w:lang w:val="en-US" w:eastAsia="zh-CN"/>
        </w:rPr>
        <w:t>陆</w:t>
      </w:r>
      <w:r>
        <w:rPr>
          <w:rFonts w:hint="eastAsia" w:ascii="仿宋_GB2312" w:hAnsi="仿宋_GB2312" w:eastAsia="仿宋_GB2312" w:cs="仿宋_GB2312"/>
          <w:sz w:val="24"/>
          <w:szCs w:val="24"/>
          <w:highlight w:val="none"/>
        </w:rPr>
        <w:t>份，甲乙双方各</w:t>
      </w:r>
      <w:r>
        <w:rPr>
          <w:rFonts w:hint="eastAsia" w:ascii="仿宋_GB2312" w:hAnsi="仿宋_GB2312" w:eastAsia="仿宋_GB2312" w:cs="仿宋_GB2312"/>
          <w:sz w:val="24"/>
          <w:szCs w:val="24"/>
          <w:highlight w:val="none"/>
          <w:lang w:val="en-US" w:eastAsia="zh-CN"/>
        </w:rPr>
        <w:t>执叁</w:t>
      </w:r>
      <w:r>
        <w:rPr>
          <w:rFonts w:hint="eastAsia" w:ascii="仿宋_GB2312" w:hAnsi="仿宋_GB2312" w:eastAsia="仿宋_GB2312" w:cs="仿宋_GB2312"/>
          <w:sz w:val="24"/>
          <w:szCs w:val="24"/>
          <w:highlight w:val="none"/>
        </w:rPr>
        <w:t>份，具有同等法律效力</w:t>
      </w:r>
      <w:r>
        <w:rPr>
          <w:rFonts w:hint="eastAsia" w:ascii="仿宋_GB2312" w:hAnsi="仿宋_GB2312" w:eastAsia="仿宋_GB2312" w:cs="仿宋_GB2312"/>
          <w:sz w:val="24"/>
          <w:szCs w:val="24"/>
          <w:highlight w:val="none"/>
          <w:lang w:eastAsia="zh-CN"/>
        </w:rPr>
        <w:t>；其他未尽事宜，由甲乙双方协商确定并签订书面补充协议，作为本合同的补充，补充协议与本合同具有同等法律效力；</w:t>
      </w:r>
    </w:p>
    <w:p>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2.本合同签订地为广东省广州市越秀区；</w:t>
      </w:r>
    </w:p>
    <w:p>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3.除非另有说明，本合同中结算货币为人民币；</w:t>
      </w:r>
    </w:p>
    <w:p>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本合同自</w:t>
      </w:r>
      <w:r>
        <w:rPr>
          <w:rFonts w:hint="eastAsia" w:ascii="仿宋_GB2312" w:hAnsi="仿宋_GB2312" w:eastAsia="仿宋_GB2312" w:cs="仿宋_GB2312"/>
          <w:sz w:val="24"/>
          <w:szCs w:val="24"/>
          <w:highlight w:val="none"/>
          <w:lang w:val="en-US" w:eastAsia="zh-CN"/>
        </w:rPr>
        <w:t>法定代表人或授权代表</w:t>
      </w:r>
      <w:r>
        <w:rPr>
          <w:rFonts w:hint="eastAsia" w:ascii="仿宋_GB2312" w:hAnsi="仿宋_GB2312" w:eastAsia="仿宋_GB2312" w:cs="仿宋_GB2312"/>
          <w:sz w:val="24"/>
          <w:szCs w:val="24"/>
          <w:highlight w:val="none"/>
        </w:rPr>
        <w:t>签字盖章之日起生效。</w:t>
      </w:r>
    </w:p>
    <w:p>
      <w:pPr>
        <w:pStyle w:val="29"/>
        <w:spacing w:line="360" w:lineRule="auto"/>
        <w:ind w:firstLine="0" w:firstLineChars="0"/>
        <w:rPr>
          <w:rFonts w:ascii="宋体" w:hAnsi="宋体"/>
          <w:sz w:val="24"/>
          <w:szCs w:val="24"/>
          <w:highlight w:val="none"/>
        </w:rPr>
      </w:pPr>
      <w:r>
        <w:rPr>
          <w:rFonts w:hint="eastAsia" w:ascii="宋体" w:hAnsi="宋体"/>
          <w:sz w:val="24"/>
          <w:szCs w:val="24"/>
          <w:highlight w:val="none"/>
        </w:rPr>
        <w:t>――――――――――本页以下</w:t>
      </w:r>
      <w:r>
        <w:rPr>
          <w:rFonts w:hint="eastAsia" w:ascii="宋体" w:hAnsi="宋体"/>
          <w:sz w:val="24"/>
          <w:szCs w:val="24"/>
          <w:highlight w:val="none"/>
          <w:lang w:val="en-US" w:eastAsia="zh-CN"/>
        </w:rPr>
        <w:t>为盖章页</w:t>
      </w:r>
      <w:r>
        <w:rPr>
          <w:rFonts w:hint="eastAsia" w:ascii="宋体" w:hAnsi="宋体"/>
          <w:sz w:val="24"/>
          <w:szCs w:val="24"/>
          <w:highlight w:val="none"/>
        </w:rPr>
        <w:t>――――――――――</w:t>
      </w:r>
    </w:p>
    <w:p>
      <w:pPr>
        <w:spacing w:line="400" w:lineRule="exact"/>
        <w:rPr>
          <w:rFonts w:hint="eastAsia" w:ascii="仿宋_GB2312" w:hAnsi="仿宋_GB2312" w:eastAsia="仿宋_GB2312" w:cs="仿宋_GB2312"/>
          <w:sz w:val="24"/>
          <w:szCs w:val="24"/>
          <w:highlight w:val="none"/>
        </w:rPr>
      </w:pP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u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p>
    <w:p>
      <w:pPr>
        <w:spacing w:line="400" w:lineRule="exact"/>
        <w:rPr>
          <w:rFonts w:hint="eastAsia" w:ascii="仿宋_GB2312" w:hAnsi="仿宋_GB2312" w:eastAsia="仿宋_GB2312" w:cs="仿宋_GB2312"/>
          <w:sz w:val="24"/>
          <w:szCs w:val="24"/>
          <w:highlight w:val="none"/>
        </w:rPr>
      </w:pP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 xml:space="preserve">授权代表： </w:t>
      </w:r>
    </w:p>
    <w:p>
      <w:pPr>
        <w:spacing w:line="400" w:lineRule="exact"/>
        <w:rPr>
          <w:rFonts w:hint="eastAsia" w:ascii="仿宋_GB2312" w:hAnsi="仿宋_GB2312" w:eastAsia="仿宋_GB2312" w:cs="仿宋_GB2312"/>
          <w:sz w:val="24"/>
          <w:szCs w:val="24"/>
          <w:highlight w:val="none"/>
        </w:rPr>
      </w:pP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w:t>
      </w:r>
    </w:p>
    <w:p>
      <w:pPr>
        <w:spacing w:line="400" w:lineRule="exact"/>
        <w:rPr>
          <w:rFonts w:hint="eastAsia" w:ascii="仿宋_GB2312" w:hAnsi="仿宋_GB2312" w:eastAsia="仿宋_GB2312" w:cs="仿宋_GB2312"/>
          <w:sz w:val="24"/>
          <w:szCs w:val="24"/>
          <w:highlight w:val="none"/>
        </w:rPr>
      </w:pPr>
    </w:p>
    <w:p>
      <w:pPr>
        <w:spacing w:line="400" w:lineRule="exact"/>
        <w:rPr>
          <w:rFonts w:hint="eastAsia" w:ascii="仿宋_GB2312" w:hAnsi="仿宋_GB2312" w:eastAsia="仿宋_GB2312" w:cs="仿宋_GB2312"/>
          <w:sz w:val="24"/>
          <w:szCs w:val="24"/>
          <w:highlight w:val="none"/>
        </w:rPr>
      </w:pP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授权代表</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sz w:val="24"/>
          <w:szCs w:val="24"/>
          <w:highlight w:val="none"/>
        </w:rPr>
      </w:pPr>
    </w:p>
    <w:p>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rPr>
        <w:t xml:space="preserve">  </w:t>
      </w:r>
    </w:p>
    <w:p>
      <w:pPr>
        <w:rPr>
          <w:sz w:val="22"/>
          <w:szCs w:val="24"/>
        </w:rPr>
      </w:pPr>
      <w:r>
        <w:rPr>
          <w:sz w:val="22"/>
          <w:szCs w:val="24"/>
        </w:rPr>
        <w:br w:type="page"/>
      </w:r>
    </w:p>
    <w:p>
      <w:pPr>
        <w:pStyle w:val="91"/>
        <w:ind w:firstLine="560" w:firstLineChars="200"/>
        <w:rPr>
          <w:rFonts w:hint="default" w:ascii="黑体" w:hAnsi="黑体" w:eastAsia="黑体"/>
          <w:color w:val="000000" w:themeColor="text1"/>
          <w:kern w:val="0"/>
          <w:sz w:val="28"/>
          <w:szCs w:val="22"/>
          <w14:textFill>
            <w14:solidFill>
              <w14:schemeClr w14:val="tx1"/>
            </w14:solidFill>
          </w14:textFill>
        </w:rPr>
        <w:sectPr>
          <w:footerReference r:id="rId4" w:type="default"/>
          <w:pgSz w:w="11906" w:h="16838"/>
          <w:pgMar w:top="1020" w:right="1134" w:bottom="102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
        <w:keepNext w:val="0"/>
        <w:keepLines w:val="0"/>
        <w:pageBreakBefore/>
        <w:spacing w:line="360" w:lineRule="auto"/>
        <w:jc w:val="center"/>
        <w:rPr>
          <w:rFonts w:hint="eastAsia" w:ascii="黑体" w:hAnsi="黑体" w:eastAsia="黑体"/>
          <w:color w:val="000000" w:themeColor="text1"/>
          <w:spacing w:val="20"/>
          <w:sz w:val="36"/>
          <w:szCs w:val="36"/>
          <w14:textFill>
            <w14:solidFill>
              <w14:schemeClr w14:val="tx1"/>
            </w14:solidFill>
          </w14:textFill>
        </w:rPr>
      </w:pPr>
      <w:bookmarkStart w:id="122" w:name="_Toc30800"/>
      <w:bookmarkStart w:id="123" w:name="_Toc17392"/>
      <w:bookmarkStart w:id="124" w:name="_Toc25500"/>
      <w:r>
        <w:rPr>
          <w:rFonts w:hint="eastAsia" w:ascii="黑体" w:hAnsi="黑体" w:eastAsia="黑体"/>
          <w:color w:val="000000" w:themeColor="text1"/>
          <w:spacing w:val="20"/>
          <w:sz w:val="36"/>
          <w:szCs w:val="36"/>
          <w14:textFill>
            <w14:solidFill>
              <w14:schemeClr w14:val="tx1"/>
            </w14:solidFill>
          </w14:textFill>
        </w:rPr>
        <w:t>第七部分 投标文件格式</w:t>
      </w:r>
      <w:bookmarkEnd w:id="116"/>
      <w:bookmarkEnd w:id="117"/>
      <w:bookmarkEnd w:id="122"/>
      <w:bookmarkEnd w:id="123"/>
      <w:bookmarkEnd w:id="124"/>
    </w:p>
    <w:p>
      <w:pPr>
        <w:pStyle w:val="46"/>
        <w:spacing w:after="312" w:afterLines="100" w:line="360" w:lineRule="auto"/>
        <w:ind w:left="420" w:right="108" w:firstLine="0" w:firstLineChars="0"/>
        <w:jc w:val="right"/>
        <w:rPr>
          <w:rFonts w:ascii="黑体" w:hAnsi="黑体" w:eastAsia="黑体"/>
          <w:b/>
          <w:color w:val="000000" w:themeColor="text1"/>
          <w:sz w:val="40"/>
          <w:szCs w:val="40"/>
          <w14:textFill>
            <w14:solidFill>
              <w14:schemeClr w14:val="tx1"/>
            </w14:solidFill>
          </w14:textFill>
        </w:rPr>
      </w:pPr>
      <w:r>
        <w:rPr>
          <w:rFonts w:hint="eastAsia" w:ascii="黑体" w:hAnsi="黑体" w:eastAsia="黑体"/>
          <w:b/>
          <w:color w:val="000000" w:themeColor="text1"/>
          <w:sz w:val="40"/>
          <w:szCs w:val="40"/>
          <w14:textFill>
            <w14:solidFill>
              <w14:schemeClr w14:val="tx1"/>
            </w14:solidFill>
          </w14:textFill>
        </w:rPr>
        <w:t>正本</w:t>
      </w:r>
      <w:r>
        <w:rPr>
          <w:rFonts w:ascii="黑体" w:hAnsi="黑体" w:eastAsia="黑体"/>
          <w:b/>
          <w:color w:val="000000" w:themeColor="text1"/>
          <w:sz w:val="40"/>
          <w:szCs w:val="40"/>
          <w14:textFill>
            <w14:solidFill>
              <w14:schemeClr w14:val="tx1"/>
            </w14:solidFill>
          </w14:textFill>
        </w:rPr>
        <w:t>/副本</w:t>
      </w:r>
    </w:p>
    <w:p>
      <w:pPr>
        <w:spacing w:line="360" w:lineRule="auto"/>
        <w:jc w:val="center"/>
        <w:rPr>
          <w:rFonts w:hint="eastAsia" w:ascii="黑体" w:hAnsi="黑体" w:eastAsia="黑体"/>
          <w:bCs/>
          <w:color w:val="000000" w:themeColor="text1"/>
          <w:sz w:val="52"/>
          <w:szCs w:val="52"/>
          <w:lang w:eastAsia="zh-CN"/>
          <w14:textFill>
            <w14:solidFill>
              <w14:schemeClr w14:val="tx1"/>
            </w14:solidFill>
          </w14:textFill>
        </w:rPr>
      </w:pPr>
      <w:r>
        <w:rPr>
          <w:rFonts w:hint="eastAsia" w:ascii="黑体" w:hAnsi="黑体" w:eastAsia="黑体"/>
          <w:bCs/>
          <w:color w:val="000000" w:themeColor="text1"/>
          <w:sz w:val="52"/>
          <w:szCs w:val="52"/>
          <w:lang w:eastAsia="zh-CN"/>
          <w14:textFill>
            <w14:solidFill>
              <w14:schemeClr w14:val="tx1"/>
            </w14:solidFill>
          </w14:textFill>
        </w:rPr>
        <w:t>视频、海报及专栏制作服务项目</w:t>
      </w:r>
    </w:p>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（项目编号：</w:t>
      </w:r>
      <w:r>
        <w:rPr>
          <w:rFonts w:ascii="黑体" w:hAnsi="黑体" w:eastAsia="黑体"/>
          <w:b/>
          <w:color w:val="000000" w:themeColor="text1"/>
          <w:sz w:val="22"/>
          <w:szCs w:val="22"/>
          <w:u w:val="single"/>
          <w14:textFill>
            <w14:solidFill>
              <w14:schemeClr w14:val="tx1"/>
            </w14:solidFill>
          </w14:textFill>
        </w:rPr>
        <w:t xml:space="preserve">             </w:t>
      </w:r>
      <w:r>
        <w:rPr>
          <w:rFonts w:hint="eastAsia" w:ascii="黑体" w:hAnsi="黑体" w:eastAsia="黑体"/>
          <w:b/>
          <w:color w:val="000000" w:themeColor="text1"/>
          <w:sz w:val="22"/>
          <w:szCs w:val="22"/>
          <w14:textFill>
            <w14:solidFill>
              <w14:schemeClr w14:val="tx1"/>
            </w14:solidFill>
          </w14:textFill>
        </w:rPr>
        <w:t>）</w:t>
      </w:r>
    </w:p>
    <w:p>
      <w:pPr>
        <w:spacing w:before="1248" w:beforeLines="400" w:line="360" w:lineRule="auto"/>
        <w:jc w:val="center"/>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14:textFill>
            <w14:solidFill>
              <w14:schemeClr w14:val="tx1"/>
            </w14:solidFill>
          </w14:textFill>
        </w:rPr>
        <w:t>投标文件</w:t>
      </w:r>
    </w:p>
    <w:p>
      <w:pPr>
        <w:spacing w:after="1560" w:afterLines="500"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（封面格式仅供参考）</w:t>
      </w:r>
    </w:p>
    <w:tbl>
      <w:tblPr>
        <w:tblStyle w:val="36"/>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投标人名称：</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投标人地址：</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color w:val="000000" w:themeColor="text1"/>
                <w:spacing w:val="-1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投标联系人</w:t>
            </w:r>
            <w:r>
              <w:rPr>
                <w:rFonts w:hint="eastAsia" w:ascii="黑体" w:hAnsi="黑体" w:eastAsia="黑体"/>
                <w:color w:val="000000" w:themeColor="text1"/>
                <w:spacing w:val="-10"/>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4"/>
                <w:sz w:val="28"/>
                <w:szCs w:val="28"/>
                <w14:textFill>
                  <w14:solidFill>
                    <w14:schemeClr w14:val="tx1"/>
                  </w14:solidFill>
                </w14:textFill>
              </w:rPr>
              <w:t>联系电话</w:t>
            </w:r>
            <w:r>
              <w:rPr>
                <w:rFonts w:hint="eastAsia" w:ascii="黑体" w:hAnsi="黑体" w:eastAsia="黑体"/>
                <w:color w:val="000000" w:themeColor="text1"/>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bl>
    <w:p>
      <w:pPr>
        <w:spacing w:before="936" w:beforeLines="300" w:line="600" w:lineRule="exact"/>
        <w:jc w:val="center"/>
        <w:rPr>
          <w:rFonts w:ascii="黑体" w:hAnsi="黑体" w:eastAsia="黑体"/>
          <w:b/>
          <w:color w:val="000000" w:themeColor="text1"/>
          <w:spacing w:val="40"/>
          <w:sz w:val="28"/>
          <w:szCs w:val="28"/>
          <w14:textFill>
            <w14:solidFill>
              <w14:schemeClr w14:val="tx1"/>
            </w14:solidFill>
          </w14:textFill>
        </w:rPr>
      </w:pPr>
      <w:r>
        <w:rPr>
          <w:rFonts w:hint="eastAsia" w:ascii="黑体" w:hAnsi="黑体" w:eastAsia="黑体"/>
          <w:b/>
          <w:color w:val="000000" w:themeColor="text1"/>
          <w:spacing w:val="40"/>
          <w:sz w:val="28"/>
          <w:szCs w:val="28"/>
          <w14:textFill>
            <w14:solidFill>
              <w14:schemeClr w14:val="tx1"/>
            </w14:solidFill>
          </w14:textFill>
        </w:rPr>
        <w:t>日期：</w:t>
      </w:r>
      <w:r>
        <w:rPr>
          <w:rFonts w:hint="eastAsia" w:ascii="黑体" w:hAnsi="黑体" w:eastAsia="黑体"/>
          <w:b/>
          <w:color w:val="000000" w:themeColor="text1"/>
          <w:spacing w:val="20"/>
          <w:sz w:val="22"/>
          <w:szCs w:val="22"/>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年</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月</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日</w:t>
      </w:r>
    </w:p>
    <w:p>
      <w:pPr>
        <w:widowControl/>
        <w:jc w:val="left"/>
        <w:rPr>
          <w:rFonts w:ascii="黑体" w:hAnsi="黑体" w:eastAsia="黑体"/>
          <w:b/>
          <w:color w:val="000000" w:themeColor="text1"/>
          <w:spacing w:val="40"/>
          <w:sz w:val="28"/>
          <w:szCs w:val="28"/>
          <w14:textFill>
            <w14:solidFill>
              <w14:schemeClr w14:val="tx1"/>
            </w14:solidFill>
          </w14:textFill>
        </w:rPr>
      </w:pPr>
      <w:bookmarkStart w:id="125" w:name="_Toc405313958"/>
      <w:bookmarkStart w:id="126" w:name="_Toc391627754"/>
      <w:bookmarkStart w:id="127" w:name="_Hlk81205692"/>
      <w:r>
        <w:rPr>
          <w:rFonts w:ascii="黑体" w:hAnsi="黑体" w:eastAsia="黑体"/>
          <w:b/>
          <w:color w:val="000000" w:themeColor="text1"/>
          <w:spacing w:val="40"/>
          <w:sz w:val="28"/>
          <w:szCs w:val="28"/>
          <w14:textFill>
            <w14:solidFill>
              <w14:schemeClr w14:val="tx1"/>
            </w14:solidFill>
          </w14:textFill>
        </w:rPr>
        <w:br w:type="page"/>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28" w:name="_Toc21846"/>
      <w:bookmarkStart w:id="129" w:name="_Toc18745"/>
      <w:r>
        <w:rPr>
          <w:rStyle w:val="38"/>
          <w:rFonts w:hint="eastAsia" w:ascii="黑体" w:hAnsi="黑体" w:eastAsia="黑体"/>
          <w:b/>
          <w:bCs/>
          <w:color w:val="000000" w:themeColor="text1"/>
          <w:spacing w:val="12"/>
          <w:sz w:val="22"/>
          <w:szCs w:val="22"/>
          <w14:textFill>
            <w14:solidFill>
              <w14:schemeClr w14:val="tx1"/>
            </w14:solidFill>
          </w14:textFill>
        </w:rPr>
        <w:t>资格性自查索引表</w:t>
      </w:r>
      <w:bookmarkEnd w:id="128"/>
      <w:bookmarkEnd w:id="129"/>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资格性自查索引表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815" w:type="pct"/>
            <w:tcBorders>
              <w:bottom w:val="single" w:color="auto" w:sz="4" w:space="0"/>
              <w:tl2br w:val="nil"/>
            </w:tcBorders>
            <w:vAlign w:val="center"/>
          </w:tcPr>
          <w:p>
            <w:pPr>
              <w:spacing w:line="360" w:lineRule="auto"/>
              <w:ind w:left="211" w:hanging="221" w:hangingChars="100"/>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审查内容</w:t>
            </w: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自查</w:t>
            </w:r>
          </w:p>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结论</w:t>
            </w:r>
          </w:p>
        </w:tc>
        <w:tc>
          <w:tcPr>
            <w:tcW w:w="1030" w:type="pct"/>
            <w:vAlign w:val="center"/>
          </w:tcPr>
          <w:p>
            <w:pPr>
              <w:spacing w:line="360" w:lineRule="auto"/>
              <w:jc w:val="center"/>
              <w:rPr>
                <w:rFonts w:ascii="黑体" w:hAnsi="黑体" w:eastAsia="黑体"/>
                <w:b/>
                <w:bCs/>
                <w:color w:val="000000" w:themeColor="text1"/>
                <w:spacing w:val="-10"/>
                <w:sz w:val="22"/>
                <w:szCs w:val="22"/>
                <w14:textFill>
                  <w14:solidFill>
                    <w14:schemeClr w14:val="tx1"/>
                  </w14:solidFill>
                </w14:textFill>
              </w:rPr>
            </w:pPr>
            <w:r>
              <w:rPr>
                <w:rFonts w:ascii="黑体" w:hAnsi="黑体" w:eastAsia="黑体"/>
                <w:b/>
                <w:bCs/>
                <w:color w:val="000000" w:themeColor="text1"/>
                <w:spacing w:val="-10"/>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1</w:t>
            </w:r>
          </w:p>
        </w:tc>
        <w:tc>
          <w:tcPr>
            <w:tcW w:w="2815" w:type="pct"/>
            <w:tcBorders>
              <w:tl2br w:val="nil"/>
            </w:tcBorders>
            <w:vAlign w:val="center"/>
          </w:tcPr>
          <w:p>
            <w:pPr>
              <w:jc w:val="left"/>
              <w:rPr>
                <w:rFonts w:ascii="黑体" w:hAnsi="黑体" w:eastAsia="黑体"/>
                <w:color w:val="000000" w:themeColor="text1"/>
                <w:sz w:val="22"/>
                <w:szCs w:val="24"/>
                <w14:textFill>
                  <w14:solidFill>
                    <w14:schemeClr w14:val="tx1"/>
                  </w14:solidFill>
                </w14:textFill>
              </w:rPr>
            </w:pPr>
          </w:p>
        </w:tc>
        <w:tc>
          <w:tcPr>
            <w:tcW w:w="748"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2</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3</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4</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68"/>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自查结论处请填写：通过</w:t>
      </w:r>
      <w:r>
        <w:rPr>
          <w:rFonts w:ascii="黑体" w:hAnsi="黑体" w:eastAsia="黑体"/>
          <w:color w:val="000000" w:themeColor="text1"/>
          <w:sz w:val="22"/>
          <w:szCs w:val="24"/>
          <w14:textFill>
            <w14:solidFill>
              <w14:schemeClr w14:val="tx1"/>
            </w14:solidFill>
          </w14:textFill>
        </w:rPr>
        <w:t>/不通过；</w:t>
      </w:r>
    </w:p>
    <w:p>
      <w:pPr>
        <w:pStyle w:val="46"/>
        <w:numPr>
          <w:ilvl w:val="0"/>
          <w:numId w:val="68"/>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评标方法、步骤、标准之附表资格性审查表（</w:t>
      </w:r>
      <w:r>
        <w:rPr>
          <w:rFonts w:hint="eastAsia" w:ascii="黑体" w:hAnsi="黑体" w:eastAsia="黑体"/>
          <w:color w:val="000000" w:themeColor="text1"/>
          <w:kern w:val="0"/>
          <w:sz w:val="22"/>
          <w:szCs w:val="22"/>
          <w14:textFill>
            <w14:solidFill>
              <w14:schemeClr w14:val="tx1"/>
            </w14:solidFill>
          </w14:textFill>
        </w:rPr>
        <w:t>附表一）</w:t>
      </w:r>
      <w:r>
        <w:rPr>
          <w:rFonts w:hint="eastAsia" w:ascii="黑体" w:hAnsi="黑体" w:eastAsia="黑体"/>
          <w:color w:val="000000" w:themeColor="text1"/>
          <w:sz w:val="22"/>
          <w:szCs w:val="22"/>
          <w14:textFill>
            <w14:solidFill>
              <w14:schemeClr w14:val="tx1"/>
            </w14:solidFill>
          </w14:textFill>
        </w:rPr>
        <w:t>相对应条款填写</w:t>
      </w:r>
      <w:r>
        <w:rPr>
          <w:rFonts w:hint="eastAsia" w:ascii="黑体" w:hAnsi="黑体" w:eastAsia="黑体"/>
          <w:color w:val="000000" w:themeColor="text1"/>
          <w:sz w:val="22"/>
          <w:szCs w:val="24"/>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5958"/>
        <w:gridCol w:w="2570"/>
      </w:tblGrid>
      <w:tr>
        <w:tblPrEx>
          <w:tblCellMar>
            <w:top w:w="0" w:type="dxa"/>
            <w:left w:w="108" w:type="dxa"/>
            <w:bottom w:w="0" w:type="dxa"/>
            <w:right w:w="108" w:type="dxa"/>
          </w:tblCellMar>
        </w:tblPrEx>
        <w:tc>
          <w:tcPr>
            <w:tcW w:w="59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5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59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5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rPr>
          <w:rFonts w:ascii="黑体" w:hAnsi="黑体" w:eastAsia="黑体"/>
          <w:color w:val="000000" w:themeColor="text1"/>
          <w:sz w:val="22"/>
          <w:szCs w:val="24"/>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30" w:name="_Toc17301"/>
      <w:bookmarkStart w:id="131" w:name="_Toc16575"/>
      <w:r>
        <w:rPr>
          <w:rStyle w:val="38"/>
          <w:rFonts w:hint="eastAsia" w:ascii="黑体" w:hAnsi="黑体" w:eastAsia="黑体"/>
          <w:b/>
          <w:bCs/>
          <w:color w:val="000000" w:themeColor="text1"/>
          <w:spacing w:val="12"/>
          <w:sz w:val="22"/>
          <w:szCs w:val="22"/>
          <w14:textFill>
            <w14:solidFill>
              <w14:schemeClr w14:val="tx1"/>
            </w14:solidFill>
          </w14:textFill>
        </w:rPr>
        <w:t>符合性自查索引表</w:t>
      </w:r>
      <w:bookmarkEnd w:id="130"/>
      <w:bookmarkEnd w:id="131"/>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符合性自查索引表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815" w:type="pct"/>
            <w:tcBorders>
              <w:bottom w:val="single" w:color="auto" w:sz="4" w:space="0"/>
              <w:tl2br w:val="nil"/>
            </w:tcBorders>
            <w:vAlign w:val="center"/>
          </w:tcPr>
          <w:p>
            <w:pPr>
              <w:spacing w:line="360" w:lineRule="auto"/>
              <w:ind w:left="211" w:hanging="221" w:hangingChars="100"/>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审查内容</w:t>
            </w: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自查</w:t>
            </w:r>
          </w:p>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结论</w:t>
            </w:r>
          </w:p>
        </w:tc>
        <w:tc>
          <w:tcPr>
            <w:tcW w:w="1030" w:type="pct"/>
            <w:vAlign w:val="center"/>
          </w:tcPr>
          <w:p>
            <w:pPr>
              <w:spacing w:line="360" w:lineRule="auto"/>
              <w:jc w:val="center"/>
              <w:rPr>
                <w:rFonts w:ascii="黑体" w:hAnsi="黑体" w:eastAsia="黑体"/>
                <w:b/>
                <w:bCs/>
                <w:color w:val="000000" w:themeColor="text1"/>
                <w:spacing w:val="-10"/>
                <w:sz w:val="22"/>
                <w:szCs w:val="22"/>
                <w14:textFill>
                  <w14:solidFill>
                    <w14:schemeClr w14:val="tx1"/>
                  </w14:solidFill>
                </w14:textFill>
              </w:rPr>
            </w:pPr>
            <w:r>
              <w:rPr>
                <w:rFonts w:ascii="黑体" w:hAnsi="黑体" w:eastAsia="黑体"/>
                <w:b/>
                <w:bCs/>
                <w:color w:val="000000" w:themeColor="text1"/>
                <w:spacing w:val="-10"/>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1</w:t>
            </w:r>
          </w:p>
        </w:tc>
        <w:tc>
          <w:tcPr>
            <w:tcW w:w="2815" w:type="pct"/>
            <w:tcBorders>
              <w:tl2br w:val="nil"/>
            </w:tcBorders>
            <w:vAlign w:val="center"/>
          </w:tcPr>
          <w:p>
            <w:pPr>
              <w:jc w:val="left"/>
              <w:rPr>
                <w:rFonts w:ascii="黑体" w:hAnsi="黑体" w:eastAsia="黑体"/>
                <w:color w:val="000000" w:themeColor="text1"/>
                <w:sz w:val="22"/>
                <w:szCs w:val="24"/>
                <w14:textFill>
                  <w14:solidFill>
                    <w14:schemeClr w14:val="tx1"/>
                  </w14:solidFill>
                </w14:textFill>
              </w:rPr>
            </w:pPr>
          </w:p>
        </w:tc>
        <w:tc>
          <w:tcPr>
            <w:tcW w:w="748"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2</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3</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4</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5</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6</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7</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8</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9</w:t>
            </w:r>
          </w:p>
        </w:tc>
        <w:tc>
          <w:tcPr>
            <w:tcW w:w="2815" w:type="pct"/>
            <w:vAlign w:val="center"/>
          </w:tcPr>
          <w:p>
            <w:pPr>
              <w:spacing w:line="360" w:lineRule="auto"/>
              <w:jc w:val="left"/>
              <w:rPr>
                <w:rFonts w:ascii="黑体" w:hAnsi="黑体" w:eastAsia="黑体"/>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69"/>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自查结论处请填写：通过</w:t>
      </w:r>
      <w:r>
        <w:rPr>
          <w:rFonts w:ascii="黑体" w:hAnsi="黑体" w:eastAsia="黑体"/>
          <w:color w:val="000000" w:themeColor="text1"/>
          <w:sz w:val="22"/>
          <w:szCs w:val="24"/>
          <w14:textFill>
            <w14:solidFill>
              <w14:schemeClr w14:val="tx1"/>
            </w14:solidFill>
          </w14:textFill>
        </w:rPr>
        <w:t>/不通过</w:t>
      </w:r>
      <w:r>
        <w:rPr>
          <w:rFonts w:hint="eastAsia" w:ascii="黑体" w:hAnsi="黑体" w:eastAsia="黑体"/>
          <w:color w:val="000000" w:themeColor="text1"/>
          <w:sz w:val="22"/>
          <w:szCs w:val="24"/>
          <w14:textFill>
            <w14:solidFill>
              <w14:schemeClr w14:val="tx1"/>
            </w14:solidFill>
          </w14:textFill>
        </w:rPr>
        <w:t>；</w:t>
      </w:r>
    </w:p>
    <w:p>
      <w:pPr>
        <w:pStyle w:val="46"/>
        <w:numPr>
          <w:ilvl w:val="0"/>
          <w:numId w:val="69"/>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评标方法、步骤、标准之符合性审查表（</w:t>
      </w:r>
      <w:r>
        <w:rPr>
          <w:rFonts w:hint="eastAsia" w:ascii="黑体" w:hAnsi="黑体" w:eastAsia="黑体"/>
          <w:color w:val="000000" w:themeColor="text1"/>
          <w:kern w:val="0"/>
          <w:sz w:val="22"/>
          <w:szCs w:val="22"/>
          <w14:textFill>
            <w14:solidFill>
              <w14:schemeClr w14:val="tx1"/>
            </w14:solidFill>
          </w14:textFill>
        </w:rPr>
        <w:t>附表二）</w:t>
      </w:r>
      <w:r>
        <w:rPr>
          <w:rFonts w:hint="eastAsia" w:ascii="黑体" w:hAnsi="黑体" w:eastAsia="黑体"/>
          <w:color w:val="000000" w:themeColor="text1"/>
          <w:sz w:val="22"/>
          <w:szCs w:val="22"/>
          <w14:textFill>
            <w14:solidFill>
              <w14:schemeClr w14:val="tx1"/>
            </w14:solidFill>
          </w14:textFill>
        </w:rPr>
        <w:t>相对应条款填写</w:t>
      </w:r>
      <w:r>
        <w:rPr>
          <w:rFonts w:hint="eastAsia" w:ascii="黑体" w:hAnsi="黑体" w:eastAsia="黑体"/>
          <w:color w:val="000000" w:themeColor="text1"/>
          <w:sz w:val="22"/>
          <w:szCs w:val="24"/>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6627"/>
      </w:tblGrid>
      <w:tr>
        <w:tblPrEx>
          <w:tblCellMar>
            <w:top w:w="0" w:type="dxa"/>
            <w:left w:w="108" w:type="dxa"/>
            <w:bottom w:w="0" w:type="dxa"/>
            <w:right w:w="108" w:type="dxa"/>
          </w:tblCellMar>
        </w:tblPrEx>
        <w:tc>
          <w:tcPr>
            <w:tcW w:w="6627"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CellMar>
            <w:top w:w="0" w:type="dxa"/>
            <w:left w:w="108" w:type="dxa"/>
            <w:bottom w:w="0" w:type="dxa"/>
            <w:right w:w="108" w:type="dxa"/>
          </w:tblCellMar>
        </w:tblPrEx>
        <w:tc>
          <w:tcPr>
            <w:tcW w:w="6627"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32" w:name="_Toc15421"/>
      <w:bookmarkStart w:id="133" w:name="_Toc17539"/>
      <w:r>
        <w:rPr>
          <w:rStyle w:val="38"/>
          <w:rFonts w:hint="eastAsia" w:ascii="黑体" w:hAnsi="黑体" w:eastAsia="黑体"/>
          <w:b/>
          <w:bCs/>
          <w:color w:val="000000" w:themeColor="text1"/>
          <w:spacing w:val="12"/>
          <w:sz w:val="22"/>
          <w:szCs w:val="22"/>
          <w14:textFill>
            <w14:solidFill>
              <w14:schemeClr w14:val="tx1"/>
            </w14:solidFill>
          </w14:textFill>
        </w:rPr>
        <w:t>详细评审索引表</w:t>
      </w:r>
      <w:bookmarkEnd w:id="132"/>
      <w:bookmarkEnd w:id="133"/>
    </w:p>
    <w:p>
      <w:pPr>
        <w:spacing w:before="312" w:beforeLines="100" w:after="312" w:afterLines="100"/>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详细评审索引表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评分内容</w:t>
            </w: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评分标准</w:t>
            </w: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评分内容</w:t>
            </w: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评分标准</w:t>
            </w: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评标方法、步骤、标准之附表三详细评审表相对应条款填写。</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6627"/>
      </w:tblGrid>
      <w:tr>
        <w:tblPrEx>
          <w:tblCellMar>
            <w:top w:w="0" w:type="dxa"/>
            <w:left w:w="108" w:type="dxa"/>
            <w:bottom w:w="0" w:type="dxa"/>
            <w:right w:w="108" w:type="dxa"/>
          </w:tblCellMar>
        </w:tblPrEx>
        <w:tc>
          <w:tcPr>
            <w:tcW w:w="6627"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c>
          <w:tcPr>
            <w:tcW w:w="6627"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spacing w:line="360" w:lineRule="auto"/>
        <w:rPr>
          <w:rFonts w:hint="eastAsia"/>
        </w:rPr>
        <w:sectPr>
          <w:footerReference r:id="rId7" w:type="first"/>
          <w:headerReference r:id="rId5" w:type="default"/>
          <w:footerReference r:id="rId6" w:type="default"/>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34" w:name="_Toc23786"/>
      <w:bookmarkStart w:id="135" w:name="_Toc31493"/>
      <w:r>
        <w:rPr>
          <w:rStyle w:val="38"/>
          <w:rFonts w:hint="eastAsia" w:ascii="黑体" w:hAnsi="黑体" w:eastAsia="黑体"/>
          <w:b/>
          <w:bCs/>
          <w:color w:val="000000" w:themeColor="text1"/>
          <w:spacing w:val="12"/>
          <w:sz w:val="22"/>
          <w:szCs w:val="22"/>
          <w14:textFill>
            <w14:solidFill>
              <w14:schemeClr w14:val="tx1"/>
            </w14:solidFill>
          </w14:textFill>
        </w:rPr>
        <w:t>开标一览表</w:t>
      </w:r>
      <w:bookmarkEnd w:id="134"/>
      <w:bookmarkEnd w:id="135"/>
      <w:r>
        <w:rPr>
          <w:rStyle w:val="38"/>
          <w:rFonts w:hint="eastAsia" w:ascii="黑体" w:hAnsi="黑体" w:eastAsia="黑体"/>
          <w:b/>
          <w:bCs/>
          <w:color w:val="000000" w:themeColor="text1"/>
          <w:spacing w:val="12"/>
          <w:sz w:val="22"/>
          <w:szCs w:val="22"/>
          <w:lang w:eastAsia="zh-CN"/>
          <w14:textFill>
            <w14:solidFill>
              <w14:schemeClr w14:val="tx1"/>
            </w14:solidFill>
          </w14:textFill>
        </w:rPr>
        <w:t>（</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适用于本项目</w:t>
      </w:r>
      <w:r>
        <w:rPr>
          <w:rStyle w:val="38"/>
          <w:rFonts w:hint="eastAsia" w:ascii="黑体" w:hAnsi="黑体" w:eastAsia="黑体"/>
          <w:b/>
          <w:bCs/>
          <w:color w:val="000000" w:themeColor="text1"/>
          <w:spacing w:val="12"/>
          <w:sz w:val="22"/>
          <w:szCs w:val="22"/>
          <w:lang w:eastAsia="zh-CN"/>
          <w14:textFill>
            <w14:solidFill>
              <w14:schemeClr w14:val="tx1"/>
            </w14:solidFill>
          </w14:textFill>
        </w:rPr>
        <w:t>）</w:t>
      </w:r>
    </w:p>
    <w:p>
      <w:pPr>
        <w:spacing w:before="624" w:beforeLines="200" w:after="312" w:afterLines="100" w:line="360" w:lineRule="auto"/>
        <w:jc w:val="center"/>
        <w:rPr>
          <w:rFonts w:hint="eastAsia"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开标一览表</w:t>
      </w:r>
    </w:p>
    <w:tbl>
      <w:tblPr>
        <w:tblStyle w:val="35"/>
        <w:tblW w:w="483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2"/>
        <w:gridCol w:w="2333"/>
        <w:gridCol w:w="1383"/>
        <w:gridCol w:w="2069"/>
        <w:gridCol w:w="2451"/>
        <w:gridCol w:w="4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4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序号</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采购标的</w:t>
            </w:r>
          </w:p>
        </w:tc>
        <w:tc>
          <w:tcPr>
            <w:tcW w:w="4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数量</w:t>
            </w:r>
            <w:r>
              <w:rPr>
                <w:rFonts w:hint="eastAsia" w:ascii="黑体" w:hAnsi="黑体" w:eastAsia="黑体" w:cs="黑体"/>
                <w:b/>
                <w:bCs/>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单位</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rPr>
            </w:pPr>
            <w:r>
              <w:rPr>
                <w:rFonts w:hint="eastAsia" w:ascii="黑体" w:hAnsi="黑体" w:eastAsia="黑体" w:cs="黑体"/>
                <w:b/>
                <w:bCs/>
                <w:sz w:val="22"/>
                <w:szCs w:val="22"/>
                <w:lang w:val="en-US" w:eastAsia="zh-CN"/>
              </w:rPr>
              <w:t>服务地点</w:t>
            </w:r>
          </w:p>
        </w:tc>
        <w:tc>
          <w:tcPr>
            <w:tcW w:w="8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服务时间</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投标报价（元）含税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7" w:hRule="atLeast"/>
        </w:trPr>
        <w:tc>
          <w:tcPr>
            <w:tcW w:w="4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1</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lang w:eastAsia="zh-CN"/>
                <w14:textFill>
                  <w14:solidFill>
                    <w14:schemeClr w14:val="tx1"/>
                  </w14:solidFill>
                </w14:textFill>
              </w:rPr>
              <w:t>视频、海报及专栏制作服务</w:t>
            </w:r>
          </w:p>
        </w:tc>
        <w:tc>
          <w:tcPr>
            <w:tcW w:w="4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1</w:t>
            </w:r>
            <w:r>
              <w:rPr>
                <w:rFonts w:hint="eastAsia" w:ascii="黑体" w:hAnsi="黑体" w:eastAsia="黑体" w:cs="黑体"/>
                <w:sz w:val="22"/>
                <w:szCs w:val="22"/>
                <w:lang w:val="en-US" w:eastAsia="zh-CN"/>
              </w:rPr>
              <w:t>/</w:t>
            </w:r>
            <w:r>
              <w:rPr>
                <w:rFonts w:hint="eastAsia" w:ascii="黑体" w:hAnsi="黑体" w:eastAsia="黑体" w:cs="黑体"/>
                <w:sz w:val="22"/>
                <w:szCs w:val="22"/>
              </w:rPr>
              <w:t>项</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2"/>
                <w:szCs w:val="22"/>
                <w:lang w:val="en-US" w:eastAsia="zh-CN"/>
              </w:rPr>
            </w:pPr>
            <w:r>
              <w:rPr>
                <w:rFonts w:hint="eastAsia" w:ascii="黑体" w:hAnsi="黑体" w:eastAsia="黑体" w:cs="黑体"/>
                <w:sz w:val="22"/>
                <w:szCs w:val="22"/>
                <w:lang w:val="en-US" w:eastAsia="zh-CN"/>
              </w:rPr>
              <w:t xml:space="preserve">采购人指定地点   </w:t>
            </w:r>
          </w:p>
        </w:tc>
        <w:tc>
          <w:tcPr>
            <w:tcW w:w="8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2024年12月31日前完成（以具体合同约定时间为准）</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2"/>
                <w:szCs w:val="22"/>
                <w:u w:val="single"/>
                <w:lang w:val="en-US" w:eastAsia="zh-CN"/>
              </w:rPr>
            </w:pPr>
            <w:r>
              <w:rPr>
                <w:rFonts w:hint="eastAsia" w:ascii="黑体" w:hAnsi="黑体" w:eastAsia="黑体" w:cs="黑体"/>
                <w:sz w:val="22"/>
                <w:szCs w:val="22"/>
                <w:lang w:val="en-US" w:eastAsia="zh-CN"/>
              </w:rPr>
              <w:t>大写：</w:t>
            </w:r>
            <w:r>
              <w:rPr>
                <w:rFonts w:hint="eastAsia" w:ascii="黑体" w:hAnsi="黑体" w:eastAsia="黑体" w:cs="黑体"/>
                <w:sz w:val="22"/>
                <w:szCs w:val="22"/>
                <w:u w:val="single"/>
                <w:lang w:val="en-US" w:eastAsia="zh-CN"/>
              </w:rPr>
              <w:t xml:space="preserve">                  </w:t>
            </w:r>
          </w:p>
          <w:p>
            <w:pPr>
              <w:pStyle w:val="34"/>
              <w:spacing w:line="360" w:lineRule="auto"/>
              <w:ind w:left="0" w:leftChars="0" w:firstLine="0" w:firstLineChars="0"/>
              <w:jc w:val="left"/>
              <w:rPr>
                <w:rFonts w:hint="default"/>
                <w:lang w:val="en-US" w:eastAsia="zh-CN"/>
              </w:rPr>
            </w:pPr>
            <w:r>
              <w:rPr>
                <w:rFonts w:hint="eastAsia" w:ascii="黑体" w:hAnsi="黑体" w:eastAsia="黑体" w:cs="黑体"/>
                <w:sz w:val="22"/>
                <w:szCs w:val="22"/>
                <w:lang w:val="en-US" w:eastAsia="zh-CN"/>
              </w:rPr>
              <w:t>小写：</w:t>
            </w:r>
            <w:r>
              <w:rPr>
                <w:rFonts w:hint="eastAsia" w:ascii="黑体" w:hAnsi="黑体" w:eastAsia="黑体" w:cs="黑体"/>
                <w:sz w:val="22"/>
                <w:szCs w:val="22"/>
                <w:u w:val="single"/>
                <w:lang w:val="en-US" w:eastAsia="zh-CN"/>
              </w:rPr>
              <w:t xml:space="preserve">¥：                </w:t>
            </w:r>
          </w:p>
        </w:tc>
      </w:tr>
    </w:tbl>
    <w:p>
      <w:pPr>
        <w:spacing w:before="312" w:beforeLines="100" w:line="24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p>
    <w:p>
      <w:pPr>
        <w:pStyle w:val="46"/>
        <w:numPr>
          <w:ilvl w:val="0"/>
          <w:numId w:val="70"/>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投标总价栏须用文字和数字两种方式表示的投标</w:t>
      </w:r>
      <w:r>
        <w:rPr>
          <w:rFonts w:hint="eastAsia" w:ascii="黑体" w:hAnsi="黑体" w:eastAsia="黑体"/>
          <w:color w:val="000000" w:themeColor="text1"/>
          <w:sz w:val="22"/>
          <w:szCs w:val="22"/>
          <w:lang w:val="en-US" w:eastAsia="zh-CN"/>
          <w14:textFill>
            <w14:solidFill>
              <w14:schemeClr w14:val="tx1"/>
            </w14:solidFill>
          </w14:textFill>
        </w:rPr>
        <w:t>报价</w:t>
      </w:r>
      <w:r>
        <w:rPr>
          <w:rFonts w:hint="eastAsia" w:ascii="黑体" w:hAnsi="黑体" w:eastAsia="黑体"/>
          <w:color w:val="000000" w:themeColor="text1"/>
          <w:sz w:val="22"/>
          <w:szCs w:val="22"/>
          <w14:textFill>
            <w14:solidFill>
              <w14:schemeClr w14:val="tx1"/>
            </w14:solidFill>
          </w14:textFill>
        </w:rPr>
        <w:t>。投标</w:t>
      </w:r>
      <w:r>
        <w:rPr>
          <w:rFonts w:hint="eastAsia" w:ascii="黑体" w:hAnsi="黑体" w:eastAsia="黑体"/>
          <w:color w:val="000000" w:themeColor="text1"/>
          <w:sz w:val="22"/>
          <w:szCs w:val="22"/>
          <w:lang w:val="en-US" w:eastAsia="zh-CN"/>
          <w14:textFill>
            <w14:solidFill>
              <w14:schemeClr w14:val="tx1"/>
            </w14:solidFill>
          </w14:textFill>
        </w:rPr>
        <w:t>报价</w:t>
      </w:r>
      <w:r>
        <w:rPr>
          <w:rFonts w:hint="eastAsia" w:ascii="黑体" w:hAnsi="黑体" w:eastAsia="黑体"/>
          <w:color w:val="000000" w:themeColor="text1"/>
          <w:sz w:val="22"/>
          <w:szCs w:val="22"/>
          <w14:textFill>
            <w14:solidFill>
              <w14:schemeClr w14:val="tx1"/>
            </w14:solidFill>
          </w14:textFill>
        </w:rPr>
        <w:t>为固定报价</w:t>
      </w:r>
      <w:r>
        <w:rPr>
          <w:rFonts w:hint="eastAsia" w:ascii="黑体" w:hAnsi="黑体" w:eastAsia="黑体"/>
          <w:color w:val="000000" w:themeColor="text1"/>
          <w:sz w:val="22"/>
          <w:szCs w:val="22"/>
          <w:lang w:eastAsia="zh-CN"/>
          <w14:textFill>
            <w14:solidFill>
              <w14:schemeClr w14:val="tx1"/>
            </w14:solidFill>
          </w14:textFill>
        </w:rPr>
        <w:t>（</w:t>
      </w:r>
      <w:r>
        <w:rPr>
          <w:rFonts w:hint="eastAsia" w:ascii="黑体" w:hAnsi="黑体" w:eastAsia="黑体"/>
          <w:color w:val="000000" w:themeColor="text1"/>
          <w:sz w:val="22"/>
          <w:szCs w:val="22"/>
          <w:lang w:val="en-US" w:eastAsia="zh-CN"/>
          <w14:textFill>
            <w14:solidFill>
              <w14:schemeClr w14:val="tx1"/>
            </w14:solidFill>
          </w14:textFill>
        </w:rPr>
        <w:t>含税</w:t>
      </w:r>
      <w:r>
        <w:rPr>
          <w:rFonts w:hint="eastAsia" w:ascii="黑体" w:hAnsi="黑体" w:eastAsia="黑体"/>
          <w:color w:val="000000" w:themeColor="text1"/>
          <w:sz w:val="22"/>
          <w:szCs w:val="22"/>
          <w:lang w:eastAsia="zh-CN"/>
          <w14:textFill>
            <w14:solidFill>
              <w14:schemeClr w14:val="tx1"/>
            </w14:solidFill>
          </w14:textFill>
        </w:rPr>
        <w:t>）</w:t>
      </w:r>
      <w:r>
        <w:rPr>
          <w:rFonts w:hint="eastAsia" w:ascii="黑体" w:hAnsi="黑体" w:eastAsia="黑体"/>
          <w:color w:val="000000" w:themeColor="text1"/>
          <w:sz w:val="22"/>
          <w:szCs w:val="22"/>
          <w14:textFill>
            <w14:solidFill>
              <w14:schemeClr w14:val="tx1"/>
            </w14:solidFill>
          </w14:textFill>
        </w:rPr>
        <w:t>，不接受区间报价。</w:t>
      </w:r>
    </w:p>
    <w:p>
      <w:pPr>
        <w:pStyle w:val="46"/>
        <w:numPr>
          <w:ilvl w:val="0"/>
          <w:numId w:val="70"/>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投标报价货币：人民币；金额单位：元。</w:t>
      </w:r>
    </w:p>
    <w:p>
      <w:pPr>
        <w:pStyle w:val="46"/>
        <w:numPr>
          <w:ilvl w:val="0"/>
          <w:numId w:val="70"/>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开标一览表内容与投标文件中相应内容不一致的，以开标一览表为准。</w:t>
      </w:r>
    </w:p>
    <w:p>
      <w:pPr>
        <w:pStyle w:val="46"/>
        <w:numPr>
          <w:ilvl w:val="0"/>
          <w:numId w:val="70"/>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大写金额和小写金额不一致的，以大写金额为准。</w:t>
      </w:r>
    </w:p>
    <w:p>
      <w:pPr>
        <w:pStyle w:val="46"/>
        <w:numPr>
          <w:ilvl w:val="0"/>
          <w:numId w:val="70"/>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投标人需对本</w:t>
      </w:r>
      <w:r>
        <w:rPr>
          <w:rFonts w:hint="eastAsia" w:ascii="黑体" w:hAnsi="黑体" w:eastAsia="黑体"/>
          <w:color w:val="000000" w:themeColor="text1"/>
          <w:sz w:val="22"/>
          <w:szCs w:val="22"/>
          <w:lang w:val="en-US" w:eastAsia="zh-CN"/>
          <w14:textFill>
            <w14:solidFill>
              <w14:schemeClr w14:val="tx1"/>
            </w14:solidFill>
          </w14:textFill>
        </w:rPr>
        <w:t>采购项目</w:t>
      </w:r>
      <w:r>
        <w:rPr>
          <w:rFonts w:hint="eastAsia" w:ascii="黑体" w:hAnsi="黑体" w:eastAsia="黑体"/>
          <w:color w:val="000000" w:themeColor="text1"/>
          <w:sz w:val="22"/>
          <w:szCs w:val="22"/>
          <w14:textFill>
            <w14:solidFill>
              <w14:schemeClr w14:val="tx1"/>
            </w14:solidFill>
          </w14:textFill>
        </w:rPr>
        <w:t>位的</w:t>
      </w:r>
      <w:r>
        <w:rPr>
          <w:rFonts w:hint="eastAsia" w:ascii="黑体" w:hAnsi="黑体" w:eastAsia="黑体"/>
          <w:color w:val="000000" w:themeColor="text1"/>
          <w:sz w:val="22"/>
          <w:szCs w:val="22"/>
          <w:lang w:val="en-US" w:eastAsia="zh-CN"/>
          <w14:textFill>
            <w14:solidFill>
              <w14:schemeClr w14:val="tx1"/>
            </w14:solidFill>
          </w14:textFill>
        </w:rPr>
        <w:t>服务</w:t>
      </w:r>
      <w:r>
        <w:rPr>
          <w:rFonts w:hint="eastAsia" w:ascii="黑体" w:hAnsi="黑体" w:eastAsia="黑体"/>
          <w:color w:val="000000" w:themeColor="text1"/>
          <w:sz w:val="22"/>
          <w:szCs w:val="22"/>
          <w14:textFill>
            <w14:solidFill>
              <w14:schemeClr w14:val="tx1"/>
            </w14:solidFill>
          </w14:textFill>
        </w:rPr>
        <w:t>进行整体投标，</w:t>
      </w:r>
      <w:r>
        <w:rPr>
          <w:rFonts w:hint="eastAsia" w:ascii="黑体" w:hAnsi="黑体" w:eastAsia="黑体"/>
          <w:b/>
          <w:bCs/>
          <w:color w:val="FF0000"/>
          <w:sz w:val="22"/>
          <w:szCs w:val="22"/>
        </w:rPr>
        <w:t>任何只对其中一部分内容进行的投标都被视为无效投标</w:t>
      </w:r>
      <w:r>
        <w:rPr>
          <w:rFonts w:hint="eastAsia" w:ascii="黑体" w:hAnsi="黑体" w:eastAsia="黑体"/>
          <w:b/>
          <w:bCs/>
          <w:color w:val="FF0000"/>
          <w:sz w:val="22"/>
          <w:szCs w:val="22"/>
          <w:lang w:eastAsia="zh-CN"/>
        </w:rPr>
        <w:t>。</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overflowPunct w:val="0"/>
              <w:adjustRightInd w:val="0"/>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投标人法定代表人或被授权人（签名或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hint="eastAsia" w:ascii="宋体" w:hAnsi="宋体"/>
          <w:color w:val="000000" w:themeColor="text1"/>
          <w:sz w:val="22"/>
          <w:szCs w:val="22"/>
          <w14:textFill>
            <w14:solidFill>
              <w14:schemeClr w14:val="tx1"/>
            </w14:solidFill>
          </w14:textFill>
        </w:rPr>
        <w:sectPr>
          <w:pgSz w:w="16838" w:h="11906" w:orient="landscape"/>
          <w:pgMar w:top="1797" w:right="1521" w:bottom="1558" w:left="993"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p>
    <w:bookmarkEnd w:id="125"/>
    <w:bookmarkEnd w:id="126"/>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36" w:name="_Toc1934"/>
      <w:bookmarkStart w:id="137" w:name="_Toc25749"/>
      <w:r>
        <w:rPr>
          <w:rStyle w:val="38"/>
          <w:rFonts w:hint="eastAsia" w:ascii="黑体" w:hAnsi="黑体" w:eastAsia="黑体"/>
          <w:b/>
          <w:bCs/>
          <w:color w:val="000000" w:themeColor="text1"/>
          <w:spacing w:val="12"/>
          <w:sz w:val="22"/>
          <w:szCs w:val="22"/>
          <w:lang w:eastAsia="zh-CN"/>
          <w14:textFill>
            <w14:solidFill>
              <w14:schemeClr w14:val="tx1"/>
            </w14:solidFill>
          </w14:textFill>
        </w:rPr>
        <w:t>分项报价表</w:t>
      </w:r>
      <w:bookmarkEnd w:id="136"/>
      <w:bookmarkEnd w:id="137"/>
      <w:r>
        <w:rPr>
          <w:rStyle w:val="38"/>
          <w:rFonts w:hint="eastAsia" w:ascii="黑体" w:hAnsi="黑体" w:eastAsia="黑体"/>
          <w:b/>
          <w:bCs/>
          <w:color w:val="000000" w:themeColor="text1"/>
          <w:spacing w:val="12"/>
          <w:sz w:val="22"/>
          <w:szCs w:val="22"/>
          <w:lang w:eastAsia="zh-CN"/>
          <w14:textFill>
            <w14:solidFill>
              <w14:schemeClr w14:val="tx1"/>
            </w14:solidFill>
          </w14:textFill>
        </w:rPr>
        <w:t>（</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适用于本项目</w:t>
      </w:r>
      <w:r>
        <w:rPr>
          <w:rStyle w:val="38"/>
          <w:rFonts w:hint="eastAsia" w:ascii="黑体" w:hAnsi="黑体" w:eastAsia="黑体"/>
          <w:b/>
          <w:bCs/>
          <w:color w:val="000000" w:themeColor="text1"/>
          <w:spacing w:val="12"/>
          <w:sz w:val="22"/>
          <w:szCs w:val="22"/>
          <w:lang w:eastAsia="zh-CN"/>
          <w14:textFill>
            <w14:solidFill>
              <w14:schemeClr w14:val="tx1"/>
            </w14:solidFill>
          </w14:textFill>
        </w:rPr>
        <w:t>）</w:t>
      </w:r>
    </w:p>
    <w:p>
      <w:pPr>
        <w:pStyle w:val="18"/>
        <w:spacing w:line="360" w:lineRule="auto"/>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 xml:space="preserve">项目名称：                  </w:t>
      </w:r>
    </w:p>
    <w:p>
      <w:pPr>
        <w:pStyle w:val="18"/>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项目编号：</w:t>
      </w:r>
    </w:p>
    <w:tbl>
      <w:tblPr>
        <w:tblStyle w:val="35"/>
        <w:tblW w:w="44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品目号</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序号</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服务名称</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服务范围</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服务要求</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服务期限</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服务标准</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单价</w:t>
            </w:r>
          </w:p>
        </w:tc>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c>
          <w:tcPr>
            <w:tcW w:w="555" w:type="pct"/>
          </w:tcPr>
          <w:p>
            <w:pP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pP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w:t>
            </w:r>
          </w:p>
        </w:tc>
        <w:tc>
          <w:tcPr>
            <w:tcW w:w="555" w:type="pct"/>
          </w:tcPr>
          <w:p>
            <w:pP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w:t>
            </w: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5" w:type="pct"/>
          </w:tcPr>
          <w:p>
            <w:pP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w:t>
            </w:r>
          </w:p>
        </w:tc>
        <w:tc>
          <w:tcPr>
            <w:tcW w:w="555" w:type="pct"/>
          </w:tcPr>
          <w:p>
            <w:pPr>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w:t>
            </w: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c>
          <w:tcPr>
            <w:tcW w:w="555" w:type="pct"/>
          </w:tcPr>
          <w:p>
            <w:pPr>
              <w:rPr>
                <w:rFonts w:hint="eastAsia" w:ascii="微软雅黑" w:hAnsi="微软雅黑" w:eastAsia="微软雅黑" w:cs="微软雅黑"/>
                <w:sz w:val="22"/>
                <w:szCs w:val="22"/>
              </w:rPr>
            </w:pPr>
          </w:p>
        </w:tc>
      </w:tr>
    </w:tbl>
    <w:p>
      <w:pPr>
        <w:spacing w:line="360" w:lineRule="auto"/>
        <w:rPr>
          <w:rFonts w:hint="eastAsia" w:ascii="黑体" w:hAnsi="黑体" w:eastAsia="黑体"/>
          <w:color w:val="000000" w:themeColor="text1"/>
          <w:sz w:val="22"/>
          <w:szCs w:val="22"/>
          <w14:textFill>
            <w14:solidFill>
              <w14:schemeClr w14:val="tx1"/>
            </w14:solidFill>
          </w14:textFill>
        </w:rPr>
      </w:pPr>
    </w:p>
    <w:p>
      <w:pPr>
        <w:spacing w:line="360" w:lineRule="auto"/>
        <w:rPr>
          <w:rFonts w:hint="eastAsia" w:ascii="黑体" w:hAnsi="黑体" w:eastAsia="黑体"/>
          <w:color w:val="000000" w:themeColor="text1"/>
          <w:sz w:val="22"/>
          <w:szCs w:val="22"/>
          <w14:textFill>
            <w14:solidFill>
              <w14:schemeClr w14:val="tx1"/>
            </w14:solidFill>
          </w14:textFill>
        </w:rPr>
      </w:pPr>
    </w:p>
    <w:p>
      <w:pPr>
        <w:pStyle w:val="82"/>
        <w:spacing w:line="360" w:lineRule="auto"/>
        <w:rPr>
          <w:rFonts w:ascii="黑体" w:hAnsi="黑体" w:eastAsia="黑体"/>
          <w:color w:val="000000" w:themeColor="text1"/>
          <w:sz w:val="22"/>
          <w:szCs w:val="22"/>
          <w14:textFill>
            <w14:solidFill>
              <w14:schemeClr w14:val="tx1"/>
            </w14:solidFill>
          </w14:textFill>
        </w:rPr>
      </w:pPr>
    </w:p>
    <w:p>
      <w:pPr>
        <w:pStyle w:val="29"/>
        <w:ind w:left="0" w:leftChars="0" w:firstLine="0" w:firstLineChars="0"/>
        <w:rPr>
          <w:rFonts w:ascii="黑体" w:hAnsi="黑体" w:eastAsia="黑体"/>
          <w:color w:val="000000" w:themeColor="text1"/>
          <w:sz w:val="18"/>
          <w:szCs w:val="22"/>
          <w14:textFill>
            <w14:solidFill>
              <w14:schemeClr w14:val="tx1"/>
            </w14:solidFill>
          </w14:textFill>
        </w:rPr>
      </w:pPr>
    </w:p>
    <w:p>
      <w:pPr>
        <w:pStyle w:val="29"/>
        <w:rPr>
          <w:rFonts w:ascii="黑体" w:hAnsi="黑体" w:eastAsia="黑体"/>
          <w:color w:val="000000" w:themeColor="text1"/>
          <w:sz w:val="18"/>
          <w:szCs w:val="22"/>
          <w14:textFill>
            <w14:solidFill>
              <w14:schemeClr w14:val="tx1"/>
            </w14:solidFill>
          </w14:textFill>
        </w:rPr>
      </w:pPr>
    </w:p>
    <w:p>
      <w:pPr>
        <w:adjustRightInd w:val="0"/>
        <w:snapToGrid w:val="0"/>
        <w:spacing w:line="360" w:lineRule="auto"/>
        <w:ind w:firstLine="1320" w:firstLineChars="600"/>
        <w:jc w:val="right"/>
        <w:rPr>
          <w:rFonts w:ascii="黑体" w:hAnsi="黑体" w:eastAsia="黑体"/>
          <w:color w:val="000000" w:themeColor="text1"/>
          <w:sz w:val="22"/>
          <w:szCs w:val="22"/>
          <w:u w:val="single"/>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投标人名称（盖章）：</w:t>
      </w:r>
    </w:p>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年</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w:t>
      </w:r>
    </w:p>
    <w:p>
      <w:pPr>
        <w:rPr>
          <w:rFonts w:hint="eastAsia" w:ascii="黑体" w:hAnsi="黑体" w:eastAsia="黑体"/>
          <w:color w:val="000000" w:themeColor="text1"/>
          <w:sz w:val="22"/>
          <w:szCs w:val="22"/>
          <w14:textFill>
            <w14:solidFill>
              <w14:schemeClr w14:val="tx1"/>
            </w14:solidFill>
          </w14:textFill>
        </w:rPr>
        <w:sectPr>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黑体" w:hAnsi="黑体" w:eastAsia="黑体"/>
          <w:color w:val="000000" w:themeColor="text1"/>
          <w:sz w:val="22"/>
          <w:szCs w:val="22"/>
          <w14:textFill>
            <w14:solidFill>
              <w14:schemeClr w14:val="tx1"/>
            </w14:solidFill>
          </w14:textFill>
        </w:rPr>
        <w:br w:type="page"/>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38" w:name="_Toc391627757"/>
      <w:bookmarkStart w:id="139" w:name="_Toc405313961"/>
      <w:bookmarkStart w:id="140" w:name="_Toc7114"/>
      <w:bookmarkStart w:id="141" w:name="_Toc16140"/>
      <w:r>
        <w:rPr>
          <w:rStyle w:val="38"/>
          <w:rFonts w:hint="eastAsia" w:ascii="黑体" w:hAnsi="黑体" w:eastAsia="黑体"/>
          <w:b/>
          <w:bCs/>
          <w:color w:val="000000" w:themeColor="text1"/>
          <w:spacing w:val="12"/>
          <w:sz w:val="22"/>
          <w:szCs w:val="22"/>
          <w14:textFill>
            <w14:solidFill>
              <w14:schemeClr w14:val="tx1"/>
            </w14:solidFill>
          </w14:textFill>
        </w:rPr>
        <w:t>投标函</w:t>
      </w:r>
      <w:bookmarkEnd w:id="138"/>
      <w:bookmarkEnd w:id="139"/>
      <w:bookmarkEnd w:id="140"/>
      <w:bookmarkEnd w:id="141"/>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投标函</w:t>
      </w:r>
    </w:p>
    <w:p>
      <w:pPr>
        <w:spacing w:before="156" w:beforeLines="50" w:after="156" w:afterLines="50" w:line="360" w:lineRule="auto"/>
        <w:rPr>
          <w:rFonts w:hint="default" w:ascii="黑体" w:hAnsi="黑体" w:eastAsia="黑体"/>
          <w:b/>
          <w:color w:val="000000" w:themeColor="text1"/>
          <w:sz w:val="22"/>
          <w:szCs w:val="24"/>
          <w:lang w:val="en-US"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autoSpaceDE w:val="0"/>
        <w:autoSpaceDN w:val="0"/>
        <w:adjustRightInd w:val="0"/>
        <w:spacing w:line="360" w:lineRule="auto"/>
        <w:ind w:right="26" w:firstLine="440" w:firstLineChars="200"/>
        <w:rPr>
          <w:rFonts w:ascii="黑体" w:hAnsi="黑体" w:eastAsia="黑体"/>
          <w:color w:val="000000" w:themeColor="text1"/>
          <w:kern w:val="0"/>
          <w:sz w:val="22"/>
          <w:szCs w:val="22"/>
          <w14:textFill>
            <w14:solidFill>
              <w14:schemeClr w14:val="tx1"/>
            </w14:solidFill>
          </w14:textFill>
        </w:rPr>
      </w:pPr>
      <w:r>
        <w:rPr>
          <w:rFonts w:hint="eastAsia" w:ascii="黑体" w:hAnsi="黑体" w:eastAsia="黑体"/>
          <w:bCs/>
          <w:color w:val="000000" w:themeColor="text1"/>
          <w:kern w:val="0"/>
          <w:sz w:val="22"/>
          <w:szCs w:val="22"/>
          <w14:textFill>
            <w14:solidFill>
              <w14:schemeClr w14:val="tx1"/>
            </w14:solidFill>
          </w14:textFill>
        </w:rPr>
        <w:t>依据贵方</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项目名称</w:t>
      </w:r>
      <w:r>
        <w:rPr>
          <w:rFonts w:ascii="黑体" w:hAnsi="黑体" w:eastAsia="黑体"/>
          <w:b/>
          <w:bCs/>
          <w:color w:val="000000" w:themeColor="text1"/>
          <w:sz w:val="22"/>
          <w:szCs w:val="22"/>
          <w:u w:val="single"/>
          <w14:textFill>
            <w14:solidFill>
              <w14:schemeClr w14:val="tx1"/>
            </w14:solidFill>
          </w14:textFill>
        </w:rPr>
        <w:t xml:space="preserve"> </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项目</w:t>
      </w:r>
      <w:r>
        <w:rPr>
          <w:rFonts w:hint="eastAsia" w:ascii="黑体" w:hAnsi="黑体" w:eastAsia="黑体"/>
          <w:bCs/>
          <w:color w:val="000000" w:themeColor="text1"/>
          <w:sz w:val="22"/>
          <w:szCs w:val="22"/>
          <w:u w:val="single"/>
          <w14:textFill>
            <w14:solidFill>
              <w14:schemeClr w14:val="tx1"/>
            </w14:solidFill>
          </w14:textFill>
        </w:rPr>
        <w:t>（</w:t>
      </w:r>
      <w:r>
        <w:rPr>
          <w:rFonts w:hint="eastAsia" w:ascii="黑体" w:hAnsi="黑体" w:eastAsia="黑体"/>
          <w:b/>
          <w:bCs/>
          <w:color w:val="000000" w:themeColor="text1"/>
          <w:sz w:val="22"/>
          <w:szCs w:val="22"/>
          <w:u w:val="single"/>
          <w14:textFill>
            <w14:solidFill>
              <w14:schemeClr w14:val="tx1"/>
            </w14:solidFill>
          </w14:textFill>
        </w:rPr>
        <w:t>项目编号：</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u w:val="single"/>
          <w:lang w:val="en-US" w:eastAsia="zh-CN"/>
          <w14:textFill>
            <w14:solidFill>
              <w14:schemeClr w14:val="tx1"/>
            </w14:solidFill>
          </w14:textFill>
        </w:rPr>
        <w:t>-   采购包   （包名称+包组号）</w:t>
      </w:r>
      <w:r>
        <w:rPr>
          <w:rFonts w:hint="eastAsia" w:ascii="黑体" w:hAnsi="黑体" w:eastAsia="黑体"/>
          <w:bCs/>
          <w:color w:val="000000" w:themeColor="text1"/>
          <w:kern w:val="0"/>
          <w:sz w:val="22"/>
          <w:szCs w:val="22"/>
          <w14:textFill>
            <w14:solidFill>
              <w14:schemeClr w14:val="tx1"/>
            </w14:solidFill>
          </w14:textFill>
        </w:rPr>
        <w:t>的投标邀请，我方代表</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（姓名、职务）</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经正式授权并代表</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（投标人名称）</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14:textFill>
            <w14:solidFill>
              <w14:schemeClr w14:val="tx1"/>
            </w14:solidFill>
          </w14:textFill>
        </w:rPr>
        <w:t>提交唱标信封一份、</w:t>
      </w:r>
      <w:r>
        <w:rPr>
          <w:rFonts w:hint="eastAsia" w:ascii="黑体" w:hAnsi="黑体" w:eastAsia="黑体"/>
          <w:bCs/>
          <w:color w:val="000000" w:themeColor="text1"/>
          <w:kern w:val="0"/>
          <w:sz w:val="22"/>
          <w:szCs w:val="22"/>
          <w14:textFill>
            <w14:solidFill>
              <w14:schemeClr w14:val="tx1"/>
            </w14:solidFill>
          </w14:textFill>
        </w:rPr>
        <w:t>投标文件</w:t>
      </w:r>
      <w:r>
        <w:rPr>
          <w:rFonts w:ascii="黑体" w:hAnsi="黑体" w:eastAsia="黑体"/>
          <w:bCs/>
          <w:color w:val="000000" w:themeColor="text1"/>
          <w:kern w:val="0"/>
          <w:sz w:val="22"/>
          <w:szCs w:val="22"/>
          <w14:textFill>
            <w14:solidFill>
              <w14:schemeClr w14:val="tx1"/>
            </w14:solidFill>
          </w14:textFill>
        </w:rPr>
        <w:t>正本一份，副本</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kern w:val="0"/>
          <w:sz w:val="22"/>
          <w:szCs w:val="22"/>
          <w:u w:val="single"/>
          <w14:textFill>
            <w14:solidFill>
              <w14:schemeClr w14:val="tx1"/>
            </w14:solidFill>
          </w14:textFill>
        </w:rPr>
        <w:t>详见投标须知前附表</w:t>
      </w:r>
      <w:r>
        <w:rPr>
          <w:rFonts w:ascii="黑体" w:hAnsi="黑体" w:eastAsia="黑体"/>
          <w:b/>
          <w:bCs/>
          <w:color w:val="000000" w:themeColor="text1"/>
          <w:kern w:val="0"/>
          <w:sz w:val="22"/>
          <w:szCs w:val="22"/>
          <w:u w:val="single"/>
          <w14:textFill>
            <w14:solidFill>
              <w14:schemeClr w14:val="tx1"/>
            </w14:solidFill>
          </w14:textFill>
        </w:rPr>
        <w:t xml:space="preserve">） </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份。</w:t>
      </w:r>
    </w:p>
    <w:p>
      <w:pPr>
        <w:autoSpaceDE w:val="0"/>
        <w:autoSpaceDN w:val="0"/>
        <w:adjustRightInd w:val="0"/>
        <w:spacing w:line="360" w:lineRule="auto"/>
        <w:ind w:right="246"/>
        <w:rPr>
          <w:rFonts w:ascii="黑体" w:hAnsi="黑体" w:eastAsia="黑体"/>
          <w:color w:val="000000" w:themeColor="text1"/>
          <w:kern w:val="0"/>
          <w:sz w:val="22"/>
          <w:szCs w:val="22"/>
          <w14:textFill>
            <w14:solidFill>
              <w14:schemeClr w14:val="tx1"/>
            </w14:solidFill>
          </w14:textFill>
        </w:rPr>
      </w:pPr>
      <w:r>
        <w:rPr>
          <w:rFonts w:hint="eastAsia" w:ascii="黑体" w:hAnsi="黑体" w:eastAsia="黑体"/>
          <w:color w:val="000000" w:themeColor="text1"/>
          <w:kern w:val="0"/>
          <w:sz w:val="22"/>
          <w:szCs w:val="22"/>
          <w14:textFill>
            <w14:solidFill>
              <w14:schemeClr w14:val="tx1"/>
            </w14:solidFill>
          </w14:textFill>
        </w:rPr>
        <w:t>在此，我方声明如下：</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pacing w:val="-6"/>
          <w:sz w:val="22"/>
          <w:szCs w:val="22"/>
          <w14:textFill>
            <w14:solidFill>
              <w14:schemeClr w14:val="tx1"/>
            </w14:solidFill>
          </w14:textFill>
        </w:rPr>
        <w:t>同意并接受招标文件的各项要求，遵守招标文件中的各项规定，按招标文件的要求提供报价</w:t>
      </w:r>
      <w:r>
        <w:rPr>
          <w:rFonts w:hint="eastAsia" w:ascii="黑体" w:hAnsi="黑体" w:eastAsia="黑体"/>
          <w:color w:val="000000" w:themeColor="text1"/>
          <w:sz w:val="22"/>
          <w:szCs w:val="22"/>
          <w14:textFill>
            <w14:solidFill>
              <w14:schemeClr w14:val="tx1"/>
            </w14:solidFill>
          </w14:textFill>
        </w:rPr>
        <w:t>。</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投标有效期为递交投标文件截止日起</w:t>
      </w:r>
      <w:r>
        <w:rPr>
          <w:rFonts w:hint="eastAsia"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u w:val="single"/>
          <w14:textFill>
            <w14:solidFill>
              <w14:schemeClr w14:val="tx1"/>
            </w14:solidFill>
          </w14:textFill>
        </w:rPr>
        <w:t>90</w:t>
      </w:r>
      <w:r>
        <w:rPr>
          <w:rFonts w:hint="eastAsia"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天，如中标，有效期将延至合同终止日为止。</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我方已经详细地阅读了全部招标文件及其附件，包括澄清及参考文件</w:t>
      </w:r>
      <w:r>
        <w:rPr>
          <w:rFonts w:ascii="黑体" w:hAnsi="黑体" w:eastAsia="黑体"/>
          <w:color w:val="000000" w:themeColor="text1"/>
          <w:sz w:val="22"/>
          <w:szCs w:val="22"/>
          <w14:textFill>
            <w14:solidFill>
              <w14:schemeClr w14:val="tx1"/>
            </w14:solidFill>
          </w14:textFill>
        </w:rPr>
        <w:t>(如有)。我方已完全清晰理解招标文件的要求，不存在任何含糊不清和误解之处，同意放弃对这些文件所提出的</w:t>
      </w:r>
      <w:r>
        <w:rPr>
          <w:rFonts w:hint="eastAsia" w:ascii="黑体" w:hAnsi="黑体" w:eastAsia="黑体"/>
          <w:color w:val="000000" w:themeColor="text1"/>
          <w:sz w:val="22"/>
          <w:szCs w:val="22"/>
          <w14:textFill>
            <w14:solidFill>
              <w14:schemeClr w14:val="tx1"/>
            </w14:solidFill>
          </w14:textFill>
        </w:rPr>
        <w:t>询问</w:t>
      </w:r>
      <w:r>
        <w:rPr>
          <w:rFonts w:ascii="黑体" w:hAnsi="黑体" w:eastAsia="黑体"/>
          <w:color w:val="000000" w:themeColor="text1"/>
          <w:sz w:val="22"/>
          <w:szCs w:val="22"/>
          <w14:textFill>
            <w14:solidFill>
              <w14:schemeClr w14:val="tx1"/>
            </w14:solidFill>
          </w14:textFill>
        </w:rPr>
        <w:t>和质疑的权利。</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我方已毫无保留地向贵方提供一切所需的证明材料。</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我方承诺在本次投标</w:t>
      </w:r>
      <w:r>
        <w:rPr>
          <w:rFonts w:hint="eastAsia" w:ascii="黑体" w:hAnsi="黑体" w:eastAsia="黑体"/>
          <w:color w:val="000000" w:themeColor="text1"/>
          <w:sz w:val="22"/>
          <w:szCs w:val="22"/>
          <w:lang w:val="en-US" w:eastAsia="zh-CN"/>
          <w14:textFill>
            <w14:solidFill>
              <w14:schemeClr w14:val="tx1"/>
            </w14:solidFill>
          </w14:textFill>
        </w:rPr>
        <w:t>不存在以下情况：</w:t>
      </w:r>
      <w:r>
        <w:rPr>
          <w:rFonts w:hint="eastAsia" w:ascii="黑体" w:hAnsi="黑体" w:eastAsia="黑体"/>
          <w:color w:val="000000" w:themeColor="text1"/>
          <w:sz w:val="22"/>
          <w:szCs w:val="22"/>
          <w14:textFill>
            <w14:solidFill>
              <w14:schemeClr w14:val="tx1"/>
            </w14:solidFill>
          </w14:textFill>
        </w:rPr>
        <w:t>单位负责人为同一人或者存在直接控股、管理关系的不同供应商，不得同时参加本采购项目投标。为本项目提供整体设计、规范编制或者项目管理、监理、检测等服务的供应商。</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我方承诺在本次投标文件中提供的一切文件，无论是原件还是复印件均为真实和准确的，绝无任何虚假、伪造和夸大的成份，否则，愿承担相应的后果和法律责任。</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我方完全服从和尊重评委会所作的评定结果，同时清楚理解到报价最低并非意味着必定获得中标资格。</w:t>
      </w:r>
    </w:p>
    <w:p>
      <w:pPr>
        <w:pStyle w:val="46"/>
        <w:numPr>
          <w:ilvl w:val="0"/>
          <w:numId w:val="71"/>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我方同意按招标文件规定向采购代理机构缴纳中标服务费。</w:t>
      </w:r>
    </w:p>
    <w:p>
      <w:pPr>
        <w:pStyle w:val="46"/>
        <w:numPr>
          <w:ilvl w:val="0"/>
          <w:numId w:val="71"/>
        </w:numPr>
        <w:tabs>
          <w:tab w:val="left" w:pos="567"/>
          <w:tab w:val="left" w:pos="709"/>
        </w:tabs>
        <w:spacing w:after="312" w:afterLines="10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所有与本招标有关的函件请发往下列地址：</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3"/>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投标人地址：</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邮编：</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联系电话：</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传真：</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项目联系人：</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手机：</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投标人法定代表人或被授权人（签名或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年</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月</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日</w:t>
            </w: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42" w:name="_Toc5005"/>
      <w:bookmarkStart w:id="143" w:name="_Toc7447"/>
      <w:bookmarkStart w:id="144" w:name="_Toc405313962"/>
      <w:bookmarkStart w:id="145" w:name="_Toc391627758"/>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资格声明函</w:t>
      </w:r>
      <w:bookmarkEnd w:id="142"/>
      <w:bookmarkEnd w:id="143"/>
    </w:p>
    <w:p>
      <w:pPr>
        <w:jc w:val="center"/>
        <w:rPr>
          <w:rStyle w:val="38"/>
          <w:rFonts w:hint="default" w:ascii="黑体" w:hAnsi="黑体" w:eastAsia="黑体"/>
          <w:b/>
          <w:bCs/>
          <w:color w:val="000000" w:themeColor="text1"/>
          <w:spacing w:val="12"/>
          <w:sz w:val="32"/>
          <w:szCs w:val="32"/>
          <w:lang w:val="en-US" w:eastAsia="zh-CN"/>
          <w14:textFill>
            <w14:solidFill>
              <w14:schemeClr w14:val="tx1"/>
            </w14:solidFill>
          </w14:textFill>
        </w:rPr>
      </w:pPr>
      <w:r>
        <w:rPr>
          <w:rStyle w:val="38"/>
          <w:rFonts w:hint="eastAsia" w:ascii="黑体" w:hAnsi="黑体" w:eastAsia="黑体"/>
          <w:b/>
          <w:bCs/>
          <w:color w:val="000000" w:themeColor="text1"/>
          <w:spacing w:val="12"/>
          <w:sz w:val="32"/>
          <w:szCs w:val="32"/>
          <w:lang w:val="en-US" w:eastAsia="zh-CN"/>
          <w14:textFill>
            <w14:solidFill>
              <w14:schemeClr w14:val="tx1"/>
            </w14:solidFill>
          </w14:textFill>
        </w:rPr>
        <w:t>资格声明函</w:t>
      </w:r>
    </w:p>
    <w:p>
      <w:pPr>
        <w:spacing w:before="156" w:beforeLines="50" w:after="156" w:afterLines="50" w:line="360" w:lineRule="auto"/>
        <w:rPr>
          <w:rFonts w:hint="default" w:ascii="黑体" w:hAnsi="黑体" w:eastAsia="黑体"/>
          <w:b/>
          <w:color w:val="000000" w:themeColor="text1"/>
          <w:sz w:val="22"/>
          <w:szCs w:val="24"/>
          <w:lang w:val="en-US"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autoSpaceDE w:val="0"/>
        <w:autoSpaceDN w:val="0"/>
        <w:adjustRightInd w:val="0"/>
        <w:spacing w:line="360" w:lineRule="auto"/>
        <w:ind w:right="26" w:firstLine="440" w:firstLineChars="200"/>
        <w:rPr>
          <w:rFonts w:hint="eastAsia" w:ascii="黑体" w:hAnsi="黑体" w:eastAsia="黑体"/>
          <w:color w:val="000000" w:themeColor="text1"/>
          <w:kern w:val="0"/>
          <w:sz w:val="22"/>
          <w:szCs w:val="22"/>
          <w:u w:val="none"/>
          <w14:textFill>
            <w14:solidFill>
              <w14:schemeClr w14:val="tx1"/>
            </w14:solidFill>
          </w14:textFill>
        </w:rPr>
      </w:pPr>
      <w:r>
        <w:rPr>
          <w:rFonts w:hint="eastAsia" w:ascii="黑体" w:hAnsi="黑体" w:eastAsia="黑体"/>
          <w:bCs/>
          <w:color w:val="000000" w:themeColor="text1"/>
          <w:kern w:val="0"/>
          <w:sz w:val="22"/>
          <w:szCs w:val="22"/>
          <w:lang w:val="en-US" w:eastAsia="zh-CN"/>
          <w14:textFill>
            <w14:solidFill>
              <w14:schemeClr w14:val="tx1"/>
            </w14:solidFill>
          </w14:textFill>
        </w:rPr>
        <w:t>我方参与</w:t>
      </w:r>
      <w:r>
        <w:rPr>
          <w:rFonts w:hint="eastAsia" w:ascii="黑体" w:hAnsi="黑体" w:eastAsia="黑体"/>
          <w:bCs/>
          <w:color w:val="000000" w:themeColor="text1"/>
          <w:kern w:val="0"/>
          <w:sz w:val="22"/>
          <w:szCs w:val="22"/>
          <w14:textFill>
            <w14:solidFill>
              <w14:schemeClr w14:val="tx1"/>
            </w14:solidFill>
          </w14:textFill>
        </w:rPr>
        <w:t>贵方</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u w:val="single"/>
          <w:lang w:val="en-US" w:eastAsia="zh-CN"/>
          <w14:textFill>
            <w14:solidFill>
              <w14:schemeClr w14:val="tx1"/>
            </w14:solidFill>
          </w14:textFill>
        </w:rPr>
        <w:t>组织的</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项目名称</w:t>
      </w:r>
      <w:r>
        <w:rPr>
          <w:rFonts w:ascii="黑体" w:hAnsi="黑体" w:eastAsia="黑体"/>
          <w:b/>
          <w:bCs/>
          <w:color w:val="000000" w:themeColor="text1"/>
          <w:sz w:val="22"/>
          <w:szCs w:val="22"/>
          <w:u w:val="single"/>
          <w14:textFill>
            <w14:solidFill>
              <w14:schemeClr w14:val="tx1"/>
            </w14:solidFill>
          </w14:textFill>
        </w:rPr>
        <w:t xml:space="preserve"> </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项目</w:t>
      </w:r>
      <w:r>
        <w:rPr>
          <w:rFonts w:hint="eastAsia" w:ascii="黑体" w:hAnsi="黑体" w:eastAsia="黑体"/>
          <w:bCs/>
          <w:color w:val="000000" w:themeColor="text1"/>
          <w:sz w:val="22"/>
          <w:szCs w:val="22"/>
          <w:u w:val="single"/>
          <w14:textFill>
            <w14:solidFill>
              <w14:schemeClr w14:val="tx1"/>
            </w14:solidFill>
          </w14:textFill>
        </w:rPr>
        <w:t>（</w:t>
      </w:r>
      <w:r>
        <w:rPr>
          <w:rFonts w:hint="eastAsia" w:ascii="黑体" w:hAnsi="黑体" w:eastAsia="黑体"/>
          <w:b/>
          <w:bCs/>
          <w:color w:val="000000" w:themeColor="text1"/>
          <w:sz w:val="22"/>
          <w:szCs w:val="22"/>
          <w:u w:val="single"/>
          <w14:textFill>
            <w14:solidFill>
              <w14:schemeClr w14:val="tx1"/>
            </w14:solidFill>
          </w14:textFill>
        </w:rPr>
        <w:t>项目编号：</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u w:val="none"/>
          <w:lang w:val="en-US" w:eastAsia="zh-CN"/>
          <w14:textFill>
            <w14:solidFill>
              <w14:schemeClr w14:val="tx1"/>
            </w14:solidFill>
          </w14:textFill>
        </w:rPr>
        <w:t>的采购活动，</w:t>
      </w:r>
      <w:r>
        <w:rPr>
          <w:rFonts w:hint="eastAsia" w:ascii="黑体" w:hAnsi="黑体" w:eastAsia="黑体"/>
          <w:color w:val="000000" w:themeColor="text1"/>
          <w:kern w:val="0"/>
          <w:sz w:val="22"/>
          <w:szCs w:val="22"/>
          <w:u w:val="none"/>
          <w14:textFill>
            <w14:solidFill>
              <w14:schemeClr w14:val="tx1"/>
            </w14:solidFill>
          </w14:textFill>
        </w:rPr>
        <w:t>在此，我方声明如下：</w:t>
      </w:r>
    </w:p>
    <w:p>
      <w:pPr>
        <w:pStyle w:val="34"/>
        <w:rPr>
          <w:rFonts w:hint="eastAsia" w:ascii="黑体" w:hAnsi="黑体" w:eastAsia="黑体"/>
          <w:color w:val="000000" w:themeColor="text1"/>
          <w:kern w:val="0"/>
          <w:sz w:val="22"/>
          <w:szCs w:val="22"/>
          <w:u w:val="none"/>
          <w14:textFill>
            <w14:solidFill>
              <w14:schemeClr w14:val="tx1"/>
            </w14:solidFill>
          </w14:textFill>
        </w:rPr>
      </w:pP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1）我方具有独立承担民事责任的能力；</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2）我方有依法缴纳税收和社会保障资金的良好记录；</w:t>
      </w:r>
    </w:p>
    <w:p>
      <w:pPr>
        <w:spacing w:line="360" w:lineRule="auto"/>
        <w:rPr>
          <w:rFonts w:hint="eastAsia" w:ascii="黑体" w:hAnsi="黑体" w:eastAsia="黑体"/>
          <w:color w:val="FF0000"/>
          <w:sz w:val="22"/>
          <w:szCs w:val="22"/>
          <w:lang w:val="en-US" w:eastAsia="zh-CN"/>
        </w:rPr>
      </w:pPr>
      <w:r>
        <w:rPr>
          <w:rFonts w:hint="eastAsia" w:ascii="黑体" w:hAnsi="黑体" w:eastAsia="黑体"/>
          <w:color w:val="000000" w:themeColor="text1"/>
          <w:sz w:val="22"/>
          <w:szCs w:val="22"/>
          <w:lang w:val="en-US" w:eastAsia="zh-CN"/>
          <w14:textFill>
            <w14:solidFill>
              <w14:schemeClr w14:val="tx1"/>
            </w14:solidFill>
          </w14:textFill>
        </w:rPr>
        <w:t>3）我方具有良好的商业信誉和健全的财务会计制度；</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4）我方具有履行合同所必需的设备和专业技术能力；</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5）我方能出具正规增值税专用发票；</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6）我方承诺，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34"/>
        <w:rPr>
          <w:rFonts w:hint="eastAsia" w:ascii="黑体" w:hAnsi="黑体" w:eastAsia="黑体"/>
          <w:color w:val="000000" w:themeColor="text1"/>
          <w:sz w:val="22"/>
          <w:szCs w:val="22"/>
          <w:lang w:val="en-US" w:eastAsia="zh-CN"/>
          <w14:textFill>
            <w14:solidFill>
              <w14:schemeClr w14:val="tx1"/>
            </w14:solidFill>
          </w14:textFill>
        </w:rPr>
      </w:pPr>
    </w:p>
    <w:p>
      <w:pPr>
        <w:pStyle w:val="34"/>
        <w:numPr>
          <w:ilvl w:val="0"/>
          <w:numId w:val="70"/>
        </w:numPr>
        <w:ind w:left="360" w:leftChars="0" w:hanging="360" w:firstLineChars="0"/>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 xml:space="preserve"> 我方非联合体参与本项目投标。</w:t>
      </w:r>
    </w:p>
    <w:p>
      <w:pPr>
        <w:pStyle w:val="34"/>
        <w:numPr>
          <w:ilvl w:val="0"/>
          <w:numId w:val="70"/>
        </w:numPr>
        <w:ind w:left="360" w:leftChars="0" w:hanging="360" w:firstLineChars="0"/>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u w:val="single"/>
          <w:lang w:val="en-US" w:eastAsia="zh-CN"/>
          <w14:textFill>
            <w14:solidFill>
              <w14:schemeClr w14:val="tx1"/>
            </w14:solidFill>
          </w14:textFill>
        </w:rPr>
        <w:t xml:space="preserve">        （其他供应商觉得需要补充的说明）                    </w:t>
      </w:r>
      <w:r>
        <w:rPr>
          <w:rFonts w:hint="eastAsia" w:ascii="黑体" w:hAnsi="黑体" w:eastAsia="黑体"/>
          <w:color w:val="000000" w:themeColor="text1"/>
          <w:sz w:val="22"/>
          <w:szCs w:val="22"/>
          <w:lang w:val="en-US" w:eastAsia="zh-CN"/>
          <w14:textFill>
            <w14:solidFill>
              <w14:schemeClr w14:val="tx1"/>
            </w14:solidFill>
          </w14:textFill>
        </w:rPr>
        <w:t xml:space="preserve">   </w:t>
      </w:r>
    </w:p>
    <w:p>
      <w:pPr>
        <w:pStyle w:val="34"/>
        <w:rPr>
          <w:rFonts w:hint="eastAsia" w:ascii="黑体" w:hAnsi="黑体" w:eastAsia="黑体"/>
          <w:color w:val="000000" w:themeColor="text1"/>
          <w:kern w:val="0"/>
          <w:sz w:val="22"/>
          <w:szCs w:val="22"/>
          <w:u w:val="none"/>
          <w14:textFill>
            <w14:solidFill>
              <w14:schemeClr w14:val="tx1"/>
            </w14:solidFill>
          </w14:textFill>
        </w:rPr>
      </w:pPr>
    </w:p>
    <w:p>
      <w:pPr>
        <w:pStyle w:val="34"/>
      </w:pPr>
    </w:p>
    <w:p>
      <w:pPr>
        <w:pStyle w:val="34"/>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8"/>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hint="eastAsia" w:ascii="黑体" w:hAnsi="黑体" w:eastAsia="黑体"/>
                <w:color w:val="000000" w:themeColor="text1"/>
                <w:sz w:val="22"/>
                <w:szCs w:val="22"/>
                <w:u w:val="single"/>
                <w14:textFill>
                  <w14:solidFill>
                    <w14:schemeClr w14:val="tx1"/>
                  </w14:solidFill>
                </w14:textFill>
              </w:rPr>
              <w:t xml:space="preserve">             年           月            日</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46" w:name="_Toc31752"/>
      <w:bookmarkStart w:id="147" w:name="_Toc1055"/>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资格证明材料</w:t>
      </w:r>
      <w:bookmarkEnd w:id="146"/>
      <w:bookmarkEnd w:id="147"/>
    </w:p>
    <w:p>
      <w:pPr>
        <w:rPr>
          <w:rFonts w:hint="default"/>
          <w:lang w:val="en-US"/>
        </w:rPr>
      </w:pP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投标人按照资格条件要求提供相关资料。</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r>
        <w:rPr>
          <w:rFonts w:hint="eastAsia" w:ascii="宋体" w:hAnsi="宋体" w:eastAsia="宋体" w:cs="宋体"/>
          <w:color w:val="auto"/>
          <w:sz w:val="24"/>
          <w:szCs w:val="24"/>
          <w:lang w:eastAsia="zh-CN"/>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2）有依法缴纳税收和社会保障资金的良好记录。【提供资格声明函。】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具有良好的商业信誉和健全的财务会计制度【提供会计师事务所出具的2023年度审计报告或投标截止前近一个月的资产负债表、利润表、现金流量表复印件或2024年银行出具的资信证明。】</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4）履行合同所必需的设备和专业技术能力。【自拟填报设备及专业技术能力情况或提供资格声明函。】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5）能出具正规增值税专用发票。【提供资格声明函。】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采购活动前3年内，在经营活动中没有重大违法记录。【参照资格声明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及中国政府采购网查询结果为准，如相关失信记录已失效，供应商需提供相关证明资料）。</w:t>
      </w:r>
    </w:p>
    <w:p>
      <w:pPr>
        <w:pStyle w:val="34"/>
        <w:ind w:left="0" w:leftChars="0" w:firstLine="0" w:firstLineChars="0"/>
        <w:rPr>
          <w:rFonts w:hint="eastAsia" w:eastAsia="仿宋体"/>
          <w:lang w:val="en-US" w:eastAsia="zh-CN"/>
        </w:rPr>
      </w:pPr>
      <w:r>
        <w:rPr>
          <w:rStyle w:val="38"/>
          <w:rFonts w:hint="eastAsia" w:ascii="黑体" w:hAnsi="黑体" w:eastAsia="黑体" w:cs="Times New Roman"/>
          <w:color w:val="000000" w:themeColor="text1"/>
          <w:spacing w:val="12"/>
          <w:kern w:val="2"/>
          <w:sz w:val="22"/>
          <w:szCs w:val="22"/>
          <w:lang w:val="en-US" w:eastAsia="zh-CN" w:bidi="ar-SA"/>
          <w14:textFill>
            <w14:solidFill>
              <w14:schemeClr w14:val="tx1"/>
            </w14:solidFill>
          </w14:textFill>
        </w:rPr>
        <w:t>8）其他</w:t>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48" w:name="_Toc18819"/>
      <w:bookmarkStart w:id="149" w:name="_Toc19391"/>
      <w:r>
        <w:rPr>
          <w:rStyle w:val="38"/>
          <w:rFonts w:hint="eastAsia" w:ascii="黑体" w:hAnsi="黑体" w:eastAsia="黑体"/>
          <w:b/>
          <w:bCs/>
          <w:color w:val="000000" w:themeColor="text1"/>
          <w:spacing w:val="12"/>
          <w:sz w:val="22"/>
          <w:szCs w:val="22"/>
          <w14:textFill>
            <w14:solidFill>
              <w14:schemeClr w14:val="tx1"/>
            </w14:solidFill>
          </w14:textFill>
        </w:rPr>
        <w:t>法定代表人身份证明书</w:t>
      </w:r>
      <w:bookmarkEnd w:id="144"/>
      <w:bookmarkEnd w:id="145"/>
      <w:bookmarkEnd w:id="148"/>
      <w:bookmarkEnd w:id="149"/>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法定代表人身份证明书</w:t>
      </w:r>
    </w:p>
    <w:p>
      <w:pPr>
        <w:spacing w:before="312" w:beforeLines="100" w:after="156" w:afterLines="50" w:line="360" w:lineRule="auto"/>
        <w:rPr>
          <w:rFonts w:hint="eastAsia" w:ascii="黑体" w:hAnsi="黑体" w:eastAsia="黑体"/>
          <w:b/>
          <w:color w:val="000000" w:themeColor="text1"/>
          <w:sz w:val="22"/>
          <w:szCs w:val="24"/>
          <w:lang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1"/>
        <w:gridCol w:w="5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同志，现任我单位</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职务，为法定代表人，特此证明。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附：</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代表人性别：    </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身份证号码： </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联系电话：  </w:t>
            </w:r>
          </w:p>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after="312" w:afterLines="10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spacing w:before="156" w:beforeLines="50"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须附：法定代表人有效期内身份证复印件</w:t>
      </w:r>
    </w:p>
    <w:tbl>
      <w:tblPr>
        <w:tblStyle w:val="3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正面</w:t>
            </w:r>
          </w:p>
        </w:tc>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背面</w:t>
            </w:r>
          </w:p>
        </w:tc>
      </w:tr>
    </w:tbl>
    <w:p>
      <w:pPr>
        <w:spacing w:before="156" w:beforeLines="50" w:after="93" w:afterLines="30" w:line="360" w:lineRule="auto"/>
        <w:rPr>
          <w:rFonts w:ascii="黑体" w:hAnsi="黑体" w:eastAsia="黑体"/>
          <w:color w:val="000000" w:themeColor="text1"/>
          <w:sz w:val="22"/>
          <w:szCs w:val="22"/>
          <w14:textFill>
            <w14:solidFill>
              <w14:schemeClr w14:val="tx1"/>
            </w14:solidFill>
          </w14:textFill>
        </w:rPr>
      </w:pP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50" w:name="_Toc6104"/>
      <w:bookmarkStart w:id="151" w:name="_Toc20499"/>
      <w:bookmarkStart w:id="152" w:name="_Toc405313963"/>
      <w:bookmarkStart w:id="153" w:name="_Toc391627759"/>
      <w:r>
        <w:rPr>
          <w:rStyle w:val="38"/>
          <w:rFonts w:hint="eastAsia" w:ascii="黑体" w:hAnsi="黑体" w:eastAsia="黑体"/>
          <w:b/>
          <w:bCs/>
          <w:color w:val="000000" w:themeColor="text1"/>
          <w:spacing w:val="12"/>
          <w:sz w:val="22"/>
          <w:szCs w:val="22"/>
          <w14:textFill>
            <w14:solidFill>
              <w14:schemeClr w14:val="tx1"/>
            </w14:solidFill>
          </w14:textFill>
        </w:rPr>
        <w:t>法定代表人授权委托书</w:t>
      </w:r>
      <w:bookmarkEnd w:id="150"/>
      <w:bookmarkEnd w:id="151"/>
      <w:bookmarkEnd w:id="152"/>
      <w:bookmarkEnd w:id="153"/>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法定代表人授权委托书</w:t>
      </w:r>
    </w:p>
    <w:p>
      <w:pPr>
        <w:spacing w:before="468" w:beforeLines="150" w:after="312" w:afterLines="100" w:line="360" w:lineRule="auto"/>
        <w:rPr>
          <w:rFonts w:hint="eastAsia" w:ascii="黑体" w:hAnsi="黑体" w:eastAsia="黑体"/>
          <w:b/>
          <w:color w:val="000000" w:themeColor="text1"/>
          <w:sz w:val="22"/>
          <w:szCs w:val="24"/>
          <w:lang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pStyle w:val="52"/>
        <w:spacing w:line="360" w:lineRule="auto"/>
        <w:ind w:firstLine="450"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本人</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（姓名）</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系</w:t>
      </w:r>
      <w:r>
        <w:rPr>
          <w:rFonts w:ascii="黑体" w:hAnsi="黑体" w:eastAsia="黑体"/>
          <w:color w:val="000000" w:themeColor="text1"/>
          <w:sz w:val="22"/>
          <w:szCs w:val="22"/>
          <w:u w:val="single"/>
          <w14:textFill>
            <w14:solidFill>
              <w14:schemeClr w14:val="tx1"/>
            </w14:solidFill>
          </w14:textFill>
        </w:rPr>
        <w:t xml:space="preserve">     （投标人名称）    </w:t>
      </w:r>
      <w:r>
        <w:rPr>
          <w:rFonts w:hint="eastAsia" w:ascii="黑体" w:hAnsi="黑体" w:eastAsia="黑体"/>
          <w:color w:val="000000" w:themeColor="text1"/>
          <w:sz w:val="22"/>
          <w:szCs w:val="22"/>
          <w14:textFill>
            <w14:solidFill>
              <w14:schemeClr w14:val="tx1"/>
            </w14:solidFill>
          </w14:textFill>
        </w:rPr>
        <w:t>的法定代表人，现委托</w:t>
      </w:r>
      <w:r>
        <w:rPr>
          <w:rFonts w:ascii="黑体" w:hAnsi="黑体" w:eastAsia="黑体"/>
          <w:color w:val="000000" w:themeColor="text1"/>
          <w:sz w:val="22"/>
          <w:szCs w:val="22"/>
          <w:u w:val="single"/>
          <w14:textFill>
            <w14:solidFill>
              <w14:schemeClr w14:val="tx1"/>
            </w14:solidFill>
          </w14:textFill>
        </w:rPr>
        <w:t xml:space="preserve"> （姓名） </w:t>
      </w:r>
      <w:r>
        <w:rPr>
          <w:rFonts w:hint="eastAsia" w:ascii="黑体" w:hAnsi="黑体" w:eastAsia="黑体"/>
          <w:color w:val="000000" w:themeColor="text1"/>
          <w:sz w:val="22"/>
          <w:szCs w:val="22"/>
          <w14:textFill>
            <w14:solidFill>
              <w14:schemeClr w14:val="tx1"/>
            </w14:solidFill>
          </w14:textFill>
        </w:rPr>
        <w:t>为我方合法代理人。代理人根据授权，以我方名义签署、澄清、说明、补正、递交、撤回、修改</w:t>
      </w:r>
      <w:r>
        <w:rPr>
          <w:rFonts w:ascii="黑体" w:hAnsi="黑体" w:eastAsia="黑体"/>
          <w:color w:val="000000" w:themeColor="text1"/>
          <w:sz w:val="22"/>
          <w:szCs w:val="22"/>
          <w:u w:val="single"/>
          <w14:textFill>
            <w14:solidFill>
              <w14:schemeClr w14:val="tx1"/>
            </w14:solidFill>
          </w14:textFill>
        </w:rPr>
        <w:t xml:space="preserve">          （项目名称）      </w:t>
      </w:r>
      <w:r>
        <w:rPr>
          <w:rFonts w:hint="eastAsia" w:ascii="黑体" w:hAnsi="黑体" w:eastAsia="黑体"/>
          <w:color w:val="000000" w:themeColor="text1"/>
          <w:sz w:val="22"/>
          <w:szCs w:val="22"/>
          <w14:textFill>
            <w14:solidFill>
              <w14:schemeClr w14:val="tx1"/>
            </w14:solidFill>
          </w14:textFill>
        </w:rPr>
        <w:t>（项目编号：</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w:t>
      </w:r>
      <w:r>
        <w:rPr>
          <w:rFonts w:hint="eastAsia" w:ascii="黑体" w:hAnsi="黑体" w:eastAsia="黑体"/>
          <w:color w:val="000000" w:themeColor="text1"/>
          <w:sz w:val="22"/>
          <w:szCs w:val="22"/>
          <w14:textFill>
            <w14:solidFill>
              <w14:schemeClr w14:val="tx1"/>
            </w14:solidFill>
          </w14:textFill>
        </w:rPr>
        <w:t>）投标文件、签订合同和处理有关事宜，其法律后果由我方承担。</w:t>
      </w:r>
    </w:p>
    <w:p>
      <w:pPr>
        <w:pStyle w:val="52"/>
        <w:spacing w:line="360" w:lineRule="auto"/>
        <w:ind w:firstLine="448" w:firstLineChars="204"/>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本委托书于</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年</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日签字生效，特此证明。</w:t>
      </w:r>
    </w:p>
    <w:p>
      <w:pPr>
        <w:pStyle w:val="52"/>
        <w:spacing w:line="360" w:lineRule="auto"/>
        <w:ind w:firstLine="448" w:firstLineChars="204"/>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spacing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须附：被授权人有效期内身份证复印件</w:t>
      </w:r>
    </w:p>
    <w:tbl>
      <w:tblPr>
        <w:tblStyle w:val="3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正面</w:t>
            </w:r>
          </w:p>
        </w:tc>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背面</w:t>
            </w: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54" w:name="_Toc391627760"/>
      <w:bookmarkStart w:id="155" w:name="_Toc405313964"/>
      <w:bookmarkStart w:id="156" w:name="_Toc15809"/>
      <w:bookmarkStart w:id="157" w:name="_Toc9627"/>
      <w:r>
        <w:rPr>
          <w:rStyle w:val="38"/>
          <w:rFonts w:hint="eastAsia" w:ascii="黑体" w:hAnsi="黑体" w:eastAsia="黑体"/>
          <w:b/>
          <w:bCs/>
          <w:color w:val="000000" w:themeColor="text1"/>
          <w:spacing w:val="12"/>
          <w:sz w:val="22"/>
          <w:szCs w:val="22"/>
          <w14:textFill>
            <w14:solidFill>
              <w14:schemeClr w14:val="tx1"/>
            </w14:solidFill>
          </w14:textFill>
        </w:rPr>
        <w:t>投标人基本情况说明</w:t>
      </w:r>
      <w:bookmarkEnd w:id="154"/>
      <w:bookmarkEnd w:id="155"/>
      <w:bookmarkEnd w:id="156"/>
      <w:bookmarkEnd w:id="157"/>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投标人基本情况说明</w:t>
      </w:r>
    </w:p>
    <w:p>
      <w:pPr>
        <w:pStyle w:val="46"/>
        <w:numPr>
          <w:ilvl w:val="0"/>
          <w:numId w:val="73"/>
        </w:numPr>
        <w:spacing w:after="156" w:afterLines="5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公司基本情况</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2439"/>
        <w:gridCol w:w="1068"/>
        <w:gridCol w:w="1410"/>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公司名称：</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公司固话：</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单位地址：</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公司传真：</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注册资金：</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单位性质：</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公司开户银行名称：</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开户账号：</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营业注册执照</w:t>
            </w:r>
            <w:r>
              <w:rPr>
                <w:rFonts w:hint="eastAsia" w:ascii="黑体" w:hAnsi="黑体" w:eastAsia="黑体"/>
                <w:color w:val="000000" w:themeColor="text1"/>
                <w:sz w:val="22"/>
                <w:szCs w:val="22"/>
                <w14:textFill>
                  <w14:solidFill>
                    <w14:schemeClr w14:val="tx1"/>
                  </w14:solidFill>
                </w14:textFill>
              </w:rPr>
              <w:t>或事业单位法人证书</w:t>
            </w:r>
            <w:r>
              <w:rPr>
                <w:rFonts w:ascii="黑体" w:hAnsi="黑体" w:eastAsia="黑体"/>
                <w:color w:val="000000" w:themeColor="text1"/>
                <w:sz w:val="22"/>
                <w:szCs w:val="22"/>
                <w14:textFill>
                  <w14:solidFill>
                    <w14:schemeClr w14:val="tx1"/>
                  </w14:solidFill>
                </w14:textFill>
              </w:rPr>
              <w:t>号</w:t>
            </w:r>
            <w:r>
              <w:rPr>
                <w:rFonts w:hint="eastAsia" w:ascii="黑体" w:hAnsi="黑体" w:eastAsia="黑体"/>
                <w:color w:val="000000" w:themeColor="text1"/>
                <w:sz w:val="22"/>
                <w:szCs w:val="22"/>
                <w14:textFill>
                  <w14:solidFill>
                    <w14:schemeClr w14:val="tx1"/>
                  </w14:solidFill>
                </w14:textFill>
              </w:rPr>
              <w:t>：</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000" w:type="pct"/>
            <w:gridSpan w:val="5"/>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公司财务状况：（如有）                                  【价格单位：（人民币）元】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  度</w:t>
            </w:r>
          </w:p>
        </w:tc>
        <w:tc>
          <w:tcPr>
            <w:tcW w:w="1391"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总资产（元）</w:t>
            </w:r>
          </w:p>
        </w:tc>
        <w:tc>
          <w:tcPr>
            <w:tcW w:w="1413"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年营业额（元）</w:t>
            </w:r>
          </w:p>
        </w:tc>
        <w:tc>
          <w:tcPr>
            <w:tcW w:w="119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年净利润（元）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6"/>
        <w:numPr>
          <w:ilvl w:val="0"/>
          <w:numId w:val="73"/>
        </w:numPr>
        <w:spacing w:after="156" w:afterLines="5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投标人获得国家有关部门颁发的资质证明</w:t>
      </w:r>
      <w:r>
        <w:rPr>
          <w:rFonts w:hint="eastAsia" w:ascii="黑体" w:hAnsi="黑体" w:eastAsia="黑体"/>
          <w:color w:val="000000" w:themeColor="text1"/>
          <w:sz w:val="22"/>
          <w:szCs w:val="22"/>
          <w14:textFill>
            <w14:solidFill>
              <w14:schemeClr w14:val="tx1"/>
            </w14:solidFill>
          </w14:textFill>
        </w:rPr>
        <w:t>或荣誉</w:t>
      </w:r>
      <w:r>
        <w:rPr>
          <w:rFonts w:ascii="黑体" w:hAnsi="黑体" w:eastAsia="黑体"/>
          <w:color w:val="000000" w:themeColor="text1"/>
          <w:sz w:val="22"/>
          <w:szCs w:val="22"/>
          <w14:textFill>
            <w14:solidFill>
              <w14:schemeClr w14:val="tx1"/>
            </w14:solidFill>
          </w14:textFill>
        </w:rPr>
        <w:t>：</w:t>
      </w:r>
      <w:r>
        <w:rPr>
          <w:rFonts w:hint="eastAsia" w:ascii="黑体" w:hAnsi="黑体" w:eastAsia="黑体"/>
          <w:color w:val="000000" w:themeColor="text1"/>
          <w:sz w:val="22"/>
          <w:szCs w:val="22"/>
          <w14:textFill>
            <w14:solidFill>
              <w14:schemeClr w14:val="tx1"/>
            </w14:solidFill>
          </w14:textFill>
        </w:rPr>
        <w:t>（如有）</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192"/>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证书名称</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发证单位</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证书等级</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r>
    </w:tbl>
    <w:p>
      <w:pPr>
        <w:spacing w:before="156" w:beforeLines="50" w:after="624" w:afterLines="200" w:line="360" w:lineRule="auto"/>
        <w:rPr>
          <w:rFonts w:ascii="黑体" w:hAnsi="黑体" w:eastAsia="黑体" w:cs="Times New Roman"/>
          <w:color w:val="000000" w:themeColor="text1"/>
          <w:sz w:val="22"/>
          <w:szCs w:val="22"/>
          <w14:textFill>
            <w14:solidFill>
              <w14:schemeClr w14:val="tx1"/>
            </w14:solidFill>
          </w14:textFill>
        </w:rPr>
      </w:pPr>
      <w:r>
        <w:rPr>
          <w:rFonts w:hint="eastAsia" w:ascii="黑体" w:hAnsi="黑体" w:eastAsia="黑体" w:cs="Times New Roman"/>
          <w:color w:val="000000" w:themeColor="text1"/>
          <w:sz w:val="22"/>
          <w:szCs w:val="22"/>
          <w14:textFill>
            <w14:solidFill>
              <w14:schemeClr w14:val="tx1"/>
            </w14:solidFill>
          </w14:textFill>
        </w:rPr>
        <w:t>兹证明上述声明是真实、正确的，并提供了全部能提供的资料和数据，我方同意遵照贵方要求出示有关证明文件。</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8"/>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hint="eastAsia" w:ascii="黑体" w:hAnsi="黑体" w:eastAsia="黑体"/>
                <w:color w:val="000000" w:themeColor="text1"/>
                <w:sz w:val="22"/>
                <w:szCs w:val="22"/>
                <w:u w:val="single"/>
                <w14:textFill>
                  <w14:solidFill>
                    <w14:schemeClr w14:val="tx1"/>
                  </w14:solidFill>
                </w14:textFill>
              </w:rPr>
              <w:t xml:space="preserve">             年           月            日</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58" w:name="_Toc6356"/>
      <w:bookmarkStart w:id="159" w:name="_Toc16922"/>
      <w:bookmarkStart w:id="160" w:name="_Toc391627765"/>
      <w:bookmarkStart w:id="161" w:name="_Toc405313968"/>
      <w:r>
        <w:rPr>
          <w:rStyle w:val="38"/>
          <w:rFonts w:hint="eastAsia" w:ascii="黑体" w:hAnsi="黑体" w:eastAsia="黑体" w:cs="Times New Roman"/>
          <w:b/>
          <w:bCs/>
          <w:color w:val="000000" w:themeColor="text1"/>
          <w:spacing w:val="12"/>
          <w:sz w:val="22"/>
          <w:szCs w:val="22"/>
          <w:lang w:val="en-US" w:eastAsia="zh-CN"/>
          <w14:textFill>
            <w14:solidFill>
              <w14:schemeClr w14:val="tx1"/>
            </w14:solidFill>
          </w14:textFill>
        </w:rPr>
        <w:t>同类</w:t>
      </w:r>
      <w:r>
        <w:rPr>
          <w:rStyle w:val="38"/>
          <w:rFonts w:ascii="黑体" w:hAnsi="黑体" w:eastAsia="黑体"/>
          <w:b/>
          <w:bCs/>
          <w:color w:val="000000" w:themeColor="text1"/>
          <w:spacing w:val="12"/>
          <w:sz w:val="22"/>
          <w:szCs w:val="22"/>
          <w14:textFill>
            <w14:solidFill>
              <w14:schemeClr w14:val="tx1"/>
            </w14:solidFill>
          </w14:textFill>
        </w:rPr>
        <w:t>业绩</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一览</w:t>
      </w:r>
      <w:r>
        <w:rPr>
          <w:rStyle w:val="38"/>
          <w:rFonts w:ascii="黑体" w:hAnsi="黑体" w:eastAsia="黑体"/>
          <w:b/>
          <w:bCs/>
          <w:color w:val="000000" w:themeColor="text1"/>
          <w:spacing w:val="12"/>
          <w:sz w:val="22"/>
          <w:szCs w:val="22"/>
          <w14:textFill>
            <w14:solidFill>
              <w14:schemeClr w14:val="tx1"/>
            </w14:solidFill>
          </w14:textFill>
        </w:rPr>
        <w:t>表</w:t>
      </w:r>
      <w:bookmarkEnd w:id="158"/>
      <w:bookmarkEnd w:id="159"/>
      <w:bookmarkEnd w:id="160"/>
      <w:bookmarkEnd w:id="161"/>
    </w:p>
    <w:p>
      <w:pPr>
        <w:spacing w:before="312" w:beforeLines="100" w:after="468" w:afterLines="1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lang w:val="en-US" w:eastAsia="zh-CN"/>
          <w14:textFill>
            <w14:solidFill>
              <w14:schemeClr w14:val="tx1"/>
            </w14:solidFill>
          </w14:textFill>
        </w:rPr>
        <w:t>同类</w:t>
      </w:r>
      <w:r>
        <w:rPr>
          <w:rFonts w:hint="eastAsia" w:ascii="黑体" w:hAnsi="黑体" w:eastAsia="黑体"/>
          <w:b/>
          <w:color w:val="000000" w:themeColor="text1"/>
          <w:spacing w:val="20"/>
          <w:sz w:val="32"/>
          <w:szCs w:val="32"/>
          <w14:textFill>
            <w14:solidFill>
              <w14:schemeClr w14:val="tx1"/>
            </w14:solidFill>
          </w14:textFill>
        </w:rPr>
        <w:t>业绩</w:t>
      </w:r>
      <w:r>
        <w:rPr>
          <w:rFonts w:hint="eastAsia" w:ascii="黑体" w:hAnsi="黑体" w:eastAsia="黑体"/>
          <w:b/>
          <w:color w:val="000000" w:themeColor="text1"/>
          <w:spacing w:val="20"/>
          <w:sz w:val="32"/>
          <w:szCs w:val="32"/>
          <w:lang w:val="en-US" w:eastAsia="zh-CN"/>
          <w14:textFill>
            <w14:solidFill>
              <w14:schemeClr w14:val="tx1"/>
            </w14:solidFill>
          </w14:textFill>
        </w:rPr>
        <w:t>一览</w:t>
      </w:r>
      <w:r>
        <w:rPr>
          <w:rFonts w:hint="eastAsia" w:ascii="黑体" w:hAnsi="黑体" w:eastAsia="黑体"/>
          <w:b/>
          <w:color w:val="000000" w:themeColor="text1"/>
          <w:spacing w:val="20"/>
          <w:sz w:val="32"/>
          <w:szCs w:val="32"/>
          <w14:textFill>
            <w14:solidFill>
              <w14:schemeClr w14:val="tx1"/>
            </w14:solidFill>
          </w14:textFill>
        </w:rPr>
        <w:t>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362"/>
        <w:gridCol w:w="1606"/>
        <w:gridCol w:w="1601"/>
        <w:gridCol w:w="145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8"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ascii="黑体" w:hAnsi="黑体" w:eastAsia="黑体"/>
                <w:b/>
                <w:bCs/>
                <w:color w:val="000000" w:themeColor="text1"/>
                <w:sz w:val="22"/>
                <w:szCs w:val="22"/>
                <w14:textFill>
                  <w14:solidFill>
                    <w14:schemeClr w14:val="tx1"/>
                  </w14:solidFill>
                </w14:textFill>
              </w:rPr>
              <w:t>序号</w:t>
            </w:r>
          </w:p>
        </w:tc>
        <w:tc>
          <w:tcPr>
            <w:tcW w:w="1347"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项目名称</w:t>
            </w:r>
          </w:p>
        </w:tc>
        <w:tc>
          <w:tcPr>
            <w:tcW w:w="916"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合同金额</w:t>
            </w:r>
          </w:p>
        </w:tc>
        <w:tc>
          <w:tcPr>
            <w:tcW w:w="913"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签约时间</w:t>
            </w:r>
          </w:p>
        </w:tc>
        <w:tc>
          <w:tcPr>
            <w:tcW w:w="830"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完成情况</w:t>
            </w:r>
          </w:p>
        </w:tc>
        <w:tc>
          <w:tcPr>
            <w:tcW w:w="615"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62" w:name="_Toc17419"/>
      <w:bookmarkStart w:id="163" w:name="_Toc28816"/>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拟派</w:t>
      </w:r>
      <w:r>
        <w:rPr>
          <w:rStyle w:val="38"/>
          <w:rFonts w:hint="eastAsia" w:ascii="黑体" w:hAnsi="黑体" w:eastAsia="黑体" w:cs="Times New Roman"/>
          <w:b/>
          <w:bCs/>
          <w:color w:val="000000" w:themeColor="text1"/>
          <w:spacing w:val="12"/>
          <w:sz w:val="22"/>
          <w:szCs w:val="22"/>
          <w:lang w:val="en-US" w:eastAsia="zh-CN"/>
          <w14:textFill>
            <w14:solidFill>
              <w14:schemeClr w14:val="tx1"/>
            </w14:solidFill>
          </w14:textFill>
        </w:rPr>
        <w:t>人员</w:t>
      </w:r>
      <w:r>
        <w:rPr>
          <w:rStyle w:val="38"/>
          <w:rFonts w:hint="eastAsia" w:ascii="黑体" w:hAnsi="黑体" w:eastAsia="黑体"/>
          <w:b/>
          <w:bCs/>
          <w:color w:val="000000" w:themeColor="text1"/>
          <w:spacing w:val="12"/>
          <w:sz w:val="22"/>
          <w:szCs w:val="22"/>
          <w14:textFill>
            <w14:solidFill>
              <w14:schemeClr w14:val="tx1"/>
            </w14:solidFill>
          </w14:textFill>
        </w:rPr>
        <w:t>情况</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一览表</w:t>
      </w:r>
      <w:bookmarkEnd w:id="162"/>
      <w:bookmarkEnd w:id="163"/>
    </w:p>
    <w:p>
      <w:pPr>
        <w:spacing w:before="624" w:beforeLines="200" w:after="312" w:afterLines="10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拟派人员情况一览表</w:t>
      </w:r>
    </w:p>
    <w:tbl>
      <w:tblPr>
        <w:tblStyle w:val="35"/>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45"/>
        <w:gridCol w:w="1296"/>
        <w:gridCol w:w="1895"/>
        <w:gridCol w:w="1455"/>
        <w:gridCol w:w="10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653"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姓名</w:t>
            </w:r>
          </w:p>
        </w:tc>
        <w:tc>
          <w:tcPr>
            <w:tcW w:w="739"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职位</w:t>
            </w:r>
          </w:p>
        </w:tc>
        <w:tc>
          <w:tcPr>
            <w:tcW w:w="1081"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持何种资格证件</w:t>
            </w:r>
          </w:p>
        </w:tc>
        <w:tc>
          <w:tcPr>
            <w:tcW w:w="830"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发证时间</w:t>
            </w:r>
          </w:p>
        </w:tc>
        <w:tc>
          <w:tcPr>
            <w:tcW w:w="582"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学历</w:t>
            </w:r>
          </w:p>
        </w:tc>
        <w:tc>
          <w:tcPr>
            <w:tcW w:w="699"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bl>
    <w:p>
      <w:pPr>
        <w:pStyle w:val="2"/>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p>
    <w:p>
      <w:pPr>
        <w:pStyle w:val="2"/>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64" w:name="_Toc405313975"/>
      <w:bookmarkStart w:id="165" w:name="_Toc391627771"/>
      <w:bookmarkStart w:id="166" w:name="_Toc13679"/>
      <w:bookmarkStart w:id="167" w:name="_Toc32761"/>
      <w:r>
        <w:rPr>
          <w:rStyle w:val="38"/>
          <w:rFonts w:hint="eastAsia" w:ascii="黑体" w:hAnsi="黑体" w:eastAsia="黑体"/>
          <w:b/>
          <w:bCs/>
          <w:color w:val="000000" w:themeColor="text1"/>
          <w:spacing w:val="12"/>
          <w:sz w:val="22"/>
          <w:szCs w:val="22"/>
          <w14:textFill>
            <w14:solidFill>
              <w14:schemeClr w14:val="tx1"/>
            </w14:solidFill>
          </w14:textFill>
        </w:rPr>
        <w:t>项目</w:t>
      </w:r>
      <w:r>
        <w:rPr>
          <w:rStyle w:val="38"/>
          <w:rFonts w:hint="eastAsia" w:ascii="黑体" w:hAnsi="黑体" w:eastAsia="黑体" w:cs="Times New Roman"/>
          <w:b/>
          <w:bCs/>
          <w:color w:val="000000" w:themeColor="text1"/>
          <w:spacing w:val="12"/>
          <w:sz w:val="22"/>
          <w:szCs w:val="22"/>
          <w14:textFill>
            <w14:solidFill>
              <w14:schemeClr w14:val="tx1"/>
            </w14:solidFill>
          </w14:textFill>
        </w:rPr>
        <w:t>负责人</w:t>
      </w:r>
      <w:r>
        <w:rPr>
          <w:rStyle w:val="38"/>
          <w:rFonts w:hint="eastAsia" w:ascii="黑体" w:hAnsi="黑体" w:eastAsia="黑体"/>
          <w:b/>
          <w:bCs/>
          <w:color w:val="000000" w:themeColor="text1"/>
          <w:spacing w:val="12"/>
          <w:sz w:val="22"/>
          <w:szCs w:val="22"/>
          <w14:textFill>
            <w14:solidFill>
              <w14:schemeClr w14:val="tx1"/>
            </w14:solidFill>
          </w14:textFill>
        </w:rPr>
        <w:t>简历表</w:t>
      </w:r>
      <w:bookmarkEnd w:id="164"/>
      <w:bookmarkEnd w:id="165"/>
      <w:bookmarkEnd w:id="166"/>
      <w:bookmarkEnd w:id="167"/>
    </w:p>
    <w:p>
      <w:pPr>
        <w:spacing w:before="624" w:beforeLines="200" w:after="312" w:afterLines="10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项目负责人简历表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46"/>
        <w:gridCol w:w="1361"/>
        <w:gridCol w:w="326"/>
        <w:gridCol w:w="184"/>
        <w:gridCol w:w="842"/>
        <w:gridCol w:w="544"/>
        <w:gridCol w:w="14"/>
        <w:gridCol w:w="1129"/>
        <w:gridCol w:w="435"/>
        <w:gridCol w:w="647"/>
        <w:gridCol w:w="409"/>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姓名</w:t>
            </w:r>
          </w:p>
        </w:tc>
        <w:tc>
          <w:tcPr>
            <w:tcW w:w="149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480"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性别</w:t>
            </w:r>
          </w:p>
        </w:tc>
        <w:tc>
          <w:tcPr>
            <w:tcW w:w="962"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c>
          <w:tcPr>
            <w:tcW w:w="617"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年龄</w:t>
            </w:r>
          </w:p>
        </w:tc>
        <w:tc>
          <w:tcPr>
            <w:tcW w:w="1030"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p>
        </w:tc>
        <w:tc>
          <w:tcPr>
            <w:tcW w:w="149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480"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职称</w:t>
            </w:r>
          </w:p>
        </w:tc>
        <w:tc>
          <w:tcPr>
            <w:tcW w:w="962"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c>
          <w:tcPr>
            <w:tcW w:w="617"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学历</w:t>
            </w:r>
          </w:p>
        </w:tc>
        <w:tc>
          <w:tcPr>
            <w:tcW w:w="1030"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参加工作时间</w:t>
            </w:r>
          </w:p>
        </w:tc>
        <w:tc>
          <w:tcPr>
            <w:tcW w:w="1081"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1502" w:type="pct"/>
            <w:gridSpan w:val="5"/>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相关经验年限</w:t>
            </w:r>
          </w:p>
        </w:tc>
        <w:tc>
          <w:tcPr>
            <w:tcW w:w="796" w:type="pct"/>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资格证书名称、编号</w:t>
            </w:r>
          </w:p>
        </w:tc>
        <w:tc>
          <w:tcPr>
            <w:tcW w:w="3379" w:type="pct"/>
            <w:gridSpan w:val="10"/>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采购人</w:t>
            </w: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项目名称</w:t>
            </w: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项目规模</w:t>
            </w: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所任职务</w:t>
            </w: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bl>
    <w:p>
      <w:pPr>
        <w:pStyle w:val="2"/>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25"/>
        <w:gridCol w:w="2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703"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825"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703"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68" w:name="_Toc8076"/>
      <w:bookmarkStart w:id="169" w:name="_Toc26903"/>
      <w:bookmarkStart w:id="170" w:name="_Hlk82386912"/>
      <w:bookmarkStart w:id="171" w:name="_Toc494567328"/>
      <w:bookmarkStart w:id="172" w:name="_Toc405313974"/>
      <w:bookmarkStart w:id="173" w:name="_Toc391627770"/>
      <w:r>
        <w:rPr>
          <w:rStyle w:val="38"/>
          <w:rFonts w:hint="eastAsia" w:ascii="黑体" w:hAnsi="黑体" w:eastAsia="黑体" w:cs="Times New Roman"/>
          <w:b/>
          <w:bCs/>
          <w:color w:val="000000" w:themeColor="text1"/>
          <w:spacing w:val="12"/>
          <w:sz w:val="22"/>
          <w:szCs w:val="22"/>
          <w14:textFill>
            <w14:solidFill>
              <w14:schemeClr w14:val="tx1"/>
            </w14:solidFill>
          </w14:textFill>
        </w:rPr>
        <w:t>合同</w:t>
      </w:r>
      <w:r>
        <w:rPr>
          <w:rStyle w:val="38"/>
          <w:rFonts w:hint="eastAsia" w:ascii="黑体" w:hAnsi="黑体" w:eastAsia="黑体"/>
          <w:b/>
          <w:bCs/>
          <w:color w:val="000000" w:themeColor="text1"/>
          <w:spacing w:val="12"/>
          <w:sz w:val="22"/>
          <w:szCs w:val="22"/>
          <w14:textFill>
            <w14:solidFill>
              <w14:schemeClr w14:val="tx1"/>
            </w14:solidFill>
          </w14:textFill>
        </w:rPr>
        <w:t>条款响应表</w:t>
      </w:r>
      <w:bookmarkEnd w:id="168"/>
      <w:bookmarkEnd w:id="169"/>
    </w:p>
    <w:p>
      <w:pPr>
        <w:spacing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合同条款响应表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300"/>
        <w:gridCol w:w="2185"/>
        <w:gridCol w:w="1308"/>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18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合同条款序号</w:t>
            </w:r>
          </w:p>
        </w:tc>
        <w:tc>
          <w:tcPr>
            <w:tcW w:w="12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条款内容</w:t>
            </w:r>
          </w:p>
        </w:tc>
        <w:tc>
          <w:tcPr>
            <w:tcW w:w="7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是否响应</w:t>
            </w:r>
          </w:p>
        </w:tc>
        <w:tc>
          <w:tcPr>
            <w:tcW w:w="6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  4</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2"/>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2"/>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2"/>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2"/>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5</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i/>
                <w:iCs/>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6</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7</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8</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9</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10</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11</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12</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lang w:val="en-GB"/>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lang w:val="en-GB"/>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13</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14</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w:t>
            </w:r>
          </w:p>
        </w:tc>
        <w:tc>
          <w:tcPr>
            <w:tcW w:w="1882" w:type="pct"/>
            <w:tcBorders>
              <w:top w:val="single" w:color="auto" w:sz="4" w:space="0"/>
              <w:left w:val="single" w:color="auto" w:sz="4" w:space="0"/>
              <w:bottom w:val="single" w:color="auto" w:sz="4" w:space="0"/>
              <w:right w:val="single" w:color="auto" w:sz="4" w:space="0"/>
            </w:tcBorders>
            <w:vAlign w:val="center"/>
          </w:tcPr>
          <w:p>
            <w:pPr>
              <w:pStyle w:val="26"/>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注：1、请</w:t>
      </w:r>
      <w:r>
        <w:rPr>
          <w:rFonts w:hint="eastAsia" w:ascii="黑体" w:hAnsi="黑体" w:eastAsia="黑体"/>
          <w:color w:val="000000" w:themeColor="text1"/>
          <w:sz w:val="22"/>
          <w:szCs w:val="22"/>
          <w:lang w:val="en-US" w:eastAsia="zh-CN"/>
          <w14:textFill>
            <w14:solidFill>
              <w14:schemeClr w14:val="tx1"/>
            </w14:solidFill>
          </w14:textFill>
        </w:rPr>
        <w:t>按照招标文件合同条款</w:t>
      </w:r>
      <w:r>
        <w:rPr>
          <w:rFonts w:hint="eastAsia" w:ascii="黑体" w:hAnsi="黑体" w:eastAsia="黑体"/>
          <w:color w:val="000000" w:themeColor="text1"/>
          <w:sz w:val="22"/>
          <w:szCs w:val="22"/>
          <w14:textFill>
            <w14:solidFill>
              <w14:schemeClr w14:val="tx1"/>
            </w14:solidFill>
          </w14:textFill>
        </w:rPr>
        <w:t>逐条列明合同条款响应情况；</w:t>
      </w:r>
    </w:p>
    <w:p>
      <w:pPr>
        <w:spacing w:line="360" w:lineRule="auto"/>
        <w:ind w:firstLine="444" w:firstLineChars="202"/>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2、“是否响应”一栏</w:t>
      </w:r>
      <w:r>
        <w:rPr>
          <w:rFonts w:hint="eastAsia" w:ascii="黑体" w:hAnsi="黑体" w:eastAsia="黑体"/>
          <w:color w:val="000000" w:themeColor="text1"/>
          <w:sz w:val="22"/>
          <w:szCs w:val="22"/>
          <w:lang w:val="en-US" w:eastAsia="zh-CN"/>
          <w14:textFill>
            <w14:solidFill>
              <w14:schemeClr w14:val="tx1"/>
            </w14:solidFill>
          </w14:textFill>
        </w:rPr>
        <w:t>应按实</w:t>
      </w:r>
      <w:r>
        <w:rPr>
          <w:rFonts w:hint="eastAsia" w:ascii="黑体" w:hAnsi="黑体" w:eastAsia="黑体"/>
          <w:color w:val="000000" w:themeColor="text1"/>
          <w:sz w:val="22"/>
          <w:szCs w:val="22"/>
          <w14:textFill>
            <w14:solidFill>
              <w14:schemeClr w14:val="tx1"/>
            </w14:solidFill>
          </w14:textFill>
        </w:rPr>
        <w:t>填写，不填写则视为</w:t>
      </w:r>
      <w:r>
        <w:rPr>
          <w:rFonts w:hint="eastAsia" w:ascii="黑体" w:hAnsi="黑体" w:eastAsia="黑体"/>
          <w:color w:val="000000" w:themeColor="text1"/>
          <w:sz w:val="22"/>
          <w:szCs w:val="22"/>
          <w:lang w:val="en-US" w:eastAsia="zh-CN"/>
          <w14:textFill>
            <w14:solidFill>
              <w14:schemeClr w14:val="tx1"/>
            </w14:solidFill>
          </w14:textFill>
        </w:rPr>
        <w:t>无偏离</w:t>
      </w:r>
      <w:r>
        <w:rPr>
          <w:rFonts w:hint="eastAsia" w:ascii="黑体" w:hAnsi="黑体" w:eastAsia="黑体"/>
          <w:color w:val="000000" w:themeColor="text1"/>
          <w:sz w:val="22"/>
          <w:szCs w:val="22"/>
          <w14:textFill>
            <w14:solidFill>
              <w14:schemeClr w14:val="tx1"/>
            </w14:solidFill>
          </w14:textFill>
        </w:rPr>
        <w:t>响应。</w:t>
      </w:r>
    </w:p>
    <w:p>
      <w:pPr>
        <w:spacing w:line="360" w:lineRule="auto"/>
        <w:ind w:firstLine="444" w:firstLineChars="202"/>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3、请在“偏离说明”栏内扼要说明偏离情况。</w:t>
      </w:r>
    </w:p>
    <w:p>
      <w:pPr>
        <w:spacing w:line="360" w:lineRule="auto"/>
        <w:ind w:firstLine="444" w:firstLineChars="202"/>
        <w:rPr>
          <w:rFonts w:ascii="黑体" w:hAnsi="黑体" w:eastAsia="黑体"/>
          <w:color w:val="000000" w:themeColor="text1"/>
          <w:sz w:val="22"/>
          <w:szCs w:val="22"/>
          <w:lang w:val="en-GB"/>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4、投标人响应合同条款应具体、明确，含糊不清、不确切或伪造、变造证明材料的，按照不完全响应或者完全不响应处理。构成提供虚假材料的，移送监管部门查处，并纳入采购人黑名单，不准参与采购人及下属单位项目。</w:t>
      </w: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keepNext/>
        <w:keepLines/>
        <w:pageBreakBefore w:val="0"/>
        <w:widowControl w:val="0"/>
        <w:kinsoku/>
        <w:wordWrap/>
        <w:overflowPunct/>
        <w:topLinePunct w:val="0"/>
        <w:autoSpaceDE/>
        <w:autoSpaceDN/>
        <w:bidi w:val="0"/>
        <w:adjustRightInd/>
        <w:snapToGrid/>
        <w:spacing w:line="377" w:lineRule="auto"/>
        <w:textAlignment w:val="auto"/>
        <w:outlineLvl w:val="9"/>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br w:type="page"/>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请填写供应商（乙方）签订合同所需信息，</w:t>
      </w:r>
      <w:r>
        <w:rPr>
          <w:rFonts w:hint="eastAsia" w:ascii="黑体" w:hAnsi="黑体" w:eastAsia="黑体"/>
          <w:b/>
          <w:color w:val="000000" w:themeColor="text1"/>
          <w:sz w:val="22"/>
          <w:szCs w:val="22"/>
          <w14:textFill>
            <w14:solidFill>
              <w14:schemeClr w14:val="tx1"/>
            </w14:solidFill>
          </w14:textFill>
        </w:rPr>
        <w:t>此表非常重要，请认真填写</w:t>
      </w:r>
      <w:r>
        <w:rPr>
          <w:rFonts w:hint="eastAsia" w:ascii="黑体" w:hAnsi="黑体" w:eastAsia="黑体"/>
          <w:color w:val="000000" w:themeColor="text1"/>
          <w:sz w:val="22"/>
          <w:szCs w:val="22"/>
          <w14:textFill>
            <w14:solidFill>
              <w14:schemeClr w14:val="tx1"/>
            </w14:solidFill>
          </w14:textFill>
        </w:rPr>
        <w:t>。</w:t>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p>
    <w:tbl>
      <w:tblPr>
        <w:tblStyle w:val="35"/>
        <w:tblW w:w="0" w:type="auto"/>
        <w:tblInd w:w="288"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乙方（盖章）：</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乙方代表（签字）：</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地址：</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邮政编码：</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电话：</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传真：</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开户银行：</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开户账号：</w:t>
            </w:r>
          </w:p>
        </w:tc>
      </w:tr>
      <w:tr>
        <w:tblPrEx>
          <w:tblCellMar>
            <w:top w:w="0" w:type="dxa"/>
            <w:left w:w="108" w:type="dxa"/>
            <w:bottom w:w="0" w:type="dxa"/>
            <w:right w:w="108" w:type="dxa"/>
          </w:tblCellMar>
        </w:tblPrEx>
        <w:trPr>
          <w:trHeight w:val="567" w:hRule="atLeast"/>
        </w:trPr>
        <w:tc>
          <w:tcPr>
            <w:tcW w:w="8804" w:type="dxa"/>
            <w:vAlign w:val="center"/>
          </w:tcPr>
          <w:p>
            <w:pPr>
              <w:tabs>
                <w:tab w:val="left" w:pos="1440"/>
              </w:tabs>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20</w:t>
            </w:r>
            <w:r>
              <w:rPr>
                <w:rFonts w:hint="eastAsia" w:ascii="黑体" w:hAnsi="黑体" w:eastAsia="黑体"/>
                <w:color w:val="000000" w:themeColor="text1"/>
                <w:sz w:val="22"/>
                <w:szCs w:val="22"/>
                <w:lang w:val="en-US" w:eastAsia="zh-CN"/>
                <w14:textFill>
                  <w14:solidFill>
                    <w14:schemeClr w14:val="tx1"/>
                  </w14:solidFill>
                </w14:textFill>
              </w:rPr>
              <w:t>23</w:t>
            </w:r>
            <w:r>
              <w:rPr>
                <w:rFonts w:hint="eastAsia" w:ascii="黑体" w:hAnsi="黑体" w:eastAsia="黑体"/>
                <w:color w:val="000000" w:themeColor="text1"/>
                <w:sz w:val="22"/>
                <w:szCs w:val="22"/>
                <w14:textFill>
                  <w14:solidFill>
                    <w14:schemeClr w14:val="tx1"/>
                  </w14:solidFill>
                </w14:textFill>
              </w:rPr>
              <w:t xml:space="preserve">年    月    日　                       </w:t>
            </w:r>
          </w:p>
        </w:tc>
      </w:tr>
    </w:tbl>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bookmarkEnd w:id="170"/>
    <w:p>
      <w:pPr>
        <w:rPr>
          <w:rFonts w:ascii="黑体" w:hAnsi="黑体" w:eastAsia="黑体"/>
          <w:color w:val="000000" w:themeColor="text1"/>
          <w:sz w:val="22"/>
          <w:szCs w:val="24"/>
          <w14:textFill>
            <w14:solidFill>
              <w14:schemeClr w14:val="tx1"/>
            </w14:solidFill>
          </w14:textFill>
        </w:rPr>
      </w:pPr>
    </w:p>
    <w:bookmarkEnd w:id="171"/>
    <w:p>
      <w:pPr>
        <w:spacing w:line="360" w:lineRule="auto"/>
        <w:rPr>
          <w:rFonts w:ascii="黑体" w:hAnsi="黑体" w:eastAsia="黑体"/>
          <w:color w:val="000000" w:themeColor="text1"/>
          <w:sz w:val="22"/>
          <w:szCs w:val="22"/>
          <w14:textFill>
            <w14:solidFill>
              <w14:schemeClr w14:val="tx1"/>
            </w14:solidFill>
          </w14:textFill>
        </w:rPr>
      </w:pPr>
    </w:p>
    <w:bookmarkEnd w:id="172"/>
    <w:bookmarkEnd w:id="173"/>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74" w:name="_Toc5666"/>
      <w:bookmarkStart w:id="175" w:name="_Toc31375"/>
      <w:r>
        <w:rPr>
          <w:rStyle w:val="38"/>
          <w:rFonts w:hint="eastAsia" w:ascii="黑体" w:hAnsi="黑体" w:eastAsia="黑体" w:cs="Times New Roman"/>
          <w:b/>
          <w:bCs/>
          <w:color w:val="000000" w:themeColor="text1"/>
          <w:spacing w:val="12"/>
          <w:sz w:val="22"/>
          <w:szCs w:val="22"/>
          <w14:textFill>
            <w14:solidFill>
              <w14:schemeClr w14:val="tx1"/>
            </w14:solidFill>
          </w14:textFill>
        </w:rPr>
        <w:t>技术</w:t>
      </w:r>
      <w:r>
        <w:rPr>
          <w:rFonts w:hint="eastAsia" w:ascii="黑体" w:hAnsi="黑体" w:eastAsia="黑体" w:cs="黑体"/>
          <w:sz w:val="22"/>
          <w:szCs w:val="24"/>
        </w:rPr>
        <w:t>和服务要求响应表</w:t>
      </w:r>
      <w:bookmarkEnd w:id="174"/>
      <w:bookmarkEnd w:id="175"/>
    </w:p>
    <w:p>
      <w:pPr>
        <w:spacing w:before="624" w:beforeLines="200" w:after="468" w:afterLines="1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技术和服务要求响应表</w:t>
      </w:r>
    </w:p>
    <w:tbl>
      <w:tblPr>
        <w:tblStyle w:val="3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0"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2352"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招标文件要求</w:t>
            </w:r>
          </w:p>
        </w:tc>
        <w:tc>
          <w:tcPr>
            <w:tcW w:w="2126"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投标文件响应内容</w:t>
            </w:r>
          </w:p>
        </w:tc>
        <w:tc>
          <w:tcPr>
            <w:tcW w:w="1644" w:type="dxa"/>
            <w:vAlign w:val="center"/>
          </w:tcPr>
          <w:p>
            <w:pPr>
              <w:ind w:left="293" w:hanging="307" w:hangingChars="139"/>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偏离情况</w:t>
            </w:r>
          </w:p>
        </w:tc>
        <w:tc>
          <w:tcPr>
            <w:tcW w:w="1575"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p>
    <w:p>
      <w:pPr>
        <w:pStyle w:val="46"/>
        <w:numPr>
          <w:ilvl w:val="0"/>
          <w:numId w:val="74"/>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偏离情况项填写“正”、“负”或“无”，说明项中填写原因。</w:t>
      </w:r>
    </w:p>
    <w:p>
      <w:pPr>
        <w:pStyle w:val="46"/>
        <w:numPr>
          <w:ilvl w:val="0"/>
          <w:numId w:val="74"/>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偏离情况项应按实填写，不填写则视为无偏离响应。</w:t>
      </w:r>
    </w:p>
    <w:p>
      <w:pPr>
        <w:pStyle w:val="46"/>
        <w:numPr>
          <w:ilvl w:val="0"/>
          <w:numId w:val="74"/>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投标人应按照招标文件要求，根据“采购需求</w:t>
      </w:r>
      <w:r>
        <w:rPr>
          <w:rFonts w:hint="eastAsia" w:ascii="黑体" w:hAnsi="黑体" w:eastAsia="黑体"/>
          <w:color w:val="000000" w:themeColor="text1"/>
          <w:sz w:val="22"/>
          <w:szCs w:val="22"/>
          <w:lang w:val="en-US" w:eastAsia="zh-CN"/>
          <w14:textFill>
            <w14:solidFill>
              <w14:schemeClr w14:val="tx1"/>
            </w14:solidFill>
          </w14:textFill>
        </w:rPr>
        <w:t>书</w:t>
      </w:r>
      <w:r>
        <w:rPr>
          <w:rFonts w:hint="eastAsia" w:ascii="黑体" w:hAnsi="黑体" w:eastAsia="黑体"/>
          <w:color w:val="000000" w:themeColor="text1"/>
          <w:sz w:val="22"/>
          <w:szCs w:val="22"/>
          <w14:textFill>
            <w14:solidFill>
              <w14:schemeClr w14:val="tx1"/>
            </w14:solidFill>
          </w14:textFill>
        </w:rPr>
        <w:t>”内容作出全面响应。对响应有偏离的，则说明偏离的内容。</w:t>
      </w:r>
      <w:r>
        <w:rPr>
          <w:rFonts w:hint="eastAsia" w:ascii="黑体" w:hAnsi="黑体" w:eastAsia="黑体" w:cs="Times New Roman"/>
          <w:color w:val="000000" w:themeColor="text1"/>
          <w:sz w:val="22"/>
          <w:szCs w:val="22"/>
          <w14:textFill>
            <w14:solidFill>
              <w14:schemeClr w14:val="tx1"/>
            </w14:solidFill>
          </w14:textFill>
        </w:rPr>
        <w:t>“采购需求”内容中若有要求提供相关证明资料的，须按要求提供，否则视为负偏离</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75"/>
        <w:gridCol w:w="2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5"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753"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5"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753"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rPr>
          <w:rStyle w:val="38"/>
          <w:rFonts w:ascii="黑体" w:hAnsi="黑体" w:eastAsia="黑体"/>
          <w:b/>
          <w:bCs/>
          <w:color w:val="000000" w:themeColor="text1"/>
          <w:spacing w:val="12"/>
          <w:sz w:val="22"/>
          <w:szCs w:val="22"/>
          <w14:textFill>
            <w14:solidFill>
              <w14:schemeClr w14:val="tx1"/>
            </w14:solidFill>
          </w14:textFill>
        </w:rPr>
      </w:pPr>
      <w:bookmarkStart w:id="176" w:name="_Toc82388833"/>
      <w:r>
        <w:rPr>
          <w:rStyle w:val="38"/>
          <w:rFonts w:hint="eastAsia" w:ascii="黑体" w:hAnsi="黑体" w:eastAsia="黑体" w:cs="Times New Roman"/>
          <w:b/>
          <w:bCs/>
          <w:color w:val="000000" w:themeColor="text1"/>
          <w:spacing w:val="12"/>
          <w:sz w:val="22"/>
          <w:szCs w:val="22"/>
          <w:lang w:val="en-US" w:eastAsia="zh-CN"/>
          <w14:textFill>
            <w14:solidFill>
              <w14:schemeClr w14:val="tx1"/>
            </w14:solidFill>
          </w14:textFill>
        </w:rPr>
        <w:br w:type="page"/>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77" w:name="_Toc2688"/>
      <w:bookmarkStart w:id="178" w:name="_Toc24807"/>
      <w:r>
        <w:rPr>
          <w:rStyle w:val="38"/>
          <w:rFonts w:ascii="黑体" w:hAnsi="黑体" w:eastAsia="黑体"/>
          <w:b/>
          <w:bCs/>
          <w:color w:val="000000" w:themeColor="text1"/>
          <w:spacing w:val="12"/>
          <w:sz w:val="22"/>
          <w:szCs w:val="22"/>
          <w14:textFill>
            <w14:solidFill>
              <w14:schemeClr w14:val="tx1"/>
            </w14:solidFill>
          </w14:textFill>
        </w:rPr>
        <w:t>拟投入本项目设备/</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物料情况一览表</w:t>
      </w:r>
      <w:bookmarkEnd w:id="177"/>
      <w:bookmarkEnd w:id="178"/>
    </w:p>
    <w:p>
      <w:pPr>
        <w:rPr>
          <w:rStyle w:val="38"/>
          <w:rFonts w:hint="eastAsia" w:ascii="黑体" w:hAnsi="黑体" w:eastAsia="黑体"/>
          <w:b/>
          <w:bCs/>
          <w:color w:val="000000" w:themeColor="text1"/>
          <w:spacing w:val="12"/>
          <w:sz w:val="22"/>
          <w:szCs w:val="22"/>
          <w:lang w:val="en-US" w:eastAsia="zh-CN"/>
          <w14:textFill>
            <w14:solidFill>
              <w14:schemeClr w14:val="tx1"/>
            </w14:solidFill>
          </w14:textFill>
        </w:rPr>
      </w:pPr>
    </w:p>
    <w:p>
      <w:pPr>
        <w:pStyle w:val="34"/>
        <w:jc w:val="center"/>
        <w:rPr>
          <w:rFonts w:hint="eastAsia"/>
        </w:rPr>
      </w:pPr>
      <w:r>
        <w:rPr>
          <w:rFonts w:hint="eastAsia"/>
        </w:rPr>
        <w:t>拟投入本项目设备/物料情况一览表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421"/>
        <w:gridCol w:w="1753"/>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pStyle w:val="3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421" w:type="dxa"/>
          </w:tcPr>
          <w:p>
            <w:pPr>
              <w:pStyle w:val="3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设备/物料名称</w:t>
            </w:r>
          </w:p>
        </w:tc>
        <w:tc>
          <w:tcPr>
            <w:tcW w:w="1753" w:type="dxa"/>
          </w:tcPr>
          <w:p>
            <w:pPr>
              <w:pStyle w:val="3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功能说明</w:t>
            </w:r>
          </w:p>
        </w:tc>
        <w:tc>
          <w:tcPr>
            <w:tcW w:w="1753" w:type="dxa"/>
          </w:tcPr>
          <w:p>
            <w:pPr>
              <w:pStyle w:val="3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购置时间</w:t>
            </w:r>
          </w:p>
        </w:tc>
        <w:tc>
          <w:tcPr>
            <w:tcW w:w="1753" w:type="dxa"/>
          </w:tcPr>
          <w:p>
            <w:pPr>
              <w:pStyle w:val="3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pStyle w:val="34"/>
              <w:jc w:val="center"/>
              <w:rPr>
                <w:rFonts w:hint="eastAsia"/>
                <w:vertAlign w:val="baseline"/>
              </w:rPr>
            </w:pPr>
          </w:p>
        </w:tc>
        <w:tc>
          <w:tcPr>
            <w:tcW w:w="2421"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pStyle w:val="34"/>
              <w:jc w:val="center"/>
              <w:rPr>
                <w:rFonts w:hint="eastAsia"/>
                <w:vertAlign w:val="baseline"/>
              </w:rPr>
            </w:pPr>
          </w:p>
        </w:tc>
        <w:tc>
          <w:tcPr>
            <w:tcW w:w="2421"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pStyle w:val="34"/>
              <w:jc w:val="center"/>
              <w:rPr>
                <w:rFonts w:hint="eastAsia"/>
                <w:vertAlign w:val="baseline"/>
              </w:rPr>
            </w:pPr>
          </w:p>
        </w:tc>
        <w:tc>
          <w:tcPr>
            <w:tcW w:w="2421"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pStyle w:val="34"/>
              <w:jc w:val="center"/>
              <w:rPr>
                <w:rFonts w:hint="eastAsia"/>
                <w:vertAlign w:val="baseline"/>
              </w:rPr>
            </w:pPr>
          </w:p>
        </w:tc>
        <w:tc>
          <w:tcPr>
            <w:tcW w:w="2421"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c>
          <w:tcPr>
            <w:tcW w:w="1753" w:type="dxa"/>
          </w:tcPr>
          <w:p>
            <w:pPr>
              <w:pStyle w:val="34"/>
              <w:jc w:val="center"/>
              <w:rPr>
                <w:rFonts w:hint="eastAsia"/>
                <w:vertAlign w:val="baseline"/>
              </w:rPr>
            </w:pPr>
          </w:p>
        </w:tc>
      </w:tr>
    </w:tbl>
    <w:p>
      <w:pPr>
        <w:pStyle w:val="34"/>
        <w:jc w:val="center"/>
        <w:rPr>
          <w:rFonts w:hint="eastAsia"/>
        </w:rPr>
      </w:pPr>
    </w:p>
    <w:p>
      <w:pPr>
        <w:pStyle w:val="2"/>
        <w:overflowPunct w:val="0"/>
        <w:spacing w:before="156" w:beforeLines="50" w:after="0" w:line="360" w:lineRule="auto"/>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后附相关资料（设备/物料照片、购置发票、产品说明书、投入方案等）。根据评审要求</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lang w:val="en-US" w:eastAsia="zh-CN"/>
          <w14:textFill>
            <w14:solidFill>
              <w14:schemeClr w14:val="tx1"/>
            </w14:solidFill>
          </w14:textFill>
        </w:rPr>
        <w:t>自拟提供。</w:t>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79" w:name="_Toc15722"/>
      <w:bookmarkStart w:id="180" w:name="_Toc23765"/>
      <w:r>
        <w:rPr>
          <w:rStyle w:val="38"/>
          <w:rFonts w:hint="eastAsia" w:ascii="黑体" w:hAnsi="黑体" w:eastAsia="黑体" w:cs="Times New Roman"/>
          <w:b/>
          <w:bCs/>
          <w:color w:val="000000" w:themeColor="text1"/>
          <w:spacing w:val="12"/>
          <w:sz w:val="22"/>
          <w:szCs w:val="22"/>
          <w:lang w:val="en-US" w:eastAsia="zh-CN"/>
          <w14:textFill>
            <w14:solidFill>
              <w14:schemeClr w14:val="tx1"/>
            </w14:solidFill>
          </w14:textFill>
        </w:rPr>
        <w:t>服务</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方案</w:t>
      </w:r>
      <w:bookmarkEnd w:id="179"/>
      <w:bookmarkEnd w:id="180"/>
    </w:p>
    <w:p>
      <w:pPr>
        <w:rPr>
          <w:rStyle w:val="38"/>
          <w:rFonts w:hint="default" w:ascii="黑体" w:hAnsi="黑体" w:eastAsia="黑体" w:cstheme="majorBidi"/>
          <w:color w:val="000000" w:themeColor="text1"/>
          <w:spacing w:val="12"/>
          <w:sz w:val="22"/>
          <w:szCs w:val="22"/>
          <w:lang w:val="en-US" w:eastAsia="zh-CN"/>
          <w14:textFill>
            <w14:solidFill>
              <w14:schemeClr w14:val="tx1"/>
            </w14:solidFill>
          </w14:textFill>
        </w:rPr>
      </w:pPr>
      <w:r>
        <w:rPr>
          <w:rStyle w:val="38"/>
          <w:rFonts w:hint="eastAsia" w:ascii="黑体" w:hAnsi="黑体" w:eastAsia="黑体" w:cstheme="majorBidi"/>
          <w:color w:val="000000" w:themeColor="text1"/>
          <w:spacing w:val="12"/>
          <w:sz w:val="22"/>
          <w:szCs w:val="22"/>
          <w:lang w:val="en-US" w:eastAsia="zh-CN"/>
          <w14:textFill>
            <w14:solidFill>
              <w14:schemeClr w14:val="tx1"/>
            </w14:solidFill>
          </w14:textFill>
        </w:rPr>
        <w:t>投标人根据自身情况和招标文件要求自拟。</w:t>
      </w: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81" w:name="_Toc22576"/>
      <w:bookmarkStart w:id="182" w:name="_Toc12725"/>
      <w:r>
        <w:rPr>
          <w:rStyle w:val="38"/>
          <w:rFonts w:hint="eastAsia" w:ascii="黑体" w:hAnsi="黑体" w:eastAsia="黑体"/>
          <w:b/>
          <w:bCs/>
          <w:color w:val="000000" w:themeColor="text1"/>
          <w:spacing w:val="12"/>
          <w:sz w:val="22"/>
          <w:szCs w:val="22"/>
          <w14:textFill>
            <w14:solidFill>
              <w14:schemeClr w14:val="tx1"/>
            </w14:solidFill>
          </w14:textFill>
        </w:rPr>
        <w:t>★号</w:t>
      </w:r>
      <w:r>
        <w:rPr>
          <w:rStyle w:val="38"/>
          <w:rFonts w:hint="eastAsia" w:ascii="黑体" w:hAnsi="黑体" w:eastAsia="黑体" w:cs="Times New Roman"/>
          <w:b/>
          <w:bCs/>
          <w:color w:val="000000" w:themeColor="text1"/>
          <w:spacing w:val="12"/>
          <w:sz w:val="22"/>
          <w:szCs w:val="22"/>
          <w14:textFill>
            <w14:solidFill>
              <w14:schemeClr w14:val="tx1"/>
            </w14:solidFill>
          </w14:textFill>
        </w:rPr>
        <w:t>条款</w:t>
      </w:r>
      <w:r>
        <w:rPr>
          <w:rStyle w:val="38"/>
          <w:rFonts w:hint="eastAsia" w:ascii="黑体" w:hAnsi="黑体" w:eastAsia="黑体"/>
          <w:b/>
          <w:bCs/>
          <w:color w:val="000000" w:themeColor="text1"/>
          <w:spacing w:val="12"/>
          <w:sz w:val="22"/>
          <w:szCs w:val="22"/>
          <w14:textFill>
            <w14:solidFill>
              <w14:schemeClr w14:val="tx1"/>
            </w14:solidFill>
          </w14:textFill>
        </w:rPr>
        <w:t>要求响应一览表</w:t>
      </w:r>
      <w:bookmarkEnd w:id="176"/>
      <w:bookmarkEnd w:id="181"/>
      <w:bookmarkEnd w:id="182"/>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bookmarkStart w:id="183" w:name="_Hlk82385743"/>
      <w:r>
        <w:rPr>
          <w:rFonts w:hint="eastAsia" w:ascii="黑体" w:hAnsi="黑体" w:eastAsia="黑体" w:cs="Times New Roman"/>
          <w:b/>
          <w:color w:val="000000" w:themeColor="text1"/>
          <w:spacing w:val="20"/>
          <w:sz w:val="32"/>
          <w:szCs w:val="32"/>
          <w14:textFill>
            <w14:solidFill>
              <w14:schemeClr w14:val="tx1"/>
            </w14:solidFill>
          </w14:textFill>
        </w:rPr>
        <w:t>★号条款</w:t>
      </w:r>
      <w:bookmarkEnd w:id="183"/>
      <w:r>
        <w:rPr>
          <w:rFonts w:hint="eastAsia" w:ascii="黑体" w:hAnsi="黑体" w:eastAsia="黑体" w:cs="Times New Roman"/>
          <w:b/>
          <w:color w:val="000000" w:themeColor="text1"/>
          <w:spacing w:val="20"/>
          <w:sz w:val="32"/>
          <w:szCs w:val="32"/>
          <w14:textFill>
            <w14:solidFill>
              <w14:schemeClr w14:val="tx1"/>
            </w14:solidFill>
          </w14:textFill>
        </w:rPr>
        <w:t>响应一览表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190"/>
        <w:gridCol w:w="1843"/>
        <w:gridCol w:w="18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序号</w:t>
            </w:r>
          </w:p>
        </w:tc>
        <w:tc>
          <w:tcPr>
            <w:tcW w:w="3190"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采购需求★号条款要求</w:t>
            </w:r>
          </w:p>
        </w:tc>
        <w:tc>
          <w:tcPr>
            <w:tcW w:w="1843"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投标人响应内容</w:t>
            </w:r>
          </w:p>
        </w:tc>
        <w:tc>
          <w:tcPr>
            <w:tcW w:w="1843"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偏离情况及说明</w:t>
            </w:r>
          </w:p>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(正偏离/</w:t>
            </w:r>
            <w:r>
              <w:rPr>
                <w:rFonts w:hint="eastAsia" w:ascii="黑体" w:hAnsi="黑体" w:eastAsia="黑体"/>
                <w:color w:val="000000" w:themeColor="text1"/>
                <w:sz w:val="22"/>
                <w:szCs w:val="24"/>
                <w14:textFill>
                  <w14:solidFill>
                    <w14:schemeClr w14:val="tx1"/>
                  </w14:solidFill>
                </w14:textFill>
              </w:rPr>
              <w:t>无偏离</w:t>
            </w:r>
            <w:r>
              <w:rPr>
                <w:rFonts w:ascii="黑体" w:hAnsi="黑体" w:eastAsia="黑体"/>
                <w:color w:val="000000" w:themeColor="text1"/>
                <w:sz w:val="22"/>
                <w:szCs w:val="24"/>
                <w14:textFill>
                  <w14:solidFill>
                    <w14:schemeClr w14:val="tx1"/>
                  </w14:solidFill>
                </w14:textFill>
              </w:rPr>
              <w:t>/负偏离)</w:t>
            </w:r>
          </w:p>
        </w:tc>
        <w:tc>
          <w:tcPr>
            <w:tcW w:w="1190"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查阅</w:t>
            </w:r>
            <w:r>
              <w:rPr>
                <w:rFonts w:ascii="黑体" w:hAnsi="黑体" w:eastAsia="黑体"/>
                <w:color w:val="000000" w:themeColor="text1"/>
                <w:sz w:val="22"/>
                <w:szCs w:val="24"/>
                <w14:textFill>
                  <w14:solidFill>
                    <w14:schemeClr w14:val="tx1"/>
                  </w14:solidFill>
                </w14:textFill>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1</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2</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3</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4</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5"/>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投标人必须对应招标文件“采购需求”要求的</w:t>
      </w:r>
      <w:bookmarkStart w:id="184" w:name="_Hlk82385673"/>
      <w:r>
        <w:rPr>
          <w:rFonts w:ascii="黑体" w:hAnsi="黑体" w:eastAsia="黑体"/>
          <w:color w:val="000000" w:themeColor="text1"/>
          <w:sz w:val="22"/>
          <w:szCs w:val="24"/>
          <w14:textFill>
            <w14:solidFill>
              <w14:schemeClr w14:val="tx1"/>
            </w14:solidFill>
          </w14:textFill>
        </w:rPr>
        <w:t>★号条款</w:t>
      </w:r>
      <w:bookmarkEnd w:id="184"/>
      <w:r>
        <w:rPr>
          <w:rFonts w:ascii="黑体" w:hAnsi="黑体" w:eastAsia="黑体"/>
          <w:color w:val="000000" w:themeColor="text1"/>
          <w:sz w:val="22"/>
          <w:szCs w:val="24"/>
          <w14:textFill>
            <w14:solidFill>
              <w14:schemeClr w14:val="tx1"/>
            </w14:solidFill>
          </w14:textFill>
        </w:rPr>
        <w:t>逐条应答并按要求填写表格</w:t>
      </w:r>
      <w:r>
        <w:rPr>
          <w:rFonts w:hint="eastAsia" w:ascii="黑体" w:hAnsi="黑体" w:eastAsia="黑体"/>
          <w:color w:val="000000" w:themeColor="text1"/>
          <w:sz w:val="22"/>
          <w:szCs w:val="24"/>
          <w14:textFill>
            <w14:solidFill>
              <w14:schemeClr w14:val="tx1"/>
            </w14:solidFill>
          </w14:textFill>
        </w:rPr>
        <w:t>；</w:t>
      </w:r>
    </w:p>
    <w:p>
      <w:pPr>
        <w:pStyle w:val="46"/>
        <w:numPr>
          <w:ilvl w:val="0"/>
          <w:numId w:val="75"/>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若招标文件“采购需求”中的★号条款中规定须提交相关证明文件的，须按要求提供，并作为附件附于表格后。未按要求提供或未提供完整的，视为负偏离处理。</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pStyle w:val="4"/>
        <w:keepNext w:val="0"/>
        <w:keepLines w:val="0"/>
        <w:pageBreakBefore/>
        <w:numPr>
          <w:ilvl w:val="0"/>
          <w:numId w:val="67"/>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85" w:name="_Toc82388834"/>
      <w:bookmarkStart w:id="186" w:name="_Toc238"/>
      <w:bookmarkStart w:id="187" w:name="_Toc6687"/>
      <w:r>
        <w:rPr>
          <w:rStyle w:val="38"/>
          <w:rFonts w:hint="eastAsia" w:ascii="黑体" w:hAnsi="黑体" w:eastAsia="黑体"/>
          <w:b/>
          <w:bCs/>
          <w:color w:val="000000" w:themeColor="text1"/>
          <w:spacing w:val="12"/>
          <w:sz w:val="22"/>
          <w:szCs w:val="22"/>
          <w14:textFill>
            <w14:solidFill>
              <w14:schemeClr w14:val="tx1"/>
            </w14:solidFill>
          </w14:textFill>
        </w:rPr>
        <w:t>▲号条款要求扣分明细响应表</w:t>
      </w:r>
      <w:bookmarkEnd w:id="185"/>
      <w:bookmarkEnd w:id="186"/>
      <w:bookmarkEnd w:id="187"/>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bookmarkStart w:id="188" w:name="_Hlk82385592"/>
      <w:r>
        <w:rPr>
          <w:rFonts w:ascii="黑体" w:hAnsi="黑体" w:eastAsia="黑体" w:cs="Times New Roman"/>
          <w:b/>
          <w:color w:val="000000" w:themeColor="text1"/>
          <w:spacing w:val="20"/>
          <w:sz w:val="32"/>
          <w:szCs w:val="32"/>
          <w14:textFill>
            <w14:solidFill>
              <w14:schemeClr w14:val="tx1"/>
            </w14:solidFill>
          </w14:textFill>
        </w:rPr>
        <w:t>▲号条款</w:t>
      </w:r>
      <w:bookmarkEnd w:id="188"/>
      <w:r>
        <w:rPr>
          <w:rFonts w:hint="eastAsia" w:ascii="黑体" w:hAnsi="黑体" w:eastAsia="黑体" w:cs="Times New Roman"/>
          <w:b/>
          <w:color w:val="000000" w:themeColor="text1"/>
          <w:spacing w:val="20"/>
          <w:sz w:val="32"/>
          <w:szCs w:val="32"/>
          <w14:textFill>
            <w14:solidFill>
              <w14:schemeClr w14:val="tx1"/>
            </w14:solidFill>
          </w14:textFill>
        </w:rPr>
        <w:t>要求扣分明细响应表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410"/>
        <w:gridCol w:w="2745"/>
        <w:gridCol w:w="19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序号</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采购需求▲号条款</w:t>
            </w:r>
          </w:p>
        </w:tc>
        <w:tc>
          <w:tcPr>
            <w:tcW w:w="2745"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投标人响应内容</w:t>
            </w:r>
          </w:p>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(投标人应按</w:t>
            </w:r>
            <w:r>
              <w:rPr>
                <w:rFonts w:hint="eastAsia" w:ascii="黑体" w:hAnsi="黑体" w:eastAsia="黑体"/>
                <w:color w:val="000000" w:themeColor="text1"/>
                <w:sz w:val="22"/>
                <w:szCs w:val="24"/>
                <w14:textFill>
                  <w14:solidFill>
                    <w14:schemeClr w14:val="tx1"/>
                  </w14:solidFill>
                </w14:textFill>
              </w:rPr>
              <w:t>投标时响应的服务实际数据填写</w:t>
            </w:r>
            <w:r>
              <w:rPr>
                <w:rFonts w:ascii="黑体" w:hAnsi="黑体" w:eastAsia="黑体"/>
                <w:color w:val="000000" w:themeColor="text1"/>
                <w:sz w:val="22"/>
                <w:szCs w:val="24"/>
                <w14:textFill>
                  <w14:solidFill>
                    <w14:schemeClr w14:val="tx1"/>
                  </w14:solidFill>
                </w14:textFill>
              </w:rPr>
              <w:t>)</w:t>
            </w:r>
          </w:p>
        </w:tc>
        <w:tc>
          <w:tcPr>
            <w:tcW w:w="1932"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响应情况及说明</w:t>
            </w:r>
            <w:r>
              <w:rPr>
                <w:rFonts w:ascii="黑体" w:hAnsi="黑体" w:eastAsia="黑体"/>
                <w:color w:val="000000" w:themeColor="text1"/>
                <w:sz w:val="22"/>
                <w:szCs w:val="24"/>
                <w14:textFill>
                  <w14:solidFill>
                    <w14:schemeClr w14:val="tx1"/>
                  </w14:solidFill>
                </w14:textFill>
              </w:rPr>
              <w:t>(正偏离/无偏离/负偏离)</w:t>
            </w:r>
          </w:p>
        </w:tc>
        <w:tc>
          <w:tcPr>
            <w:tcW w:w="1115"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查阅</w:t>
            </w:r>
            <w:r>
              <w:rPr>
                <w:rFonts w:ascii="黑体" w:hAnsi="黑体" w:eastAsia="黑体"/>
                <w:color w:val="000000" w:themeColor="text1"/>
                <w:sz w:val="22"/>
                <w:szCs w:val="24"/>
                <w14:textFill>
                  <w14:solidFill>
                    <w14:schemeClr w14:val="tx1"/>
                  </w14:solidFill>
                </w14:textFill>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2</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3</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6"/>
        </w:numPr>
        <w:spacing w:line="360" w:lineRule="auto"/>
        <w:ind w:firstLineChars="0"/>
        <w:rPr>
          <w:rFonts w:ascii="黑体" w:hAnsi="黑体" w:eastAsia="黑体"/>
          <w:color w:val="000000" w:themeColor="text1"/>
          <w:spacing w:val="4"/>
          <w:sz w:val="22"/>
          <w:szCs w:val="24"/>
          <w14:textFill>
            <w14:solidFill>
              <w14:schemeClr w14:val="tx1"/>
            </w14:solidFill>
          </w14:textFill>
        </w:rPr>
      </w:pPr>
      <w:r>
        <w:rPr>
          <w:rFonts w:hint="eastAsia" w:ascii="黑体" w:hAnsi="黑体" w:eastAsia="黑体"/>
          <w:color w:val="000000" w:themeColor="text1"/>
          <w:spacing w:val="4"/>
          <w:sz w:val="22"/>
          <w:szCs w:val="24"/>
          <w14:textFill>
            <w14:solidFill>
              <w14:schemeClr w14:val="tx1"/>
            </w14:solidFill>
          </w14:textFill>
        </w:rPr>
        <w:t>投标人必须对应招标文件</w:t>
      </w:r>
      <w:r>
        <w:rPr>
          <w:rFonts w:hint="eastAsia" w:ascii="黑体" w:hAnsi="黑体" w:eastAsia="黑体" w:cs="Times New Roman"/>
          <w:bCs/>
          <w:color w:val="000000" w:themeColor="text1"/>
          <w:spacing w:val="4"/>
          <w:sz w:val="22"/>
          <w:szCs w:val="22"/>
          <w14:textFill>
            <w14:solidFill>
              <w14:schemeClr w14:val="tx1"/>
            </w14:solidFill>
          </w14:textFill>
        </w:rPr>
        <w:t>“采购需求”要求的</w:t>
      </w:r>
      <w:bookmarkStart w:id="189" w:name="_Hlk82385546"/>
      <w:r>
        <w:rPr>
          <w:rFonts w:ascii="黑体" w:hAnsi="黑体" w:eastAsia="黑体"/>
          <w:color w:val="000000" w:themeColor="text1"/>
          <w:sz w:val="22"/>
          <w:szCs w:val="24"/>
          <w14:textFill>
            <w14:solidFill>
              <w14:schemeClr w14:val="tx1"/>
            </w14:solidFill>
          </w14:textFill>
        </w:rPr>
        <w:t>▲号条款</w:t>
      </w:r>
      <w:bookmarkEnd w:id="189"/>
      <w:r>
        <w:rPr>
          <w:rFonts w:hint="eastAsia" w:ascii="黑体" w:hAnsi="黑体" w:eastAsia="黑体"/>
          <w:color w:val="000000" w:themeColor="text1"/>
          <w:spacing w:val="4"/>
          <w:sz w:val="22"/>
          <w:szCs w:val="24"/>
          <w14:textFill>
            <w14:solidFill>
              <w14:schemeClr w14:val="tx1"/>
            </w14:solidFill>
          </w14:textFill>
        </w:rPr>
        <w:t>逐条应答并按要求填写表格。</w:t>
      </w:r>
    </w:p>
    <w:p>
      <w:pPr>
        <w:pStyle w:val="46"/>
        <w:numPr>
          <w:ilvl w:val="0"/>
          <w:numId w:val="76"/>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hint="eastAsia" w:ascii="黑体" w:hAnsi="黑体" w:eastAsia="黑体"/>
          <w:color w:val="000000" w:themeColor="text1"/>
          <w:sz w:val="22"/>
          <w:szCs w:val="22"/>
          <w14:textFill>
            <w14:solidFill>
              <w14:schemeClr w14:val="tx1"/>
            </w14:solidFill>
          </w14:textFill>
        </w:rPr>
        <w:t>，提供的证明资料</w:t>
      </w:r>
      <w:r>
        <w:rPr>
          <w:rFonts w:hint="eastAsia" w:ascii="黑体" w:hAnsi="黑体" w:eastAsia="黑体"/>
          <w:color w:val="000000" w:themeColor="text1"/>
          <w:sz w:val="22"/>
          <w:szCs w:val="24"/>
          <w14:textFill>
            <w14:solidFill>
              <w14:schemeClr w14:val="tx1"/>
            </w14:solidFill>
          </w14:textFill>
        </w:rPr>
        <w:t>作为附件附于表格后。未按要求提供或未提供完整的，视为负偏离处理。</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4"/>
          <w14:textFill>
            <w14:solidFill>
              <w14:schemeClr w14:val="tx1"/>
            </w14:solidFill>
          </w14:textFill>
        </w:rPr>
      </w:pPr>
    </w:p>
    <w:bookmarkEnd w:id="127"/>
    <w:p>
      <w:pPr>
        <w:spacing w:line="360" w:lineRule="auto"/>
        <w:rPr>
          <w:rFonts w:ascii="黑体" w:hAnsi="黑体" w:eastAsia="黑体"/>
          <w:color w:val="000000" w:themeColor="text1"/>
          <w:sz w:val="22"/>
          <w:szCs w:val="24"/>
          <w14:textFill>
            <w14:solidFill>
              <w14:schemeClr w14:val="tx1"/>
            </w14:solidFill>
          </w14:textFill>
        </w:rPr>
      </w:pPr>
    </w:p>
    <w:p>
      <w:pPr>
        <w:pStyle w:val="3"/>
        <w:keepNext w:val="0"/>
        <w:keepLines w:val="0"/>
        <w:pageBreakBefore/>
        <w:spacing w:line="360" w:lineRule="auto"/>
        <w:jc w:val="center"/>
        <w:rPr>
          <w:rFonts w:hint="eastAsia" w:ascii="黑体" w:hAnsi="黑体" w:eastAsia="黑体"/>
          <w:color w:val="000000" w:themeColor="text1"/>
          <w:spacing w:val="20"/>
          <w:sz w:val="36"/>
          <w:szCs w:val="36"/>
          <w14:textFill>
            <w14:solidFill>
              <w14:schemeClr w14:val="tx1"/>
            </w14:solidFill>
          </w14:textFill>
        </w:rPr>
      </w:pPr>
      <w:bookmarkStart w:id="190" w:name="_Toc16983"/>
      <w:bookmarkStart w:id="191" w:name="_Toc29690"/>
      <w:bookmarkStart w:id="192" w:name="_Toc21869"/>
      <w:r>
        <w:rPr>
          <w:rFonts w:hint="eastAsia" w:ascii="黑体" w:hAnsi="黑体" w:eastAsia="黑体"/>
          <w:color w:val="000000" w:themeColor="text1"/>
          <w:spacing w:val="20"/>
          <w:sz w:val="36"/>
          <w:szCs w:val="36"/>
          <w:lang w:val="en-US" w:eastAsia="zh-CN"/>
          <w14:textFill>
            <w14:solidFill>
              <w14:schemeClr w14:val="tx1"/>
            </w14:solidFill>
          </w14:textFill>
        </w:rPr>
        <w:t xml:space="preserve">第八部分 </w:t>
      </w:r>
      <w:r>
        <w:rPr>
          <w:rFonts w:hint="eastAsia" w:ascii="黑体" w:hAnsi="黑体" w:eastAsia="黑体"/>
          <w:color w:val="000000" w:themeColor="text1"/>
          <w:spacing w:val="20"/>
          <w:sz w:val="36"/>
          <w:szCs w:val="36"/>
          <w14:textFill>
            <w14:solidFill>
              <w14:schemeClr w14:val="tx1"/>
            </w14:solidFill>
          </w14:textFill>
        </w:rPr>
        <w:t>唱标信封格式</w:t>
      </w:r>
      <w:bookmarkEnd w:id="190"/>
      <w:bookmarkEnd w:id="191"/>
      <w:bookmarkEnd w:id="192"/>
    </w:p>
    <w:p>
      <w:pPr>
        <w:spacing w:line="360" w:lineRule="auto"/>
        <w:jc w:val="center"/>
        <w:rPr>
          <w:rFonts w:ascii="黑体" w:hAnsi="黑体" w:eastAsia="黑体"/>
          <w:bCs/>
          <w:color w:val="000000" w:themeColor="text1"/>
          <w:sz w:val="52"/>
          <w:szCs w:val="52"/>
          <w14:textFill>
            <w14:solidFill>
              <w14:schemeClr w14:val="tx1"/>
            </w14:solidFill>
          </w14:textFill>
        </w:rPr>
      </w:pPr>
    </w:p>
    <w:p>
      <w:pPr>
        <w:spacing w:line="360" w:lineRule="auto"/>
        <w:jc w:val="center"/>
        <w:rPr>
          <w:rFonts w:hint="eastAsia" w:ascii="黑体" w:hAnsi="黑体" w:eastAsia="黑体"/>
          <w:bCs/>
          <w:color w:val="000000" w:themeColor="text1"/>
          <w:sz w:val="44"/>
          <w:szCs w:val="44"/>
          <w:lang w:eastAsia="zh-CN"/>
          <w14:textFill>
            <w14:solidFill>
              <w14:schemeClr w14:val="tx1"/>
            </w14:solidFill>
          </w14:textFill>
        </w:rPr>
      </w:pPr>
      <w:r>
        <w:rPr>
          <w:rFonts w:hint="eastAsia" w:ascii="黑体" w:hAnsi="黑体" w:eastAsia="黑体"/>
          <w:bCs/>
          <w:color w:val="000000" w:themeColor="text1"/>
          <w:sz w:val="44"/>
          <w:szCs w:val="44"/>
          <w:lang w:eastAsia="zh-CN"/>
          <w14:textFill>
            <w14:solidFill>
              <w14:schemeClr w14:val="tx1"/>
            </w14:solidFill>
          </w14:textFill>
        </w:rPr>
        <w:t>视频、海报及专栏制作服务项目</w:t>
      </w:r>
    </w:p>
    <w:p>
      <w:pPr>
        <w:spacing w:line="360" w:lineRule="auto"/>
        <w:jc w:val="center"/>
        <w:rPr>
          <w:rFonts w:ascii="黑体" w:hAnsi="黑体" w:eastAsia="黑体"/>
          <w:b/>
          <w:color w:val="000000" w:themeColor="text1"/>
          <w:sz w:val="22"/>
          <w:szCs w:val="22"/>
          <w14:textFill>
            <w14:solidFill>
              <w14:schemeClr w14:val="tx1"/>
            </w14:solidFill>
          </w14:textFill>
        </w:rPr>
      </w:pPr>
    </w:p>
    <w:p>
      <w:pPr>
        <w:spacing w:line="360" w:lineRule="auto"/>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（项目编号：</w:t>
      </w:r>
      <w:r>
        <w:rPr>
          <w:rFonts w:ascii="黑体" w:hAnsi="黑体" w:eastAsia="黑体"/>
          <w:b w:val="0"/>
          <w:bCs/>
          <w:color w:val="000000" w:themeColor="text1"/>
          <w:sz w:val="32"/>
          <w:szCs w:val="32"/>
          <w:u w:val="single"/>
          <w14:textFill>
            <w14:solidFill>
              <w14:schemeClr w14:val="tx1"/>
            </w14:solidFill>
          </w14:textFill>
        </w:rPr>
        <w:t xml:space="preserve">             </w:t>
      </w:r>
      <w:r>
        <w:rPr>
          <w:rFonts w:hint="eastAsia" w:ascii="黑体" w:hAnsi="黑体" w:eastAsia="黑体"/>
          <w:b w:val="0"/>
          <w:bCs/>
          <w:color w:val="000000" w:themeColor="text1"/>
          <w:sz w:val="32"/>
          <w:szCs w:val="32"/>
          <w14:textFill>
            <w14:solidFill>
              <w14:schemeClr w14:val="tx1"/>
            </w14:solidFill>
          </w14:textFill>
        </w:rPr>
        <w:t>）</w:t>
      </w:r>
    </w:p>
    <w:p>
      <w:pPr>
        <w:spacing w:before="1404" w:beforeLines="450" w:line="360" w:lineRule="auto"/>
        <w:jc w:val="center"/>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14:textFill>
            <w14:solidFill>
              <w14:schemeClr w14:val="tx1"/>
            </w14:solidFill>
          </w14:textFill>
        </w:rPr>
        <w:t>唱标信封</w:t>
      </w:r>
    </w:p>
    <w:p>
      <w:pPr>
        <w:spacing w:after="2028" w:afterLines="650"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（封面格式仅供参考）</w:t>
      </w:r>
    </w:p>
    <w:tbl>
      <w:tblPr>
        <w:tblStyle w:val="36"/>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投标人名称：</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投标人地址：</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color w:val="000000" w:themeColor="text1"/>
                <w:spacing w:val="-1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投标联系人</w:t>
            </w:r>
            <w:r>
              <w:rPr>
                <w:rFonts w:hint="eastAsia" w:ascii="黑体" w:hAnsi="黑体" w:eastAsia="黑体"/>
                <w:color w:val="000000" w:themeColor="text1"/>
                <w:spacing w:val="-10"/>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4"/>
                <w:sz w:val="28"/>
                <w:szCs w:val="28"/>
                <w14:textFill>
                  <w14:solidFill>
                    <w14:schemeClr w14:val="tx1"/>
                  </w14:solidFill>
                </w14:textFill>
              </w:rPr>
              <w:t>联系电话</w:t>
            </w:r>
            <w:r>
              <w:rPr>
                <w:rFonts w:hint="eastAsia" w:ascii="黑体" w:hAnsi="黑体" w:eastAsia="黑体"/>
                <w:color w:val="000000" w:themeColor="text1"/>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bl>
    <w:p>
      <w:pPr>
        <w:spacing w:before="468" w:beforeLines="150" w:line="600" w:lineRule="exact"/>
        <w:jc w:val="center"/>
        <w:rPr>
          <w:rFonts w:ascii="黑体" w:hAnsi="黑体" w:eastAsia="黑体"/>
          <w:b/>
          <w:bCs/>
          <w:color w:val="000000" w:themeColor="text1"/>
          <w:spacing w:val="40"/>
          <w:sz w:val="28"/>
          <w:szCs w:val="28"/>
          <w14:textFill>
            <w14:solidFill>
              <w14:schemeClr w14:val="tx1"/>
            </w14:solidFill>
          </w14:textFill>
        </w:rPr>
      </w:pPr>
      <w:r>
        <w:rPr>
          <w:rFonts w:hint="eastAsia" w:ascii="黑体" w:hAnsi="黑体" w:eastAsia="黑体"/>
          <w:b/>
          <w:color w:val="000000" w:themeColor="text1"/>
          <w:spacing w:val="40"/>
          <w:sz w:val="28"/>
          <w:szCs w:val="28"/>
          <w14:textFill>
            <w14:solidFill>
              <w14:schemeClr w14:val="tx1"/>
            </w14:solidFill>
          </w14:textFill>
        </w:rPr>
        <w:t>日期：</w:t>
      </w:r>
      <w:r>
        <w:rPr>
          <w:rFonts w:hint="eastAsia" w:ascii="黑体" w:hAnsi="黑体" w:eastAsia="黑体"/>
          <w:b/>
          <w:color w:val="000000" w:themeColor="text1"/>
          <w:spacing w:val="20"/>
          <w:sz w:val="22"/>
          <w:szCs w:val="22"/>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 xml:space="preserve">年 </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 xml:space="preserve">月 </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日</w:t>
      </w:r>
    </w:p>
    <w:p>
      <w:pPr>
        <w:spacing w:line="360" w:lineRule="auto"/>
        <w:rPr>
          <w:rFonts w:ascii="黑体" w:hAnsi="黑体" w:eastAsia="黑体"/>
          <w:color w:val="000000" w:themeColor="text1"/>
          <w:sz w:val="22"/>
          <w:szCs w:val="24"/>
          <w14:textFill>
            <w14:solidFill>
              <w14:schemeClr w14:val="tx1"/>
            </w14:solidFill>
          </w14:textFill>
        </w:rPr>
      </w:pPr>
    </w:p>
    <w:p>
      <w:pPr>
        <w:widowControl/>
        <w:jc w:val="left"/>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br w:type="page"/>
      </w:r>
    </w:p>
    <w:p>
      <w:pPr>
        <w:pStyle w:val="46"/>
        <w:numPr>
          <w:ilvl w:val="0"/>
          <w:numId w:val="77"/>
        </w:numPr>
        <w:spacing w:before="312" w:beforeLines="100" w:after="312" w:afterLines="100" w:line="360" w:lineRule="auto"/>
        <w:ind w:firstLineChars="0"/>
        <w:jc w:val="left"/>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唱标信封内装：</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开标一览表加盖投标人公章；</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lang w:eastAsia="zh-CN"/>
          <w14:textFill>
            <w14:solidFill>
              <w14:schemeClr w14:val="tx1"/>
            </w14:solidFill>
          </w14:textFill>
        </w:rPr>
        <w:t>分项报价表</w:t>
      </w:r>
      <w:r>
        <w:rPr>
          <w:rFonts w:hint="eastAsia" w:ascii="黑体" w:hAnsi="黑体" w:eastAsia="黑体"/>
          <w:color w:val="000000" w:themeColor="text1"/>
          <w:sz w:val="22"/>
          <w:szCs w:val="22"/>
          <w14:textFill>
            <w14:solidFill>
              <w14:schemeClr w14:val="tx1"/>
            </w14:solidFill>
          </w14:textFill>
        </w:rPr>
        <w:t>加盖投标人公章；</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法定代表人证明书或法定代表人授权委托书加盖投标人公章；</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投标保证金汇入情况说明加盖投标人公章；</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银行汇款凭证加盖投标人公章；</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电子文件（U</w:t>
      </w:r>
      <w:r>
        <w:rPr>
          <w:rFonts w:ascii="黑体" w:hAnsi="黑体" w:eastAsia="黑体"/>
          <w:color w:val="000000" w:themeColor="text1"/>
          <w:sz w:val="22"/>
          <w:szCs w:val="22"/>
          <w14:textFill>
            <w14:solidFill>
              <w14:schemeClr w14:val="tx1"/>
            </w14:solidFill>
          </w14:textFill>
        </w:rPr>
        <w:t>盘）；</w:t>
      </w:r>
    </w:p>
    <w:p>
      <w:pPr>
        <w:pStyle w:val="46"/>
        <w:numPr>
          <w:ilvl w:val="0"/>
          <w:numId w:val="78"/>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其他格式（如有）</w:t>
      </w:r>
      <w:r>
        <w:rPr>
          <w:rFonts w:hint="eastAsia" w:ascii="黑体" w:hAnsi="黑体" w:eastAsia="黑体"/>
          <w:color w:val="000000" w:themeColor="text1"/>
          <w:sz w:val="22"/>
          <w:szCs w:val="22"/>
          <w14:textFill>
            <w14:solidFill>
              <w14:schemeClr w14:val="tx1"/>
            </w14:solidFill>
          </w14:textFill>
        </w:rPr>
        <w:t>。</w:t>
      </w:r>
    </w:p>
    <w:p>
      <w:pPr>
        <w:widowControl/>
        <w:jc w:val="left"/>
        <w:rPr>
          <w:rFonts w:ascii="黑体" w:hAnsi="黑体" w:eastAsia="黑体"/>
          <w:color w:val="000000" w:themeColor="text1"/>
          <w:sz w:val="22"/>
          <w:szCs w:val="24"/>
          <w14:textFill>
            <w14:solidFill>
              <w14:schemeClr w14:val="tx1"/>
            </w14:solidFill>
          </w14:textFill>
        </w:rPr>
      </w:pPr>
    </w:p>
    <w:sectPr>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DEZBWU+FZY4JW--GB1-0">
    <w:altName w:val="微软雅黑"/>
    <w:panose1 w:val="00000000000000000000"/>
    <w:charset w:val="00"/>
    <w:family w:val="swiss"/>
    <w:pitch w:val="default"/>
    <w:sig w:usb0="00000000" w:usb1="00000000" w:usb2="00000000" w:usb3="00000000" w:csb0="00040000" w:csb1="00000000"/>
  </w:font>
  <w:font w:name="??????_GBK">
    <w:altName w:val="Calibri"/>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fldChar w:fldCharType="begin"/>
    </w:r>
    <w:r>
      <w:instrText xml:space="preserve"> PAGE   \* MERGEFORMAT </w:instrText>
    </w:r>
    <w:r>
      <w:fldChar w:fldCharType="separate"/>
    </w:r>
    <w:r>
      <w:rPr>
        <w:lang w:val="zh-CN"/>
      </w:rPr>
      <w:t>33</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v:textbox>
            </v:shape>
          </w:pict>
        </mc:Fallback>
      </mc:AlternateConten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3468353"/>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643468353"/>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34"/>
                    </w:pP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5646825"/>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695646825"/>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34"/>
                    </w:pP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hint="eastAsia" w:ascii="黑体" w:hAnsi="黑体" w:eastAsia="黑体"/>
        <w:color w:val="FF000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B5CD7FBD"/>
    <w:multiLevelType w:val="multilevel"/>
    <w:tmpl w:val="B5CD7FBD"/>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4.%2"/>
      <w:lvlJc w:val="left"/>
      <w:pPr>
        <w:ind w:left="567" w:hanging="567"/>
      </w:pPr>
      <w:rPr>
        <w:rFonts w:hint="default" w:ascii="宋体" w:hAnsi="宋体" w:eastAsia="宋体" w:cs="宋体"/>
      </w:rPr>
    </w:lvl>
    <w:lvl w:ilvl="2" w:tentative="0">
      <w:start w:val="3"/>
      <w:numFmt w:val="decimal"/>
      <w:lvlText w:val="%1.4.%3"/>
      <w:lvlJc w:val="left"/>
      <w:pPr>
        <w:ind w:left="709" w:hanging="709"/>
      </w:pPr>
      <w:rPr>
        <w:rFonts w:hint="default"/>
      </w:rPr>
    </w:lvl>
    <w:lvl w:ilvl="3" w:tentative="0">
      <w:start w:val="1"/>
      <w:numFmt w:val="decimal"/>
      <w:lvlText w:val="%1.%2.%3.%4."/>
      <w:lvlJc w:val="left"/>
      <w:pPr>
        <w:ind w:left="851" w:hanging="851"/>
      </w:pPr>
      <w:rPr>
        <w:rFonts w:hint="default" w:ascii="宋体" w:hAnsi="宋体" w:eastAsia="宋体" w:cs="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BEECC247"/>
    <w:multiLevelType w:val="singleLevel"/>
    <w:tmpl w:val="BEECC247"/>
    <w:lvl w:ilvl="0" w:tentative="0">
      <w:start w:val="1"/>
      <w:numFmt w:val="decimal"/>
      <w:suff w:val="nothing"/>
      <w:lvlText w:val="%1）"/>
      <w:lvlJc w:val="left"/>
    </w:lvl>
  </w:abstractNum>
  <w:abstractNum w:abstractNumId="3">
    <w:nsid w:val="E9204FAA"/>
    <w:multiLevelType w:val="singleLevel"/>
    <w:tmpl w:val="E9204FAA"/>
    <w:lvl w:ilvl="0" w:tentative="0">
      <w:start w:val="1"/>
      <w:numFmt w:val="decimal"/>
      <w:lvlText w:val="%1)"/>
      <w:lvlJc w:val="left"/>
      <w:pPr>
        <w:tabs>
          <w:tab w:val="left" w:pos="312"/>
        </w:tabs>
      </w:pPr>
    </w:lvl>
  </w:abstractNum>
  <w:abstractNum w:abstractNumId="4">
    <w:nsid w:val="FED2562D"/>
    <w:multiLevelType w:val="singleLevel"/>
    <w:tmpl w:val="FED2562D"/>
    <w:lvl w:ilvl="0" w:tentative="0">
      <w:start w:val="1"/>
      <w:numFmt w:val="decimal"/>
      <w:suff w:val="nothing"/>
      <w:lvlText w:val="%1）"/>
      <w:lvlJc w:val="left"/>
    </w:lvl>
  </w:abstractNum>
  <w:abstractNum w:abstractNumId="5">
    <w:nsid w:val="00000002"/>
    <w:multiLevelType w:val="singleLevel"/>
    <w:tmpl w:val="00000002"/>
    <w:lvl w:ilvl="0" w:tentative="0">
      <w:start w:val="1"/>
      <w:numFmt w:val="chineseCounting"/>
      <w:suff w:val="nothing"/>
      <w:lvlText w:val="%1、"/>
      <w:lvlJc w:val="left"/>
      <w:rPr>
        <w:rFonts w:hint="eastAsia"/>
      </w:rPr>
    </w:lvl>
  </w:abstractNum>
  <w:abstractNum w:abstractNumId="6">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40A34B3"/>
    <w:multiLevelType w:val="multilevel"/>
    <w:tmpl w:val="040A34B3"/>
    <w:lvl w:ilvl="0" w:tentative="0">
      <w:start w:val="1"/>
      <w:numFmt w:val="decimal"/>
      <w:lvlText w:val="1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3631BE"/>
    <w:multiLevelType w:val="multilevel"/>
    <w:tmpl w:val="043631BE"/>
    <w:lvl w:ilvl="0" w:tentative="0">
      <w:start w:val="1"/>
      <w:numFmt w:val="decimal"/>
      <w:lvlText w:val="2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AF46D7"/>
    <w:multiLevelType w:val="multilevel"/>
    <w:tmpl w:val="08AF46D7"/>
    <w:lvl w:ilvl="0" w:tentative="0">
      <w:start w:val="1"/>
      <w:numFmt w:val="decimal"/>
      <w:lvlText w:val="3.%1"/>
      <w:lvlJc w:val="left"/>
      <w:pPr>
        <w:ind w:left="94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9528F9"/>
    <w:multiLevelType w:val="multilevel"/>
    <w:tmpl w:val="0A9528F9"/>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5D1CF6"/>
    <w:multiLevelType w:val="multilevel"/>
    <w:tmpl w:val="0B5D1CF6"/>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FE07D7"/>
    <w:multiLevelType w:val="multilevel"/>
    <w:tmpl w:val="10FE07D7"/>
    <w:lvl w:ilvl="0" w:tentative="0">
      <w:start w:val="1"/>
      <w:numFmt w:val="decimal"/>
      <w:lvlText w:val="2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76E0134"/>
    <w:multiLevelType w:val="multilevel"/>
    <w:tmpl w:val="176E0134"/>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3154B4"/>
    <w:multiLevelType w:val="multilevel"/>
    <w:tmpl w:val="183154B4"/>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CD77AF"/>
    <w:multiLevelType w:val="multilevel"/>
    <w:tmpl w:val="19CD77AF"/>
    <w:lvl w:ilvl="0" w:tentative="0">
      <w:start w:val="1"/>
      <w:numFmt w:val="decimal"/>
      <w:lvlText w:val="3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600377"/>
    <w:multiLevelType w:val="multilevel"/>
    <w:tmpl w:val="1A600377"/>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A973E3B"/>
    <w:multiLevelType w:val="multilevel"/>
    <w:tmpl w:val="1A973E3B"/>
    <w:lvl w:ilvl="0" w:tentative="0">
      <w:start w:val="1"/>
      <w:numFmt w:val="decimal"/>
      <w:lvlText w:val="1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DA21561"/>
    <w:multiLevelType w:val="multilevel"/>
    <w:tmpl w:val="1DA2156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30.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29.%2"/>
      <w:lvlJc w:val="left"/>
      <w:pPr>
        <w:ind w:left="567" w:hanging="567"/>
      </w:pPr>
      <w:rPr>
        <w:rFonts w:hint="eastAsia"/>
        <w:b/>
        <w:bCs w:val="0"/>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1F1F0EBB"/>
    <w:multiLevelType w:val="multilevel"/>
    <w:tmpl w:val="1F1F0EBB"/>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F566EF"/>
    <w:multiLevelType w:val="multilevel"/>
    <w:tmpl w:val="25F566EF"/>
    <w:lvl w:ilvl="0" w:tentative="0">
      <w:start w:val="1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2A16535C"/>
    <w:multiLevelType w:val="multilevel"/>
    <w:tmpl w:val="2A16535C"/>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1320B6"/>
    <w:multiLevelType w:val="multilevel"/>
    <w:tmpl w:val="2B1320B6"/>
    <w:lvl w:ilvl="0" w:tentative="0">
      <w:start w:val="1"/>
      <w:numFmt w:val="decimal"/>
      <w:lvlText w:val="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B8721E3"/>
    <w:multiLevelType w:val="multilevel"/>
    <w:tmpl w:val="2B8721E3"/>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8F60A7"/>
    <w:multiLevelType w:val="multilevel"/>
    <w:tmpl w:val="2E8F60A7"/>
    <w:lvl w:ilvl="0" w:tentative="0">
      <w:start w:val="1"/>
      <w:numFmt w:val="decimal"/>
      <w:lvlText w:val="2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FF332FE"/>
    <w:multiLevelType w:val="multilevel"/>
    <w:tmpl w:val="2FF332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46F47EE"/>
    <w:multiLevelType w:val="multilevel"/>
    <w:tmpl w:val="346F47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603967"/>
    <w:multiLevelType w:val="multilevel"/>
    <w:tmpl w:val="36603967"/>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5D1229"/>
    <w:multiLevelType w:val="multilevel"/>
    <w:tmpl w:val="3B5D1229"/>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5">
    <w:nsid w:val="3E7B3266"/>
    <w:multiLevelType w:val="multilevel"/>
    <w:tmpl w:val="3E7B3266"/>
    <w:lvl w:ilvl="0" w:tentative="0">
      <w:start w:val="1"/>
      <w:numFmt w:val="decimal"/>
      <w:lvlText w:val="3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DA68BD"/>
    <w:multiLevelType w:val="multilevel"/>
    <w:tmpl w:val="3EDA6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26A2696"/>
    <w:multiLevelType w:val="multilevel"/>
    <w:tmpl w:val="426A2696"/>
    <w:lvl w:ilvl="0" w:tentative="0">
      <w:start w:val="13"/>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3"/>
      <w:numFmt w:val="decimal"/>
      <w:lvlText w:val="%1.2.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482F7A7A"/>
    <w:multiLevelType w:val="multilevel"/>
    <w:tmpl w:val="482F7A7A"/>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A804453"/>
    <w:multiLevelType w:val="multilevel"/>
    <w:tmpl w:val="4A804453"/>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AD52286"/>
    <w:multiLevelType w:val="multilevel"/>
    <w:tmpl w:val="4AD52286"/>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3">
    <w:nsid w:val="4BAE0827"/>
    <w:multiLevelType w:val="multilevel"/>
    <w:tmpl w:val="4BAE0827"/>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062AD7"/>
    <w:multiLevelType w:val="multilevel"/>
    <w:tmpl w:val="51062AD7"/>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1502957"/>
    <w:multiLevelType w:val="multilevel"/>
    <w:tmpl w:val="51502957"/>
    <w:lvl w:ilvl="0" w:tentative="0">
      <w:start w:val="18"/>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9.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6">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7">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8">
    <w:nsid w:val="537A3F02"/>
    <w:multiLevelType w:val="multilevel"/>
    <w:tmpl w:val="537A3F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F200C9"/>
    <w:multiLevelType w:val="multilevel"/>
    <w:tmpl w:val="54F200C9"/>
    <w:lvl w:ilvl="0" w:tentative="0">
      <w:start w:val="1"/>
      <w:numFmt w:val="decimal"/>
      <w:lvlText w:val="2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5CF31B5"/>
    <w:multiLevelType w:val="multilevel"/>
    <w:tmpl w:val="55CF31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643DD7"/>
    <w:multiLevelType w:val="multilevel"/>
    <w:tmpl w:val="58643DD7"/>
    <w:lvl w:ilvl="0" w:tentative="0">
      <w:start w:val="1"/>
      <w:numFmt w:val="decimal"/>
      <w:lvlText w:val="17.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DC2BF5"/>
    <w:multiLevelType w:val="multilevel"/>
    <w:tmpl w:val="58DC2BF5"/>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C0E4467"/>
    <w:multiLevelType w:val="multilevel"/>
    <w:tmpl w:val="5C0E4467"/>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D40241"/>
    <w:multiLevelType w:val="multilevel"/>
    <w:tmpl w:val="5FD40241"/>
    <w:lvl w:ilvl="0" w:tentative="0">
      <w:start w:val="1"/>
      <w:numFmt w:val="decimal"/>
      <w:lvlText w:val="17.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1636B35"/>
    <w:multiLevelType w:val="multilevel"/>
    <w:tmpl w:val="61636B35"/>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2A80407"/>
    <w:multiLevelType w:val="multilevel"/>
    <w:tmpl w:val="62A80407"/>
    <w:lvl w:ilvl="0" w:tentative="0">
      <w:start w:val="1"/>
      <w:numFmt w:val="decimal"/>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3173248"/>
    <w:multiLevelType w:val="multilevel"/>
    <w:tmpl w:val="63173248"/>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5C87B74"/>
    <w:multiLevelType w:val="multilevel"/>
    <w:tmpl w:val="65C87B74"/>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2271FD"/>
    <w:multiLevelType w:val="multilevel"/>
    <w:tmpl w:val="6A2271FD"/>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08621A4"/>
    <w:multiLevelType w:val="multilevel"/>
    <w:tmpl w:val="708621A4"/>
    <w:lvl w:ilvl="0" w:tentative="0">
      <w:start w:val="1"/>
      <w:numFmt w:val="decimal"/>
      <w:lvlText w:val="3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1580BEF"/>
    <w:multiLevelType w:val="multilevel"/>
    <w:tmpl w:val="71580BEF"/>
    <w:lvl w:ilvl="0" w:tentative="0">
      <w:start w:val="30"/>
      <w:numFmt w:val="decimal"/>
      <w:lvlText w:val="%1"/>
      <w:lvlJc w:val="left"/>
      <w:pPr>
        <w:ind w:left="425" w:hanging="425"/>
      </w:pPr>
      <w:rPr>
        <w:rFonts w:hint="eastAsia"/>
        <w:b/>
        <w:i w:val="0"/>
        <w:color w:val="auto"/>
        <w:sz w:val="21"/>
      </w:rPr>
    </w:lvl>
    <w:lvl w:ilvl="1" w:tentative="0">
      <w:start w:val="4"/>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8">
    <w:nsid w:val="7264255B"/>
    <w:multiLevelType w:val="multilevel"/>
    <w:tmpl w:val="7264255B"/>
    <w:lvl w:ilvl="0" w:tentative="0">
      <w:start w:val="1"/>
      <w:numFmt w:val="chineseCountingThousand"/>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28821B6"/>
    <w:multiLevelType w:val="multilevel"/>
    <w:tmpl w:val="728821B6"/>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2E62A6A"/>
    <w:multiLevelType w:val="multilevel"/>
    <w:tmpl w:val="72E62A6A"/>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61A1D84"/>
    <w:multiLevelType w:val="multilevel"/>
    <w:tmpl w:val="761A1D84"/>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6C06892"/>
    <w:multiLevelType w:val="multilevel"/>
    <w:tmpl w:val="76C06892"/>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BA40B41"/>
    <w:multiLevelType w:val="multilevel"/>
    <w:tmpl w:val="7BA40B4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4">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5">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8F7E29"/>
    <w:multiLevelType w:val="multilevel"/>
    <w:tmpl w:val="7E8F7E29"/>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FEF4FD5"/>
    <w:multiLevelType w:val="multilevel"/>
    <w:tmpl w:val="7FEF4FD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29"/>
  </w:num>
  <w:num w:numId="3">
    <w:abstractNumId w:val="20"/>
  </w:num>
  <w:num w:numId="4">
    <w:abstractNumId w:val="56"/>
  </w:num>
  <w:num w:numId="5">
    <w:abstractNumId w:val="9"/>
  </w:num>
  <w:num w:numId="6">
    <w:abstractNumId w:val="16"/>
  </w:num>
  <w:num w:numId="7">
    <w:abstractNumId w:val="60"/>
  </w:num>
  <w:num w:numId="8">
    <w:abstractNumId w:val="40"/>
  </w:num>
  <w:num w:numId="9">
    <w:abstractNumId w:val="69"/>
  </w:num>
  <w:num w:numId="10">
    <w:abstractNumId w:val="38"/>
  </w:num>
  <w:num w:numId="11">
    <w:abstractNumId w:val="70"/>
  </w:num>
  <w:num w:numId="12">
    <w:abstractNumId w:val="54"/>
  </w:num>
  <w:num w:numId="13">
    <w:abstractNumId w:val="11"/>
  </w:num>
  <w:num w:numId="14">
    <w:abstractNumId w:val="77"/>
  </w:num>
  <w:num w:numId="15">
    <w:abstractNumId w:val="22"/>
  </w:num>
  <w:num w:numId="16">
    <w:abstractNumId w:val="33"/>
  </w:num>
  <w:num w:numId="17">
    <w:abstractNumId w:val="10"/>
  </w:num>
  <w:num w:numId="18">
    <w:abstractNumId w:val="7"/>
  </w:num>
  <w:num w:numId="19">
    <w:abstractNumId w:val="59"/>
  </w:num>
  <w:num w:numId="20">
    <w:abstractNumId w:val="71"/>
  </w:num>
  <w:num w:numId="21">
    <w:abstractNumId w:val="72"/>
  </w:num>
  <w:num w:numId="22">
    <w:abstractNumId w:val="57"/>
  </w:num>
  <w:num w:numId="23">
    <w:abstractNumId w:val="53"/>
  </w:num>
  <w:num w:numId="24">
    <w:abstractNumId w:val="23"/>
  </w:num>
  <w:num w:numId="25">
    <w:abstractNumId w:val="17"/>
  </w:num>
  <w:num w:numId="26">
    <w:abstractNumId w:val="45"/>
  </w:num>
  <w:num w:numId="27">
    <w:abstractNumId w:val="14"/>
  </w:num>
  <w:num w:numId="28">
    <w:abstractNumId w:val="13"/>
  </w:num>
  <w:num w:numId="29">
    <w:abstractNumId w:val="41"/>
  </w:num>
  <w:num w:numId="30">
    <w:abstractNumId w:val="44"/>
  </w:num>
  <w:num w:numId="31">
    <w:abstractNumId w:val="62"/>
  </w:num>
  <w:num w:numId="32">
    <w:abstractNumId w:val="24"/>
  </w:num>
  <w:num w:numId="33">
    <w:abstractNumId w:val="12"/>
  </w:num>
  <w:num w:numId="34">
    <w:abstractNumId w:val="49"/>
  </w:num>
  <w:num w:numId="35">
    <w:abstractNumId w:val="8"/>
  </w:num>
  <w:num w:numId="36">
    <w:abstractNumId w:val="27"/>
  </w:num>
  <w:num w:numId="37">
    <w:abstractNumId w:val="6"/>
  </w:num>
  <w:num w:numId="38">
    <w:abstractNumId w:val="15"/>
  </w:num>
  <w:num w:numId="39">
    <w:abstractNumId w:val="73"/>
  </w:num>
  <w:num w:numId="40">
    <w:abstractNumId w:val="19"/>
  </w:num>
  <w:num w:numId="41">
    <w:abstractNumId w:val="25"/>
  </w:num>
  <w:num w:numId="42">
    <w:abstractNumId w:val="67"/>
  </w:num>
  <w:num w:numId="43">
    <w:abstractNumId w:val="64"/>
  </w:num>
  <w:num w:numId="44">
    <w:abstractNumId w:val="32"/>
  </w:num>
  <w:num w:numId="45">
    <w:abstractNumId w:val="43"/>
  </w:num>
  <w:num w:numId="46">
    <w:abstractNumId w:val="76"/>
  </w:num>
  <w:num w:numId="47">
    <w:abstractNumId w:val="21"/>
  </w:num>
  <w:num w:numId="48">
    <w:abstractNumId w:val="35"/>
  </w:num>
  <w:num w:numId="49">
    <w:abstractNumId w:val="66"/>
  </w:num>
  <w:num w:numId="50">
    <w:abstractNumId w:val="31"/>
  </w:num>
  <w:num w:numId="51">
    <w:abstractNumId w:val="55"/>
  </w:num>
  <w:num w:numId="52">
    <w:abstractNumId w:val="52"/>
  </w:num>
  <w:num w:numId="53">
    <w:abstractNumId w:val="46"/>
  </w:num>
  <w:num w:numId="54">
    <w:abstractNumId w:val="34"/>
  </w:num>
  <w:num w:numId="55">
    <w:abstractNumId w:val="74"/>
  </w:num>
  <w:num w:numId="56">
    <w:abstractNumId w:val="58"/>
  </w:num>
  <w:num w:numId="57">
    <w:abstractNumId w:val="47"/>
  </w:num>
  <w:num w:numId="58">
    <w:abstractNumId w:val="1"/>
  </w:num>
  <w:num w:numId="59">
    <w:abstractNumId w:val="42"/>
  </w:num>
  <w:num w:numId="60">
    <w:abstractNumId w:val="37"/>
  </w:num>
  <w:num w:numId="61">
    <w:abstractNumId w:val="65"/>
  </w:num>
  <w:num w:numId="62">
    <w:abstractNumId w:val="18"/>
  </w:num>
  <w:num w:numId="63">
    <w:abstractNumId w:val="3"/>
  </w:num>
  <w:num w:numId="64">
    <w:abstractNumId w:val="4"/>
  </w:num>
  <w:num w:numId="65">
    <w:abstractNumId w:val="5"/>
  </w:num>
  <w:num w:numId="66">
    <w:abstractNumId w:val="0"/>
  </w:num>
  <w:num w:numId="67">
    <w:abstractNumId w:val="48"/>
  </w:num>
  <w:num w:numId="68">
    <w:abstractNumId w:val="26"/>
  </w:num>
  <w:num w:numId="69">
    <w:abstractNumId w:val="61"/>
  </w:num>
  <w:num w:numId="70">
    <w:abstractNumId w:val="63"/>
  </w:num>
  <w:num w:numId="71">
    <w:abstractNumId w:val="68"/>
  </w:num>
  <w:num w:numId="72">
    <w:abstractNumId w:val="2"/>
  </w:num>
  <w:num w:numId="73">
    <w:abstractNumId w:val="75"/>
  </w:num>
  <w:num w:numId="74">
    <w:abstractNumId w:val="39"/>
  </w:num>
  <w:num w:numId="75">
    <w:abstractNumId w:val="36"/>
  </w:num>
  <w:num w:numId="76">
    <w:abstractNumId w:val="50"/>
  </w:num>
  <w:num w:numId="77">
    <w:abstractNumId w:val="28"/>
  </w:num>
  <w:num w:numId="7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NWNmMzVlNGZkZDhiNDUyYmI0NjViNGE4NDJhNmYifQ=="/>
  </w:docVars>
  <w:rsids>
    <w:rsidRoot w:val="00113B06"/>
    <w:rsid w:val="000003F9"/>
    <w:rsid w:val="00001DF6"/>
    <w:rsid w:val="00001F97"/>
    <w:rsid w:val="00002932"/>
    <w:rsid w:val="00002B11"/>
    <w:rsid w:val="00002E7B"/>
    <w:rsid w:val="00003266"/>
    <w:rsid w:val="00003270"/>
    <w:rsid w:val="00003C75"/>
    <w:rsid w:val="000047C9"/>
    <w:rsid w:val="0000569B"/>
    <w:rsid w:val="0000591B"/>
    <w:rsid w:val="00005D02"/>
    <w:rsid w:val="0000736C"/>
    <w:rsid w:val="0000775F"/>
    <w:rsid w:val="00007AFD"/>
    <w:rsid w:val="00007E86"/>
    <w:rsid w:val="000100E9"/>
    <w:rsid w:val="0001065E"/>
    <w:rsid w:val="00011C70"/>
    <w:rsid w:val="0001212F"/>
    <w:rsid w:val="00012350"/>
    <w:rsid w:val="00012887"/>
    <w:rsid w:val="000129CC"/>
    <w:rsid w:val="000132B0"/>
    <w:rsid w:val="00013B5A"/>
    <w:rsid w:val="00013C52"/>
    <w:rsid w:val="00013F69"/>
    <w:rsid w:val="00014FD9"/>
    <w:rsid w:val="000155C8"/>
    <w:rsid w:val="0001578E"/>
    <w:rsid w:val="000163DA"/>
    <w:rsid w:val="00016A0A"/>
    <w:rsid w:val="00017A0F"/>
    <w:rsid w:val="00017A69"/>
    <w:rsid w:val="0002022E"/>
    <w:rsid w:val="00020492"/>
    <w:rsid w:val="00020994"/>
    <w:rsid w:val="00020A70"/>
    <w:rsid w:val="00020E65"/>
    <w:rsid w:val="00021869"/>
    <w:rsid w:val="00022516"/>
    <w:rsid w:val="00023D47"/>
    <w:rsid w:val="00023E8B"/>
    <w:rsid w:val="0002428A"/>
    <w:rsid w:val="0002432C"/>
    <w:rsid w:val="00024720"/>
    <w:rsid w:val="00025686"/>
    <w:rsid w:val="00025BA4"/>
    <w:rsid w:val="00025EC9"/>
    <w:rsid w:val="000262C8"/>
    <w:rsid w:val="000268AD"/>
    <w:rsid w:val="000274FC"/>
    <w:rsid w:val="00032773"/>
    <w:rsid w:val="000329D9"/>
    <w:rsid w:val="000338CE"/>
    <w:rsid w:val="00033A70"/>
    <w:rsid w:val="00034A59"/>
    <w:rsid w:val="00034B87"/>
    <w:rsid w:val="0003507B"/>
    <w:rsid w:val="0003526D"/>
    <w:rsid w:val="00035599"/>
    <w:rsid w:val="00036B6D"/>
    <w:rsid w:val="00036DF6"/>
    <w:rsid w:val="000370E9"/>
    <w:rsid w:val="0004007C"/>
    <w:rsid w:val="00040EF7"/>
    <w:rsid w:val="00041895"/>
    <w:rsid w:val="00041A8A"/>
    <w:rsid w:val="00042437"/>
    <w:rsid w:val="00042B14"/>
    <w:rsid w:val="0004306E"/>
    <w:rsid w:val="000431F9"/>
    <w:rsid w:val="000434C4"/>
    <w:rsid w:val="00043882"/>
    <w:rsid w:val="0004426E"/>
    <w:rsid w:val="000445A8"/>
    <w:rsid w:val="0004489A"/>
    <w:rsid w:val="000450C9"/>
    <w:rsid w:val="00045FBD"/>
    <w:rsid w:val="00046138"/>
    <w:rsid w:val="000474AD"/>
    <w:rsid w:val="00047632"/>
    <w:rsid w:val="0004768E"/>
    <w:rsid w:val="00047745"/>
    <w:rsid w:val="00047959"/>
    <w:rsid w:val="000500B4"/>
    <w:rsid w:val="000504E2"/>
    <w:rsid w:val="0005084B"/>
    <w:rsid w:val="00050CF5"/>
    <w:rsid w:val="00051B0A"/>
    <w:rsid w:val="000527EE"/>
    <w:rsid w:val="0005311F"/>
    <w:rsid w:val="00053409"/>
    <w:rsid w:val="00053536"/>
    <w:rsid w:val="00053CF7"/>
    <w:rsid w:val="0005542F"/>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ABC"/>
    <w:rsid w:val="00065C3D"/>
    <w:rsid w:val="00065E30"/>
    <w:rsid w:val="00066297"/>
    <w:rsid w:val="00067EA1"/>
    <w:rsid w:val="00070C6C"/>
    <w:rsid w:val="00071077"/>
    <w:rsid w:val="0007138C"/>
    <w:rsid w:val="000714D9"/>
    <w:rsid w:val="00071BBD"/>
    <w:rsid w:val="0007298C"/>
    <w:rsid w:val="00073109"/>
    <w:rsid w:val="00073546"/>
    <w:rsid w:val="0007397B"/>
    <w:rsid w:val="00073BAC"/>
    <w:rsid w:val="00074C07"/>
    <w:rsid w:val="0007527F"/>
    <w:rsid w:val="00075F80"/>
    <w:rsid w:val="0007744A"/>
    <w:rsid w:val="00077996"/>
    <w:rsid w:val="00077E5C"/>
    <w:rsid w:val="000801BF"/>
    <w:rsid w:val="000806B8"/>
    <w:rsid w:val="0008077E"/>
    <w:rsid w:val="00080905"/>
    <w:rsid w:val="00080AD6"/>
    <w:rsid w:val="00080D21"/>
    <w:rsid w:val="00080F16"/>
    <w:rsid w:val="00080FAB"/>
    <w:rsid w:val="0008149C"/>
    <w:rsid w:val="000815EF"/>
    <w:rsid w:val="00081949"/>
    <w:rsid w:val="00081DE6"/>
    <w:rsid w:val="00081FD7"/>
    <w:rsid w:val="00083862"/>
    <w:rsid w:val="00084527"/>
    <w:rsid w:val="00084E44"/>
    <w:rsid w:val="000852B5"/>
    <w:rsid w:val="00085AB9"/>
    <w:rsid w:val="00085BA3"/>
    <w:rsid w:val="00086FA0"/>
    <w:rsid w:val="000900E1"/>
    <w:rsid w:val="0009074A"/>
    <w:rsid w:val="00091A52"/>
    <w:rsid w:val="00091FAD"/>
    <w:rsid w:val="00092D1E"/>
    <w:rsid w:val="00092D68"/>
    <w:rsid w:val="00092E16"/>
    <w:rsid w:val="00093733"/>
    <w:rsid w:val="00093820"/>
    <w:rsid w:val="00094D9E"/>
    <w:rsid w:val="00094E0E"/>
    <w:rsid w:val="00095543"/>
    <w:rsid w:val="00095955"/>
    <w:rsid w:val="000959C1"/>
    <w:rsid w:val="000963E9"/>
    <w:rsid w:val="000972D0"/>
    <w:rsid w:val="00097AD4"/>
    <w:rsid w:val="00097BB6"/>
    <w:rsid w:val="000A03C5"/>
    <w:rsid w:val="000A04F5"/>
    <w:rsid w:val="000A0553"/>
    <w:rsid w:val="000A08A8"/>
    <w:rsid w:val="000A0BCA"/>
    <w:rsid w:val="000A0CC5"/>
    <w:rsid w:val="000A1B71"/>
    <w:rsid w:val="000A1CAB"/>
    <w:rsid w:val="000A23C1"/>
    <w:rsid w:val="000A23F0"/>
    <w:rsid w:val="000A25AB"/>
    <w:rsid w:val="000A265E"/>
    <w:rsid w:val="000A2680"/>
    <w:rsid w:val="000A2C5A"/>
    <w:rsid w:val="000A525C"/>
    <w:rsid w:val="000A58FA"/>
    <w:rsid w:val="000A607E"/>
    <w:rsid w:val="000A6863"/>
    <w:rsid w:val="000A69B0"/>
    <w:rsid w:val="000A70DF"/>
    <w:rsid w:val="000A74D7"/>
    <w:rsid w:val="000A7FB6"/>
    <w:rsid w:val="000B0F74"/>
    <w:rsid w:val="000B1390"/>
    <w:rsid w:val="000B1392"/>
    <w:rsid w:val="000B144C"/>
    <w:rsid w:val="000B1DAF"/>
    <w:rsid w:val="000B1E77"/>
    <w:rsid w:val="000B262E"/>
    <w:rsid w:val="000B2764"/>
    <w:rsid w:val="000B2938"/>
    <w:rsid w:val="000B30D6"/>
    <w:rsid w:val="000B31F5"/>
    <w:rsid w:val="000B3561"/>
    <w:rsid w:val="000B3DF5"/>
    <w:rsid w:val="000B3FB3"/>
    <w:rsid w:val="000B48CA"/>
    <w:rsid w:val="000B4A00"/>
    <w:rsid w:val="000B4B82"/>
    <w:rsid w:val="000B4BC4"/>
    <w:rsid w:val="000B526B"/>
    <w:rsid w:val="000B56F0"/>
    <w:rsid w:val="000B5EE4"/>
    <w:rsid w:val="000B6B90"/>
    <w:rsid w:val="000B6FC4"/>
    <w:rsid w:val="000B7383"/>
    <w:rsid w:val="000B7C39"/>
    <w:rsid w:val="000C00D1"/>
    <w:rsid w:val="000C015B"/>
    <w:rsid w:val="000C0782"/>
    <w:rsid w:val="000C08ED"/>
    <w:rsid w:val="000C0DE5"/>
    <w:rsid w:val="000C1825"/>
    <w:rsid w:val="000C2830"/>
    <w:rsid w:val="000C2A31"/>
    <w:rsid w:val="000C2D6A"/>
    <w:rsid w:val="000C5349"/>
    <w:rsid w:val="000C6825"/>
    <w:rsid w:val="000C68BB"/>
    <w:rsid w:val="000C6999"/>
    <w:rsid w:val="000C794C"/>
    <w:rsid w:val="000D07B5"/>
    <w:rsid w:val="000D0B4B"/>
    <w:rsid w:val="000D0F8D"/>
    <w:rsid w:val="000D15BF"/>
    <w:rsid w:val="000D2878"/>
    <w:rsid w:val="000D2E90"/>
    <w:rsid w:val="000D35C4"/>
    <w:rsid w:val="000D3BBD"/>
    <w:rsid w:val="000D557C"/>
    <w:rsid w:val="000D6325"/>
    <w:rsid w:val="000D6972"/>
    <w:rsid w:val="000D6CD5"/>
    <w:rsid w:val="000D739B"/>
    <w:rsid w:val="000D74C5"/>
    <w:rsid w:val="000D75C9"/>
    <w:rsid w:val="000D775F"/>
    <w:rsid w:val="000D7760"/>
    <w:rsid w:val="000D780C"/>
    <w:rsid w:val="000D7E59"/>
    <w:rsid w:val="000D7EA9"/>
    <w:rsid w:val="000E015F"/>
    <w:rsid w:val="000E07AC"/>
    <w:rsid w:val="000E203E"/>
    <w:rsid w:val="000E2612"/>
    <w:rsid w:val="000E2CA1"/>
    <w:rsid w:val="000E2ED0"/>
    <w:rsid w:val="000E32B6"/>
    <w:rsid w:val="000E3365"/>
    <w:rsid w:val="000E3C2F"/>
    <w:rsid w:val="000E4F35"/>
    <w:rsid w:val="000E5389"/>
    <w:rsid w:val="000E5D11"/>
    <w:rsid w:val="000E5DB4"/>
    <w:rsid w:val="000E5DC6"/>
    <w:rsid w:val="000E72C8"/>
    <w:rsid w:val="000E7361"/>
    <w:rsid w:val="000E78A6"/>
    <w:rsid w:val="000F07C3"/>
    <w:rsid w:val="000F0C2C"/>
    <w:rsid w:val="000F1889"/>
    <w:rsid w:val="000F1995"/>
    <w:rsid w:val="000F1D0D"/>
    <w:rsid w:val="000F22ED"/>
    <w:rsid w:val="000F2CF4"/>
    <w:rsid w:val="000F2D20"/>
    <w:rsid w:val="000F33B5"/>
    <w:rsid w:val="000F345D"/>
    <w:rsid w:val="000F4431"/>
    <w:rsid w:val="000F47AB"/>
    <w:rsid w:val="000F5DEF"/>
    <w:rsid w:val="000F612F"/>
    <w:rsid w:val="000F6D8A"/>
    <w:rsid w:val="000F75BE"/>
    <w:rsid w:val="000F7A57"/>
    <w:rsid w:val="00100361"/>
    <w:rsid w:val="00100683"/>
    <w:rsid w:val="0010105C"/>
    <w:rsid w:val="0010114C"/>
    <w:rsid w:val="00101869"/>
    <w:rsid w:val="00101A88"/>
    <w:rsid w:val="00101CF4"/>
    <w:rsid w:val="00101E31"/>
    <w:rsid w:val="001033B6"/>
    <w:rsid w:val="001034F2"/>
    <w:rsid w:val="00106979"/>
    <w:rsid w:val="00106BE0"/>
    <w:rsid w:val="001071E3"/>
    <w:rsid w:val="00107643"/>
    <w:rsid w:val="00107A76"/>
    <w:rsid w:val="0011039A"/>
    <w:rsid w:val="001103D0"/>
    <w:rsid w:val="00111143"/>
    <w:rsid w:val="001114DA"/>
    <w:rsid w:val="00111726"/>
    <w:rsid w:val="0011264A"/>
    <w:rsid w:val="00112670"/>
    <w:rsid w:val="00112CD1"/>
    <w:rsid w:val="00112D11"/>
    <w:rsid w:val="0011304C"/>
    <w:rsid w:val="001136AE"/>
    <w:rsid w:val="00113B06"/>
    <w:rsid w:val="00114454"/>
    <w:rsid w:val="001144BF"/>
    <w:rsid w:val="001158FA"/>
    <w:rsid w:val="00115CFE"/>
    <w:rsid w:val="001165DE"/>
    <w:rsid w:val="001170E9"/>
    <w:rsid w:val="00120AFE"/>
    <w:rsid w:val="00120EB5"/>
    <w:rsid w:val="0012116F"/>
    <w:rsid w:val="00121E2B"/>
    <w:rsid w:val="00122058"/>
    <w:rsid w:val="0012389E"/>
    <w:rsid w:val="00125CD6"/>
    <w:rsid w:val="00130D4F"/>
    <w:rsid w:val="00131000"/>
    <w:rsid w:val="0013349D"/>
    <w:rsid w:val="00133F8B"/>
    <w:rsid w:val="001345BE"/>
    <w:rsid w:val="00134B18"/>
    <w:rsid w:val="00134C2C"/>
    <w:rsid w:val="00134C66"/>
    <w:rsid w:val="00135135"/>
    <w:rsid w:val="00135634"/>
    <w:rsid w:val="001357A4"/>
    <w:rsid w:val="00135FE9"/>
    <w:rsid w:val="001370F0"/>
    <w:rsid w:val="00141848"/>
    <w:rsid w:val="00141862"/>
    <w:rsid w:val="00142323"/>
    <w:rsid w:val="001424FB"/>
    <w:rsid w:val="001437CB"/>
    <w:rsid w:val="00143A7D"/>
    <w:rsid w:val="00143C09"/>
    <w:rsid w:val="00143C47"/>
    <w:rsid w:val="00144242"/>
    <w:rsid w:val="00145567"/>
    <w:rsid w:val="00145E3F"/>
    <w:rsid w:val="001465A5"/>
    <w:rsid w:val="001470A4"/>
    <w:rsid w:val="00150234"/>
    <w:rsid w:val="00150C6F"/>
    <w:rsid w:val="001514DC"/>
    <w:rsid w:val="00151976"/>
    <w:rsid w:val="00151A3C"/>
    <w:rsid w:val="00151D66"/>
    <w:rsid w:val="001520DC"/>
    <w:rsid w:val="00153C2C"/>
    <w:rsid w:val="00153E9A"/>
    <w:rsid w:val="00154445"/>
    <w:rsid w:val="00154BB5"/>
    <w:rsid w:val="00154D5B"/>
    <w:rsid w:val="001551DD"/>
    <w:rsid w:val="00156336"/>
    <w:rsid w:val="00156355"/>
    <w:rsid w:val="00160063"/>
    <w:rsid w:val="00160209"/>
    <w:rsid w:val="00160269"/>
    <w:rsid w:val="0016042C"/>
    <w:rsid w:val="0016044E"/>
    <w:rsid w:val="00160475"/>
    <w:rsid w:val="00161EE8"/>
    <w:rsid w:val="001624FF"/>
    <w:rsid w:val="00162DC0"/>
    <w:rsid w:val="00163179"/>
    <w:rsid w:val="00163810"/>
    <w:rsid w:val="00163AE0"/>
    <w:rsid w:val="00163B71"/>
    <w:rsid w:val="00166DCE"/>
    <w:rsid w:val="00167FE2"/>
    <w:rsid w:val="00171882"/>
    <w:rsid w:val="001721B7"/>
    <w:rsid w:val="0017294B"/>
    <w:rsid w:val="001729CC"/>
    <w:rsid w:val="00173C77"/>
    <w:rsid w:val="00173E19"/>
    <w:rsid w:val="001747FB"/>
    <w:rsid w:val="001754CC"/>
    <w:rsid w:val="001754F0"/>
    <w:rsid w:val="00175D4E"/>
    <w:rsid w:val="00175DA9"/>
    <w:rsid w:val="00175FD5"/>
    <w:rsid w:val="001772E3"/>
    <w:rsid w:val="00177A6A"/>
    <w:rsid w:val="00177B0F"/>
    <w:rsid w:val="00177C63"/>
    <w:rsid w:val="00177CCE"/>
    <w:rsid w:val="001802F0"/>
    <w:rsid w:val="0018082A"/>
    <w:rsid w:val="0018096A"/>
    <w:rsid w:val="00180B97"/>
    <w:rsid w:val="001819A8"/>
    <w:rsid w:val="00182072"/>
    <w:rsid w:val="001821C9"/>
    <w:rsid w:val="001825C9"/>
    <w:rsid w:val="00183C32"/>
    <w:rsid w:val="0018408E"/>
    <w:rsid w:val="00184637"/>
    <w:rsid w:val="0018482A"/>
    <w:rsid w:val="001857A4"/>
    <w:rsid w:val="00187F02"/>
    <w:rsid w:val="00190A98"/>
    <w:rsid w:val="00190F74"/>
    <w:rsid w:val="00191E78"/>
    <w:rsid w:val="00191EB7"/>
    <w:rsid w:val="00192955"/>
    <w:rsid w:val="00192CDF"/>
    <w:rsid w:val="001933AA"/>
    <w:rsid w:val="0019398D"/>
    <w:rsid w:val="00194B7C"/>
    <w:rsid w:val="00194F0E"/>
    <w:rsid w:val="001952DB"/>
    <w:rsid w:val="001953FB"/>
    <w:rsid w:val="00195ED0"/>
    <w:rsid w:val="00196D21"/>
    <w:rsid w:val="001A0F34"/>
    <w:rsid w:val="001A1A00"/>
    <w:rsid w:val="001A2059"/>
    <w:rsid w:val="001A23EE"/>
    <w:rsid w:val="001A241E"/>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27D1"/>
    <w:rsid w:val="001B31F4"/>
    <w:rsid w:val="001B40EE"/>
    <w:rsid w:val="001B5098"/>
    <w:rsid w:val="001B538C"/>
    <w:rsid w:val="001B59A7"/>
    <w:rsid w:val="001B5EB0"/>
    <w:rsid w:val="001B617D"/>
    <w:rsid w:val="001B65B2"/>
    <w:rsid w:val="001B6BE1"/>
    <w:rsid w:val="001B6EFA"/>
    <w:rsid w:val="001B7206"/>
    <w:rsid w:val="001B7CB7"/>
    <w:rsid w:val="001B7D53"/>
    <w:rsid w:val="001C0FF2"/>
    <w:rsid w:val="001C24A2"/>
    <w:rsid w:val="001C2B7A"/>
    <w:rsid w:val="001C3417"/>
    <w:rsid w:val="001C3AEF"/>
    <w:rsid w:val="001C43B5"/>
    <w:rsid w:val="001C53B2"/>
    <w:rsid w:val="001C59C0"/>
    <w:rsid w:val="001C5C11"/>
    <w:rsid w:val="001C6D02"/>
    <w:rsid w:val="001C700E"/>
    <w:rsid w:val="001C7334"/>
    <w:rsid w:val="001C747C"/>
    <w:rsid w:val="001C7550"/>
    <w:rsid w:val="001C79CC"/>
    <w:rsid w:val="001D20A2"/>
    <w:rsid w:val="001D20C2"/>
    <w:rsid w:val="001D2383"/>
    <w:rsid w:val="001D23D5"/>
    <w:rsid w:val="001D2542"/>
    <w:rsid w:val="001D321C"/>
    <w:rsid w:val="001D3F56"/>
    <w:rsid w:val="001D423C"/>
    <w:rsid w:val="001D4D1A"/>
    <w:rsid w:val="001D58DC"/>
    <w:rsid w:val="001D5C66"/>
    <w:rsid w:val="001D5FD0"/>
    <w:rsid w:val="001D633F"/>
    <w:rsid w:val="001D6369"/>
    <w:rsid w:val="001D6CB4"/>
    <w:rsid w:val="001D7096"/>
    <w:rsid w:val="001D70AB"/>
    <w:rsid w:val="001D70E2"/>
    <w:rsid w:val="001D782A"/>
    <w:rsid w:val="001D7F3B"/>
    <w:rsid w:val="001E1320"/>
    <w:rsid w:val="001E1953"/>
    <w:rsid w:val="001E2190"/>
    <w:rsid w:val="001E2261"/>
    <w:rsid w:val="001E237E"/>
    <w:rsid w:val="001E302A"/>
    <w:rsid w:val="001E38C2"/>
    <w:rsid w:val="001E4B2A"/>
    <w:rsid w:val="001E59B6"/>
    <w:rsid w:val="001E5D22"/>
    <w:rsid w:val="001E6196"/>
    <w:rsid w:val="001E70BE"/>
    <w:rsid w:val="001E7316"/>
    <w:rsid w:val="001F0A03"/>
    <w:rsid w:val="001F0E98"/>
    <w:rsid w:val="001F132E"/>
    <w:rsid w:val="001F23D8"/>
    <w:rsid w:val="001F2462"/>
    <w:rsid w:val="001F286A"/>
    <w:rsid w:val="001F31F7"/>
    <w:rsid w:val="001F3E3E"/>
    <w:rsid w:val="001F4EFE"/>
    <w:rsid w:val="001F57E3"/>
    <w:rsid w:val="001F59B8"/>
    <w:rsid w:val="001F6059"/>
    <w:rsid w:val="001F6582"/>
    <w:rsid w:val="001F6EE7"/>
    <w:rsid w:val="001F737C"/>
    <w:rsid w:val="001F73CE"/>
    <w:rsid w:val="001F7963"/>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5E1"/>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3F56"/>
    <w:rsid w:val="00214707"/>
    <w:rsid w:val="00214A72"/>
    <w:rsid w:val="00215084"/>
    <w:rsid w:val="0022056D"/>
    <w:rsid w:val="00221055"/>
    <w:rsid w:val="0022195F"/>
    <w:rsid w:val="00221A11"/>
    <w:rsid w:val="002220BC"/>
    <w:rsid w:val="00222411"/>
    <w:rsid w:val="00222690"/>
    <w:rsid w:val="00225376"/>
    <w:rsid w:val="002254FC"/>
    <w:rsid w:val="0022562B"/>
    <w:rsid w:val="00225737"/>
    <w:rsid w:val="0022611D"/>
    <w:rsid w:val="002261D4"/>
    <w:rsid w:val="002263E9"/>
    <w:rsid w:val="00226858"/>
    <w:rsid w:val="002268A7"/>
    <w:rsid w:val="002269B6"/>
    <w:rsid w:val="00226B98"/>
    <w:rsid w:val="00227078"/>
    <w:rsid w:val="002271C8"/>
    <w:rsid w:val="00227640"/>
    <w:rsid w:val="00227C6A"/>
    <w:rsid w:val="002307B1"/>
    <w:rsid w:val="00230C32"/>
    <w:rsid w:val="00230D95"/>
    <w:rsid w:val="00231176"/>
    <w:rsid w:val="00232622"/>
    <w:rsid w:val="002328EC"/>
    <w:rsid w:val="00233096"/>
    <w:rsid w:val="002337A9"/>
    <w:rsid w:val="002338E9"/>
    <w:rsid w:val="00234854"/>
    <w:rsid w:val="00234A4F"/>
    <w:rsid w:val="00235A7E"/>
    <w:rsid w:val="00236077"/>
    <w:rsid w:val="00236F48"/>
    <w:rsid w:val="002370E3"/>
    <w:rsid w:val="00237403"/>
    <w:rsid w:val="00237F19"/>
    <w:rsid w:val="0024025C"/>
    <w:rsid w:val="002403BF"/>
    <w:rsid w:val="002416A8"/>
    <w:rsid w:val="00241D1D"/>
    <w:rsid w:val="002421C0"/>
    <w:rsid w:val="002423DF"/>
    <w:rsid w:val="00242F8C"/>
    <w:rsid w:val="00243C71"/>
    <w:rsid w:val="00243F51"/>
    <w:rsid w:val="00244AC8"/>
    <w:rsid w:val="00245009"/>
    <w:rsid w:val="0024507E"/>
    <w:rsid w:val="0024682D"/>
    <w:rsid w:val="00246E57"/>
    <w:rsid w:val="00246E8A"/>
    <w:rsid w:val="00250236"/>
    <w:rsid w:val="00250717"/>
    <w:rsid w:val="002507E3"/>
    <w:rsid w:val="00250EAB"/>
    <w:rsid w:val="00251207"/>
    <w:rsid w:val="0025154B"/>
    <w:rsid w:val="002515E8"/>
    <w:rsid w:val="0025164E"/>
    <w:rsid w:val="00251C83"/>
    <w:rsid w:val="00252030"/>
    <w:rsid w:val="0025260B"/>
    <w:rsid w:val="0025316A"/>
    <w:rsid w:val="00253370"/>
    <w:rsid w:val="00253546"/>
    <w:rsid w:val="00254329"/>
    <w:rsid w:val="002554DC"/>
    <w:rsid w:val="00255559"/>
    <w:rsid w:val="00255947"/>
    <w:rsid w:val="00255A4A"/>
    <w:rsid w:val="00255D3D"/>
    <w:rsid w:val="00256603"/>
    <w:rsid w:val="0025726A"/>
    <w:rsid w:val="00260D2A"/>
    <w:rsid w:val="002613ED"/>
    <w:rsid w:val="002615A1"/>
    <w:rsid w:val="00261617"/>
    <w:rsid w:val="00261A39"/>
    <w:rsid w:val="0026201B"/>
    <w:rsid w:val="0026213E"/>
    <w:rsid w:val="0026286F"/>
    <w:rsid w:val="002634D2"/>
    <w:rsid w:val="00263550"/>
    <w:rsid w:val="0026533C"/>
    <w:rsid w:val="00265732"/>
    <w:rsid w:val="00265BCE"/>
    <w:rsid w:val="002663F6"/>
    <w:rsid w:val="00266BBB"/>
    <w:rsid w:val="00266BE7"/>
    <w:rsid w:val="0026704D"/>
    <w:rsid w:val="00267C4F"/>
    <w:rsid w:val="002701BD"/>
    <w:rsid w:val="00270447"/>
    <w:rsid w:val="00270594"/>
    <w:rsid w:val="00270822"/>
    <w:rsid w:val="00270C0F"/>
    <w:rsid w:val="00270F9F"/>
    <w:rsid w:val="0027137A"/>
    <w:rsid w:val="00271467"/>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25E2"/>
    <w:rsid w:val="00283352"/>
    <w:rsid w:val="0028420E"/>
    <w:rsid w:val="0028477A"/>
    <w:rsid w:val="00284A19"/>
    <w:rsid w:val="00285A9C"/>
    <w:rsid w:val="00286319"/>
    <w:rsid w:val="002867E0"/>
    <w:rsid w:val="0028687B"/>
    <w:rsid w:val="002905FF"/>
    <w:rsid w:val="00290C97"/>
    <w:rsid w:val="0029144F"/>
    <w:rsid w:val="00291911"/>
    <w:rsid w:val="00292448"/>
    <w:rsid w:val="002927E9"/>
    <w:rsid w:val="00292AD3"/>
    <w:rsid w:val="002932A0"/>
    <w:rsid w:val="0029349C"/>
    <w:rsid w:val="002937A7"/>
    <w:rsid w:val="00293CDA"/>
    <w:rsid w:val="00293D3E"/>
    <w:rsid w:val="00294D11"/>
    <w:rsid w:val="00295C0A"/>
    <w:rsid w:val="002963B4"/>
    <w:rsid w:val="002965DD"/>
    <w:rsid w:val="0029694E"/>
    <w:rsid w:val="00296B5C"/>
    <w:rsid w:val="002A0127"/>
    <w:rsid w:val="002A0904"/>
    <w:rsid w:val="002A0E66"/>
    <w:rsid w:val="002A1678"/>
    <w:rsid w:val="002A178D"/>
    <w:rsid w:val="002A1796"/>
    <w:rsid w:val="002A2871"/>
    <w:rsid w:val="002A4CF8"/>
    <w:rsid w:val="002A4FF9"/>
    <w:rsid w:val="002A5140"/>
    <w:rsid w:val="002A51D4"/>
    <w:rsid w:val="002A6416"/>
    <w:rsid w:val="002A66DA"/>
    <w:rsid w:val="002A6A2A"/>
    <w:rsid w:val="002A6A9C"/>
    <w:rsid w:val="002A76C8"/>
    <w:rsid w:val="002A7850"/>
    <w:rsid w:val="002A7AD7"/>
    <w:rsid w:val="002A7B49"/>
    <w:rsid w:val="002B0BA7"/>
    <w:rsid w:val="002B0DFA"/>
    <w:rsid w:val="002B0EB2"/>
    <w:rsid w:val="002B262B"/>
    <w:rsid w:val="002B3425"/>
    <w:rsid w:val="002B3C61"/>
    <w:rsid w:val="002B4174"/>
    <w:rsid w:val="002B5493"/>
    <w:rsid w:val="002B70E8"/>
    <w:rsid w:val="002B73B0"/>
    <w:rsid w:val="002B7942"/>
    <w:rsid w:val="002C0A98"/>
    <w:rsid w:val="002C0BCC"/>
    <w:rsid w:val="002C11CB"/>
    <w:rsid w:val="002C1AE1"/>
    <w:rsid w:val="002C25D7"/>
    <w:rsid w:val="002C27B7"/>
    <w:rsid w:val="002C2940"/>
    <w:rsid w:val="002C2BC6"/>
    <w:rsid w:val="002C3064"/>
    <w:rsid w:val="002C351F"/>
    <w:rsid w:val="002C36D9"/>
    <w:rsid w:val="002C53BB"/>
    <w:rsid w:val="002C6B61"/>
    <w:rsid w:val="002C6CCF"/>
    <w:rsid w:val="002C6FEB"/>
    <w:rsid w:val="002C7DB0"/>
    <w:rsid w:val="002C7E0E"/>
    <w:rsid w:val="002C7FCA"/>
    <w:rsid w:val="002D0038"/>
    <w:rsid w:val="002D0053"/>
    <w:rsid w:val="002D0672"/>
    <w:rsid w:val="002D0793"/>
    <w:rsid w:val="002D273A"/>
    <w:rsid w:val="002D2BAA"/>
    <w:rsid w:val="002D34D6"/>
    <w:rsid w:val="002D375C"/>
    <w:rsid w:val="002D3C57"/>
    <w:rsid w:val="002D3E94"/>
    <w:rsid w:val="002D3F17"/>
    <w:rsid w:val="002D49E7"/>
    <w:rsid w:val="002D4A85"/>
    <w:rsid w:val="002D4E71"/>
    <w:rsid w:val="002D4EFB"/>
    <w:rsid w:val="002D4F22"/>
    <w:rsid w:val="002D5E95"/>
    <w:rsid w:val="002D6273"/>
    <w:rsid w:val="002D62A6"/>
    <w:rsid w:val="002D687B"/>
    <w:rsid w:val="002D6E10"/>
    <w:rsid w:val="002D6ECF"/>
    <w:rsid w:val="002E076A"/>
    <w:rsid w:val="002E0A8F"/>
    <w:rsid w:val="002E1110"/>
    <w:rsid w:val="002E25D2"/>
    <w:rsid w:val="002E3B14"/>
    <w:rsid w:val="002E3F27"/>
    <w:rsid w:val="002E3FDD"/>
    <w:rsid w:val="002E4973"/>
    <w:rsid w:val="002E4A46"/>
    <w:rsid w:val="002E5CA5"/>
    <w:rsid w:val="002E65A1"/>
    <w:rsid w:val="002E666B"/>
    <w:rsid w:val="002E6828"/>
    <w:rsid w:val="002E79E2"/>
    <w:rsid w:val="002E7B2E"/>
    <w:rsid w:val="002F00FF"/>
    <w:rsid w:val="002F0156"/>
    <w:rsid w:val="002F0FDD"/>
    <w:rsid w:val="002F169E"/>
    <w:rsid w:val="002F177C"/>
    <w:rsid w:val="002F28A1"/>
    <w:rsid w:val="002F3E5C"/>
    <w:rsid w:val="002F43D6"/>
    <w:rsid w:val="002F463C"/>
    <w:rsid w:val="002F49B3"/>
    <w:rsid w:val="002F4AFD"/>
    <w:rsid w:val="002F55D5"/>
    <w:rsid w:val="002F6227"/>
    <w:rsid w:val="002F63CD"/>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5F1"/>
    <w:rsid w:val="003056CA"/>
    <w:rsid w:val="003063BE"/>
    <w:rsid w:val="0030754A"/>
    <w:rsid w:val="00311093"/>
    <w:rsid w:val="00311207"/>
    <w:rsid w:val="00312452"/>
    <w:rsid w:val="00312EF0"/>
    <w:rsid w:val="00314E00"/>
    <w:rsid w:val="003151FD"/>
    <w:rsid w:val="00315BFE"/>
    <w:rsid w:val="00315FC8"/>
    <w:rsid w:val="003164D9"/>
    <w:rsid w:val="00317027"/>
    <w:rsid w:val="00320076"/>
    <w:rsid w:val="003201B1"/>
    <w:rsid w:val="003203E9"/>
    <w:rsid w:val="00321E22"/>
    <w:rsid w:val="003220D4"/>
    <w:rsid w:val="003223A6"/>
    <w:rsid w:val="00322462"/>
    <w:rsid w:val="0032257F"/>
    <w:rsid w:val="00323CEA"/>
    <w:rsid w:val="00324245"/>
    <w:rsid w:val="00324BCF"/>
    <w:rsid w:val="00324C44"/>
    <w:rsid w:val="00324DFE"/>
    <w:rsid w:val="003257E5"/>
    <w:rsid w:val="0032684F"/>
    <w:rsid w:val="00326AAF"/>
    <w:rsid w:val="00326F02"/>
    <w:rsid w:val="00327402"/>
    <w:rsid w:val="00327730"/>
    <w:rsid w:val="003277A1"/>
    <w:rsid w:val="0033094A"/>
    <w:rsid w:val="00330952"/>
    <w:rsid w:val="0033104E"/>
    <w:rsid w:val="003319A9"/>
    <w:rsid w:val="0033256A"/>
    <w:rsid w:val="00333077"/>
    <w:rsid w:val="00334009"/>
    <w:rsid w:val="00334286"/>
    <w:rsid w:val="0033468A"/>
    <w:rsid w:val="003346D6"/>
    <w:rsid w:val="003351E2"/>
    <w:rsid w:val="003351E6"/>
    <w:rsid w:val="00335EDC"/>
    <w:rsid w:val="00336528"/>
    <w:rsid w:val="00337356"/>
    <w:rsid w:val="00337FCB"/>
    <w:rsid w:val="00340560"/>
    <w:rsid w:val="00340EE3"/>
    <w:rsid w:val="00341014"/>
    <w:rsid w:val="003415CF"/>
    <w:rsid w:val="0034231A"/>
    <w:rsid w:val="0034249B"/>
    <w:rsid w:val="003427D9"/>
    <w:rsid w:val="00342D43"/>
    <w:rsid w:val="00344A03"/>
    <w:rsid w:val="0034530A"/>
    <w:rsid w:val="00345C3E"/>
    <w:rsid w:val="0034634B"/>
    <w:rsid w:val="003475BB"/>
    <w:rsid w:val="003478BB"/>
    <w:rsid w:val="0035009D"/>
    <w:rsid w:val="00350258"/>
    <w:rsid w:val="0035054D"/>
    <w:rsid w:val="003505F6"/>
    <w:rsid w:val="003513E7"/>
    <w:rsid w:val="00351B28"/>
    <w:rsid w:val="00351DDD"/>
    <w:rsid w:val="00351F0E"/>
    <w:rsid w:val="0035253A"/>
    <w:rsid w:val="00352A72"/>
    <w:rsid w:val="003530D5"/>
    <w:rsid w:val="00353B26"/>
    <w:rsid w:val="00353B32"/>
    <w:rsid w:val="00353BF5"/>
    <w:rsid w:val="00354222"/>
    <w:rsid w:val="00354383"/>
    <w:rsid w:val="00354DEB"/>
    <w:rsid w:val="00354E0A"/>
    <w:rsid w:val="00354FC9"/>
    <w:rsid w:val="0035513C"/>
    <w:rsid w:val="003557C9"/>
    <w:rsid w:val="00355C6C"/>
    <w:rsid w:val="00356107"/>
    <w:rsid w:val="003563ED"/>
    <w:rsid w:val="00356963"/>
    <w:rsid w:val="00357221"/>
    <w:rsid w:val="003577B3"/>
    <w:rsid w:val="00357D5D"/>
    <w:rsid w:val="00360498"/>
    <w:rsid w:val="00360BC9"/>
    <w:rsid w:val="0036107A"/>
    <w:rsid w:val="00361298"/>
    <w:rsid w:val="003613BD"/>
    <w:rsid w:val="003617CE"/>
    <w:rsid w:val="00361888"/>
    <w:rsid w:val="003618FB"/>
    <w:rsid w:val="00361AFD"/>
    <w:rsid w:val="0036274B"/>
    <w:rsid w:val="00362EA1"/>
    <w:rsid w:val="00363141"/>
    <w:rsid w:val="003632F2"/>
    <w:rsid w:val="003637FF"/>
    <w:rsid w:val="00363C71"/>
    <w:rsid w:val="003650F2"/>
    <w:rsid w:val="0036547F"/>
    <w:rsid w:val="0036647B"/>
    <w:rsid w:val="0036695F"/>
    <w:rsid w:val="00367098"/>
    <w:rsid w:val="003674F1"/>
    <w:rsid w:val="003718E2"/>
    <w:rsid w:val="003723C0"/>
    <w:rsid w:val="003729AC"/>
    <w:rsid w:val="00373BDD"/>
    <w:rsid w:val="00373CCB"/>
    <w:rsid w:val="0037429D"/>
    <w:rsid w:val="00375540"/>
    <w:rsid w:val="00375CEB"/>
    <w:rsid w:val="003761CC"/>
    <w:rsid w:val="00376254"/>
    <w:rsid w:val="00376792"/>
    <w:rsid w:val="00376B66"/>
    <w:rsid w:val="00380D37"/>
    <w:rsid w:val="003812D0"/>
    <w:rsid w:val="003813B5"/>
    <w:rsid w:val="00381706"/>
    <w:rsid w:val="00381BDA"/>
    <w:rsid w:val="003820D6"/>
    <w:rsid w:val="00382C8B"/>
    <w:rsid w:val="00382DDB"/>
    <w:rsid w:val="003839BF"/>
    <w:rsid w:val="00383B66"/>
    <w:rsid w:val="00384036"/>
    <w:rsid w:val="003840CB"/>
    <w:rsid w:val="00384B72"/>
    <w:rsid w:val="00384FA7"/>
    <w:rsid w:val="00384FB4"/>
    <w:rsid w:val="0038567D"/>
    <w:rsid w:val="00385946"/>
    <w:rsid w:val="00385B2C"/>
    <w:rsid w:val="00386439"/>
    <w:rsid w:val="00387503"/>
    <w:rsid w:val="00387CCC"/>
    <w:rsid w:val="003908CE"/>
    <w:rsid w:val="0039092A"/>
    <w:rsid w:val="0039209A"/>
    <w:rsid w:val="003920BC"/>
    <w:rsid w:val="0039310D"/>
    <w:rsid w:val="00394B59"/>
    <w:rsid w:val="00395648"/>
    <w:rsid w:val="00396815"/>
    <w:rsid w:val="00396B2A"/>
    <w:rsid w:val="00396F97"/>
    <w:rsid w:val="00397524"/>
    <w:rsid w:val="003A057C"/>
    <w:rsid w:val="003A0597"/>
    <w:rsid w:val="003A060B"/>
    <w:rsid w:val="003A0760"/>
    <w:rsid w:val="003A0C5B"/>
    <w:rsid w:val="003A138D"/>
    <w:rsid w:val="003A1AEE"/>
    <w:rsid w:val="003A23EE"/>
    <w:rsid w:val="003A286E"/>
    <w:rsid w:val="003A2CA7"/>
    <w:rsid w:val="003A2ED4"/>
    <w:rsid w:val="003A3B91"/>
    <w:rsid w:val="003A3DE5"/>
    <w:rsid w:val="003A492B"/>
    <w:rsid w:val="003A4A7D"/>
    <w:rsid w:val="003A56A8"/>
    <w:rsid w:val="003A5B1D"/>
    <w:rsid w:val="003A5F4A"/>
    <w:rsid w:val="003A5F9C"/>
    <w:rsid w:val="003A6D39"/>
    <w:rsid w:val="003A6ED3"/>
    <w:rsid w:val="003A71C5"/>
    <w:rsid w:val="003A7488"/>
    <w:rsid w:val="003A7E49"/>
    <w:rsid w:val="003B0308"/>
    <w:rsid w:val="003B070F"/>
    <w:rsid w:val="003B0A92"/>
    <w:rsid w:val="003B0C54"/>
    <w:rsid w:val="003B0CA0"/>
    <w:rsid w:val="003B0E33"/>
    <w:rsid w:val="003B1B0F"/>
    <w:rsid w:val="003B1DB4"/>
    <w:rsid w:val="003B251D"/>
    <w:rsid w:val="003B3051"/>
    <w:rsid w:val="003B4B26"/>
    <w:rsid w:val="003B50E7"/>
    <w:rsid w:val="003B53B8"/>
    <w:rsid w:val="003B5491"/>
    <w:rsid w:val="003B6F1D"/>
    <w:rsid w:val="003C031C"/>
    <w:rsid w:val="003C04D2"/>
    <w:rsid w:val="003C096C"/>
    <w:rsid w:val="003C13B1"/>
    <w:rsid w:val="003C1471"/>
    <w:rsid w:val="003C16A4"/>
    <w:rsid w:val="003C1977"/>
    <w:rsid w:val="003C1E05"/>
    <w:rsid w:val="003C1E48"/>
    <w:rsid w:val="003C22CA"/>
    <w:rsid w:val="003C26CF"/>
    <w:rsid w:val="003C2EDD"/>
    <w:rsid w:val="003C3367"/>
    <w:rsid w:val="003C40FB"/>
    <w:rsid w:val="003C4C7E"/>
    <w:rsid w:val="003C584D"/>
    <w:rsid w:val="003C6293"/>
    <w:rsid w:val="003C6811"/>
    <w:rsid w:val="003C6AF7"/>
    <w:rsid w:val="003C6E30"/>
    <w:rsid w:val="003C7489"/>
    <w:rsid w:val="003C787B"/>
    <w:rsid w:val="003C7BA3"/>
    <w:rsid w:val="003C7C73"/>
    <w:rsid w:val="003D033E"/>
    <w:rsid w:val="003D06A7"/>
    <w:rsid w:val="003D0E64"/>
    <w:rsid w:val="003D0FCD"/>
    <w:rsid w:val="003D1B8C"/>
    <w:rsid w:val="003D2164"/>
    <w:rsid w:val="003D228E"/>
    <w:rsid w:val="003D31D5"/>
    <w:rsid w:val="003D376F"/>
    <w:rsid w:val="003D4420"/>
    <w:rsid w:val="003D49A7"/>
    <w:rsid w:val="003D4E7C"/>
    <w:rsid w:val="003D5200"/>
    <w:rsid w:val="003D5F39"/>
    <w:rsid w:val="003D6BB8"/>
    <w:rsid w:val="003D6D78"/>
    <w:rsid w:val="003D6EDA"/>
    <w:rsid w:val="003D70C1"/>
    <w:rsid w:val="003D713B"/>
    <w:rsid w:val="003D76B6"/>
    <w:rsid w:val="003D7B40"/>
    <w:rsid w:val="003E12D0"/>
    <w:rsid w:val="003E18EB"/>
    <w:rsid w:val="003E1BA6"/>
    <w:rsid w:val="003E1C1E"/>
    <w:rsid w:val="003E23A2"/>
    <w:rsid w:val="003E267F"/>
    <w:rsid w:val="003E2BD3"/>
    <w:rsid w:val="003E2E55"/>
    <w:rsid w:val="003E341C"/>
    <w:rsid w:val="003E356D"/>
    <w:rsid w:val="003E3D8A"/>
    <w:rsid w:val="003E41E6"/>
    <w:rsid w:val="003E51A3"/>
    <w:rsid w:val="003E64EE"/>
    <w:rsid w:val="003E753A"/>
    <w:rsid w:val="003E7944"/>
    <w:rsid w:val="003F0666"/>
    <w:rsid w:val="003F0E3D"/>
    <w:rsid w:val="003F2351"/>
    <w:rsid w:val="003F23EF"/>
    <w:rsid w:val="003F270C"/>
    <w:rsid w:val="003F2DE4"/>
    <w:rsid w:val="003F39A7"/>
    <w:rsid w:val="003F3C8B"/>
    <w:rsid w:val="003F47B6"/>
    <w:rsid w:val="003F5009"/>
    <w:rsid w:val="003F55D5"/>
    <w:rsid w:val="003F59F6"/>
    <w:rsid w:val="003F5C83"/>
    <w:rsid w:val="003F678D"/>
    <w:rsid w:val="003F6AD6"/>
    <w:rsid w:val="003F6BE1"/>
    <w:rsid w:val="003F799D"/>
    <w:rsid w:val="0040021D"/>
    <w:rsid w:val="00400222"/>
    <w:rsid w:val="00400F10"/>
    <w:rsid w:val="00400F6E"/>
    <w:rsid w:val="004011DB"/>
    <w:rsid w:val="00401484"/>
    <w:rsid w:val="00401722"/>
    <w:rsid w:val="004022B2"/>
    <w:rsid w:val="004045B1"/>
    <w:rsid w:val="00404FAE"/>
    <w:rsid w:val="00405FE6"/>
    <w:rsid w:val="00406B91"/>
    <w:rsid w:val="00406D1A"/>
    <w:rsid w:val="00407F51"/>
    <w:rsid w:val="00410584"/>
    <w:rsid w:val="00410C1B"/>
    <w:rsid w:val="00410DC2"/>
    <w:rsid w:val="00411222"/>
    <w:rsid w:val="00412252"/>
    <w:rsid w:val="004122F9"/>
    <w:rsid w:val="00412A24"/>
    <w:rsid w:val="00412A29"/>
    <w:rsid w:val="00412B81"/>
    <w:rsid w:val="00413E83"/>
    <w:rsid w:val="004144D6"/>
    <w:rsid w:val="004158B3"/>
    <w:rsid w:val="00416AAB"/>
    <w:rsid w:val="004173BA"/>
    <w:rsid w:val="004176B6"/>
    <w:rsid w:val="00417CA2"/>
    <w:rsid w:val="00417EDD"/>
    <w:rsid w:val="0042082F"/>
    <w:rsid w:val="00420C78"/>
    <w:rsid w:val="00421109"/>
    <w:rsid w:val="00421463"/>
    <w:rsid w:val="00421A9F"/>
    <w:rsid w:val="00423F45"/>
    <w:rsid w:val="0042493E"/>
    <w:rsid w:val="00424959"/>
    <w:rsid w:val="00424E76"/>
    <w:rsid w:val="004250EE"/>
    <w:rsid w:val="004253C7"/>
    <w:rsid w:val="004260A6"/>
    <w:rsid w:val="00426631"/>
    <w:rsid w:val="004267CA"/>
    <w:rsid w:val="00426FE4"/>
    <w:rsid w:val="004272A4"/>
    <w:rsid w:val="00427CAD"/>
    <w:rsid w:val="00427E13"/>
    <w:rsid w:val="0043018B"/>
    <w:rsid w:val="004306CD"/>
    <w:rsid w:val="004308B2"/>
    <w:rsid w:val="00431246"/>
    <w:rsid w:val="0043147B"/>
    <w:rsid w:val="00432268"/>
    <w:rsid w:val="004328D8"/>
    <w:rsid w:val="00433B49"/>
    <w:rsid w:val="00436F5C"/>
    <w:rsid w:val="00437329"/>
    <w:rsid w:val="00437B94"/>
    <w:rsid w:val="00437B9B"/>
    <w:rsid w:val="00437C98"/>
    <w:rsid w:val="0044009B"/>
    <w:rsid w:val="0044024C"/>
    <w:rsid w:val="00440380"/>
    <w:rsid w:val="00441324"/>
    <w:rsid w:val="00441EBE"/>
    <w:rsid w:val="0044212F"/>
    <w:rsid w:val="0044336F"/>
    <w:rsid w:val="0044350E"/>
    <w:rsid w:val="0044440C"/>
    <w:rsid w:val="00444ABA"/>
    <w:rsid w:val="004455CF"/>
    <w:rsid w:val="00445C46"/>
    <w:rsid w:val="00445C8E"/>
    <w:rsid w:val="00446610"/>
    <w:rsid w:val="00447802"/>
    <w:rsid w:val="00447D12"/>
    <w:rsid w:val="00447E30"/>
    <w:rsid w:val="00450A37"/>
    <w:rsid w:val="00450C87"/>
    <w:rsid w:val="00451639"/>
    <w:rsid w:val="00452328"/>
    <w:rsid w:val="00452A3B"/>
    <w:rsid w:val="00452CCA"/>
    <w:rsid w:val="0045345C"/>
    <w:rsid w:val="0045484C"/>
    <w:rsid w:val="00455341"/>
    <w:rsid w:val="004554ED"/>
    <w:rsid w:val="00455BB9"/>
    <w:rsid w:val="00455C02"/>
    <w:rsid w:val="00455E0C"/>
    <w:rsid w:val="00456D92"/>
    <w:rsid w:val="00457946"/>
    <w:rsid w:val="0046041A"/>
    <w:rsid w:val="00460526"/>
    <w:rsid w:val="00460D5A"/>
    <w:rsid w:val="00460D81"/>
    <w:rsid w:val="0046106D"/>
    <w:rsid w:val="004617D3"/>
    <w:rsid w:val="00461E39"/>
    <w:rsid w:val="00462064"/>
    <w:rsid w:val="004626B9"/>
    <w:rsid w:val="00462F22"/>
    <w:rsid w:val="0046375D"/>
    <w:rsid w:val="00463E78"/>
    <w:rsid w:val="0046459B"/>
    <w:rsid w:val="00464A24"/>
    <w:rsid w:val="00464A80"/>
    <w:rsid w:val="00464E84"/>
    <w:rsid w:val="00464F1F"/>
    <w:rsid w:val="00465FC5"/>
    <w:rsid w:val="00466001"/>
    <w:rsid w:val="004662BE"/>
    <w:rsid w:val="00467062"/>
    <w:rsid w:val="004713AF"/>
    <w:rsid w:val="00471F57"/>
    <w:rsid w:val="00472258"/>
    <w:rsid w:val="00472E95"/>
    <w:rsid w:val="00473178"/>
    <w:rsid w:val="00473AFD"/>
    <w:rsid w:val="00476377"/>
    <w:rsid w:val="0047690C"/>
    <w:rsid w:val="004769F0"/>
    <w:rsid w:val="00476F3A"/>
    <w:rsid w:val="004772FE"/>
    <w:rsid w:val="00477986"/>
    <w:rsid w:val="004803A7"/>
    <w:rsid w:val="00480513"/>
    <w:rsid w:val="00480990"/>
    <w:rsid w:val="00480DAD"/>
    <w:rsid w:val="00480F40"/>
    <w:rsid w:val="004810B1"/>
    <w:rsid w:val="004812DD"/>
    <w:rsid w:val="0048182D"/>
    <w:rsid w:val="00481BD6"/>
    <w:rsid w:val="00481DF1"/>
    <w:rsid w:val="00482590"/>
    <w:rsid w:val="004826C7"/>
    <w:rsid w:val="004828DB"/>
    <w:rsid w:val="004829D5"/>
    <w:rsid w:val="00482E60"/>
    <w:rsid w:val="0048430C"/>
    <w:rsid w:val="00484759"/>
    <w:rsid w:val="00484D8A"/>
    <w:rsid w:val="00486658"/>
    <w:rsid w:val="00486C65"/>
    <w:rsid w:val="00486D90"/>
    <w:rsid w:val="004871E2"/>
    <w:rsid w:val="00487858"/>
    <w:rsid w:val="00487E4F"/>
    <w:rsid w:val="00487E6F"/>
    <w:rsid w:val="00487FDB"/>
    <w:rsid w:val="004901E8"/>
    <w:rsid w:val="0049115A"/>
    <w:rsid w:val="00491581"/>
    <w:rsid w:val="004925A6"/>
    <w:rsid w:val="00492B9D"/>
    <w:rsid w:val="00492C1D"/>
    <w:rsid w:val="00492E1B"/>
    <w:rsid w:val="004932FC"/>
    <w:rsid w:val="00493322"/>
    <w:rsid w:val="0049356E"/>
    <w:rsid w:val="00493924"/>
    <w:rsid w:val="004943D5"/>
    <w:rsid w:val="00494B02"/>
    <w:rsid w:val="00494C7E"/>
    <w:rsid w:val="00494FE2"/>
    <w:rsid w:val="00494FF1"/>
    <w:rsid w:val="004956BA"/>
    <w:rsid w:val="00495FA0"/>
    <w:rsid w:val="00496011"/>
    <w:rsid w:val="0049722C"/>
    <w:rsid w:val="0049747B"/>
    <w:rsid w:val="004975AF"/>
    <w:rsid w:val="004A05B1"/>
    <w:rsid w:val="004A06B4"/>
    <w:rsid w:val="004A07AC"/>
    <w:rsid w:val="004A11CF"/>
    <w:rsid w:val="004A2A57"/>
    <w:rsid w:val="004A2F57"/>
    <w:rsid w:val="004A3FFD"/>
    <w:rsid w:val="004A4473"/>
    <w:rsid w:val="004A5056"/>
    <w:rsid w:val="004A56D4"/>
    <w:rsid w:val="004A5B63"/>
    <w:rsid w:val="004A5CF5"/>
    <w:rsid w:val="004A68C7"/>
    <w:rsid w:val="004A7430"/>
    <w:rsid w:val="004B007C"/>
    <w:rsid w:val="004B01C5"/>
    <w:rsid w:val="004B06B0"/>
    <w:rsid w:val="004B0B1F"/>
    <w:rsid w:val="004B0F0F"/>
    <w:rsid w:val="004B115C"/>
    <w:rsid w:val="004B136F"/>
    <w:rsid w:val="004B1658"/>
    <w:rsid w:val="004B165B"/>
    <w:rsid w:val="004B2716"/>
    <w:rsid w:val="004B2EAA"/>
    <w:rsid w:val="004B3A10"/>
    <w:rsid w:val="004B3A2E"/>
    <w:rsid w:val="004B3C31"/>
    <w:rsid w:val="004B4A56"/>
    <w:rsid w:val="004B4FA3"/>
    <w:rsid w:val="004B50B0"/>
    <w:rsid w:val="004B67F4"/>
    <w:rsid w:val="004B6F18"/>
    <w:rsid w:val="004B73DF"/>
    <w:rsid w:val="004B7BD3"/>
    <w:rsid w:val="004B7CB6"/>
    <w:rsid w:val="004B7CB7"/>
    <w:rsid w:val="004B7E72"/>
    <w:rsid w:val="004C013C"/>
    <w:rsid w:val="004C0C5C"/>
    <w:rsid w:val="004C23B4"/>
    <w:rsid w:val="004C24DE"/>
    <w:rsid w:val="004C2D93"/>
    <w:rsid w:val="004C2FFB"/>
    <w:rsid w:val="004C3445"/>
    <w:rsid w:val="004C40BC"/>
    <w:rsid w:val="004C451F"/>
    <w:rsid w:val="004C4BA2"/>
    <w:rsid w:val="004C4D5A"/>
    <w:rsid w:val="004C509C"/>
    <w:rsid w:val="004C577D"/>
    <w:rsid w:val="004C5F8A"/>
    <w:rsid w:val="004C60BA"/>
    <w:rsid w:val="004C61D4"/>
    <w:rsid w:val="004C63B9"/>
    <w:rsid w:val="004C6897"/>
    <w:rsid w:val="004C6D0E"/>
    <w:rsid w:val="004C71BC"/>
    <w:rsid w:val="004D06E6"/>
    <w:rsid w:val="004D0719"/>
    <w:rsid w:val="004D0F90"/>
    <w:rsid w:val="004D0FC5"/>
    <w:rsid w:val="004D1E12"/>
    <w:rsid w:val="004D23D9"/>
    <w:rsid w:val="004D3B88"/>
    <w:rsid w:val="004D3E10"/>
    <w:rsid w:val="004D40E5"/>
    <w:rsid w:val="004D479D"/>
    <w:rsid w:val="004D535C"/>
    <w:rsid w:val="004D6002"/>
    <w:rsid w:val="004D6CD0"/>
    <w:rsid w:val="004D6F95"/>
    <w:rsid w:val="004D6FE1"/>
    <w:rsid w:val="004D7AF4"/>
    <w:rsid w:val="004E034A"/>
    <w:rsid w:val="004E0AE1"/>
    <w:rsid w:val="004E13FC"/>
    <w:rsid w:val="004E149F"/>
    <w:rsid w:val="004E217C"/>
    <w:rsid w:val="004E2380"/>
    <w:rsid w:val="004E2432"/>
    <w:rsid w:val="004E277F"/>
    <w:rsid w:val="004E35E1"/>
    <w:rsid w:val="004E3BEB"/>
    <w:rsid w:val="004E3FD5"/>
    <w:rsid w:val="004E427D"/>
    <w:rsid w:val="004E44D7"/>
    <w:rsid w:val="004E4656"/>
    <w:rsid w:val="004E5168"/>
    <w:rsid w:val="004E5326"/>
    <w:rsid w:val="004E6576"/>
    <w:rsid w:val="004E7D05"/>
    <w:rsid w:val="004E7D75"/>
    <w:rsid w:val="004F1DEC"/>
    <w:rsid w:val="004F2B73"/>
    <w:rsid w:val="004F2E1C"/>
    <w:rsid w:val="004F32AF"/>
    <w:rsid w:val="004F3D71"/>
    <w:rsid w:val="004F508B"/>
    <w:rsid w:val="004F5AE2"/>
    <w:rsid w:val="004F5D57"/>
    <w:rsid w:val="004F614A"/>
    <w:rsid w:val="004F6680"/>
    <w:rsid w:val="004F6DBE"/>
    <w:rsid w:val="004F740A"/>
    <w:rsid w:val="004F7D80"/>
    <w:rsid w:val="004F7E8F"/>
    <w:rsid w:val="00500663"/>
    <w:rsid w:val="005006FC"/>
    <w:rsid w:val="00500DB4"/>
    <w:rsid w:val="00501B34"/>
    <w:rsid w:val="00501C0F"/>
    <w:rsid w:val="0050228A"/>
    <w:rsid w:val="0050339C"/>
    <w:rsid w:val="005034DF"/>
    <w:rsid w:val="0050363D"/>
    <w:rsid w:val="005037EE"/>
    <w:rsid w:val="005053BB"/>
    <w:rsid w:val="00505515"/>
    <w:rsid w:val="0050591E"/>
    <w:rsid w:val="0050650B"/>
    <w:rsid w:val="005071E5"/>
    <w:rsid w:val="005076C0"/>
    <w:rsid w:val="005105B8"/>
    <w:rsid w:val="00510F99"/>
    <w:rsid w:val="00511572"/>
    <w:rsid w:val="00511CCC"/>
    <w:rsid w:val="00513488"/>
    <w:rsid w:val="0051363C"/>
    <w:rsid w:val="005147BF"/>
    <w:rsid w:val="005155BA"/>
    <w:rsid w:val="00515645"/>
    <w:rsid w:val="0051595C"/>
    <w:rsid w:val="005159F7"/>
    <w:rsid w:val="00515E10"/>
    <w:rsid w:val="00520382"/>
    <w:rsid w:val="005203FF"/>
    <w:rsid w:val="0052084E"/>
    <w:rsid w:val="00520A68"/>
    <w:rsid w:val="005215D5"/>
    <w:rsid w:val="0052164C"/>
    <w:rsid w:val="0052170B"/>
    <w:rsid w:val="00521DDD"/>
    <w:rsid w:val="00522169"/>
    <w:rsid w:val="00522BFC"/>
    <w:rsid w:val="00523E15"/>
    <w:rsid w:val="00525ADF"/>
    <w:rsid w:val="00525E80"/>
    <w:rsid w:val="005261ED"/>
    <w:rsid w:val="00526D52"/>
    <w:rsid w:val="00527C39"/>
    <w:rsid w:val="00527EFF"/>
    <w:rsid w:val="00531F9C"/>
    <w:rsid w:val="00532154"/>
    <w:rsid w:val="0053220B"/>
    <w:rsid w:val="00532922"/>
    <w:rsid w:val="00533A50"/>
    <w:rsid w:val="00533CF1"/>
    <w:rsid w:val="00534339"/>
    <w:rsid w:val="0053475A"/>
    <w:rsid w:val="00534AD1"/>
    <w:rsid w:val="00535081"/>
    <w:rsid w:val="005358F9"/>
    <w:rsid w:val="00535B87"/>
    <w:rsid w:val="00536ADB"/>
    <w:rsid w:val="00536C4F"/>
    <w:rsid w:val="00536F4A"/>
    <w:rsid w:val="005373D6"/>
    <w:rsid w:val="005377D9"/>
    <w:rsid w:val="00540778"/>
    <w:rsid w:val="00540A75"/>
    <w:rsid w:val="00540DB1"/>
    <w:rsid w:val="0054108A"/>
    <w:rsid w:val="0054122E"/>
    <w:rsid w:val="0054135B"/>
    <w:rsid w:val="00541490"/>
    <w:rsid w:val="005418D8"/>
    <w:rsid w:val="005418E3"/>
    <w:rsid w:val="00541D1D"/>
    <w:rsid w:val="005428E6"/>
    <w:rsid w:val="00542C53"/>
    <w:rsid w:val="00543871"/>
    <w:rsid w:val="00544487"/>
    <w:rsid w:val="00544643"/>
    <w:rsid w:val="00544CC3"/>
    <w:rsid w:val="00545188"/>
    <w:rsid w:val="0054598B"/>
    <w:rsid w:val="00546581"/>
    <w:rsid w:val="00547523"/>
    <w:rsid w:val="0055026E"/>
    <w:rsid w:val="00550E27"/>
    <w:rsid w:val="00551389"/>
    <w:rsid w:val="005514F5"/>
    <w:rsid w:val="00551C4F"/>
    <w:rsid w:val="00551F90"/>
    <w:rsid w:val="005526F6"/>
    <w:rsid w:val="005530E8"/>
    <w:rsid w:val="005535A1"/>
    <w:rsid w:val="00553E91"/>
    <w:rsid w:val="00554724"/>
    <w:rsid w:val="00554B5E"/>
    <w:rsid w:val="00555336"/>
    <w:rsid w:val="00555854"/>
    <w:rsid w:val="00555B78"/>
    <w:rsid w:val="00555CF4"/>
    <w:rsid w:val="005571E1"/>
    <w:rsid w:val="00557256"/>
    <w:rsid w:val="005572EE"/>
    <w:rsid w:val="00557344"/>
    <w:rsid w:val="00557486"/>
    <w:rsid w:val="00557A9A"/>
    <w:rsid w:val="00557B0B"/>
    <w:rsid w:val="00557CB4"/>
    <w:rsid w:val="00560893"/>
    <w:rsid w:val="0056102C"/>
    <w:rsid w:val="005625F3"/>
    <w:rsid w:val="00562BE3"/>
    <w:rsid w:val="00562EA1"/>
    <w:rsid w:val="00562ECA"/>
    <w:rsid w:val="00563146"/>
    <w:rsid w:val="00563514"/>
    <w:rsid w:val="005635B3"/>
    <w:rsid w:val="0056368B"/>
    <w:rsid w:val="005654B3"/>
    <w:rsid w:val="00565EF6"/>
    <w:rsid w:val="005664D6"/>
    <w:rsid w:val="00566D9C"/>
    <w:rsid w:val="00567610"/>
    <w:rsid w:val="00567FF2"/>
    <w:rsid w:val="005703CB"/>
    <w:rsid w:val="00570431"/>
    <w:rsid w:val="005709F3"/>
    <w:rsid w:val="00570AC3"/>
    <w:rsid w:val="00570B54"/>
    <w:rsid w:val="00570CB0"/>
    <w:rsid w:val="00571582"/>
    <w:rsid w:val="00571684"/>
    <w:rsid w:val="005716CB"/>
    <w:rsid w:val="0057349F"/>
    <w:rsid w:val="00573C15"/>
    <w:rsid w:val="00574817"/>
    <w:rsid w:val="005748DB"/>
    <w:rsid w:val="00575D45"/>
    <w:rsid w:val="0057670D"/>
    <w:rsid w:val="00577649"/>
    <w:rsid w:val="00577702"/>
    <w:rsid w:val="00577FEC"/>
    <w:rsid w:val="0058029D"/>
    <w:rsid w:val="005814EE"/>
    <w:rsid w:val="00581698"/>
    <w:rsid w:val="00581D9E"/>
    <w:rsid w:val="00582F75"/>
    <w:rsid w:val="005830B1"/>
    <w:rsid w:val="005838D2"/>
    <w:rsid w:val="00584379"/>
    <w:rsid w:val="00585750"/>
    <w:rsid w:val="00585CB6"/>
    <w:rsid w:val="00585E85"/>
    <w:rsid w:val="00585F59"/>
    <w:rsid w:val="0058616A"/>
    <w:rsid w:val="005861D3"/>
    <w:rsid w:val="00586C30"/>
    <w:rsid w:val="00586F98"/>
    <w:rsid w:val="00587037"/>
    <w:rsid w:val="0058786A"/>
    <w:rsid w:val="00590F47"/>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1D7"/>
    <w:rsid w:val="005A2968"/>
    <w:rsid w:val="005A29BB"/>
    <w:rsid w:val="005A32EC"/>
    <w:rsid w:val="005A35F4"/>
    <w:rsid w:val="005A3663"/>
    <w:rsid w:val="005A4475"/>
    <w:rsid w:val="005A4661"/>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B7E7C"/>
    <w:rsid w:val="005C006E"/>
    <w:rsid w:val="005C0816"/>
    <w:rsid w:val="005C10E0"/>
    <w:rsid w:val="005C149F"/>
    <w:rsid w:val="005C1776"/>
    <w:rsid w:val="005C1FAE"/>
    <w:rsid w:val="005C2D73"/>
    <w:rsid w:val="005C2F0E"/>
    <w:rsid w:val="005C3DCF"/>
    <w:rsid w:val="005C4038"/>
    <w:rsid w:val="005C42C9"/>
    <w:rsid w:val="005C42F5"/>
    <w:rsid w:val="005C4772"/>
    <w:rsid w:val="005C57B0"/>
    <w:rsid w:val="005C5C22"/>
    <w:rsid w:val="005C5DAC"/>
    <w:rsid w:val="005C6195"/>
    <w:rsid w:val="005C6284"/>
    <w:rsid w:val="005C6B5B"/>
    <w:rsid w:val="005C6DDB"/>
    <w:rsid w:val="005C76F8"/>
    <w:rsid w:val="005C7D42"/>
    <w:rsid w:val="005D0E45"/>
    <w:rsid w:val="005D0E4B"/>
    <w:rsid w:val="005D0EC4"/>
    <w:rsid w:val="005D19B7"/>
    <w:rsid w:val="005D1A1A"/>
    <w:rsid w:val="005D1EB5"/>
    <w:rsid w:val="005D1ED8"/>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6B5D"/>
    <w:rsid w:val="005E6B87"/>
    <w:rsid w:val="005E7159"/>
    <w:rsid w:val="005E75C4"/>
    <w:rsid w:val="005F0EE9"/>
    <w:rsid w:val="005F11CC"/>
    <w:rsid w:val="005F2121"/>
    <w:rsid w:val="005F27AD"/>
    <w:rsid w:val="005F2C74"/>
    <w:rsid w:val="005F30B5"/>
    <w:rsid w:val="005F34D0"/>
    <w:rsid w:val="005F3C70"/>
    <w:rsid w:val="005F3F99"/>
    <w:rsid w:val="005F62A3"/>
    <w:rsid w:val="006000F1"/>
    <w:rsid w:val="00601749"/>
    <w:rsid w:val="00601D40"/>
    <w:rsid w:val="00602457"/>
    <w:rsid w:val="00604305"/>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488B"/>
    <w:rsid w:val="00614C35"/>
    <w:rsid w:val="006156BD"/>
    <w:rsid w:val="00615A52"/>
    <w:rsid w:val="00616F9A"/>
    <w:rsid w:val="006174A3"/>
    <w:rsid w:val="00617636"/>
    <w:rsid w:val="00620975"/>
    <w:rsid w:val="00621742"/>
    <w:rsid w:val="0062195D"/>
    <w:rsid w:val="00621BFC"/>
    <w:rsid w:val="00622F77"/>
    <w:rsid w:val="00623101"/>
    <w:rsid w:val="00623FBC"/>
    <w:rsid w:val="006241E0"/>
    <w:rsid w:val="00624EDB"/>
    <w:rsid w:val="006259C6"/>
    <w:rsid w:val="00625DF2"/>
    <w:rsid w:val="00626AE8"/>
    <w:rsid w:val="00626EAB"/>
    <w:rsid w:val="00627CDB"/>
    <w:rsid w:val="00627D7A"/>
    <w:rsid w:val="0063044C"/>
    <w:rsid w:val="00630A55"/>
    <w:rsid w:val="00630FB3"/>
    <w:rsid w:val="00631115"/>
    <w:rsid w:val="0063227D"/>
    <w:rsid w:val="006325FC"/>
    <w:rsid w:val="00632707"/>
    <w:rsid w:val="006333E0"/>
    <w:rsid w:val="00633CD8"/>
    <w:rsid w:val="0063403F"/>
    <w:rsid w:val="006343EE"/>
    <w:rsid w:val="00634B9A"/>
    <w:rsid w:val="006356BC"/>
    <w:rsid w:val="00636C8D"/>
    <w:rsid w:val="0063703D"/>
    <w:rsid w:val="006375F9"/>
    <w:rsid w:val="00640D62"/>
    <w:rsid w:val="00640F46"/>
    <w:rsid w:val="00641D61"/>
    <w:rsid w:val="00641ECA"/>
    <w:rsid w:val="00642680"/>
    <w:rsid w:val="006428CE"/>
    <w:rsid w:val="00642B6A"/>
    <w:rsid w:val="00643170"/>
    <w:rsid w:val="006433C6"/>
    <w:rsid w:val="0064380B"/>
    <w:rsid w:val="0064490B"/>
    <w:rsid w:val="00645020"/>
    <w:rsid w:val="00645525"/>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49"/>
    <w:rsid w:val="006536F5"/>
    <w:rsid w:val="00655663"/>
    <w:rsid w:val="00656FA5"/>
    <w:rsid w:val="0065703D"/>
    <w:rsid w:val="00657264"/>
    <w:rsid w:val="00657CEB"/>
    <w:rsid w:val="00657CFA"/>
    <w:rsid w:val="0066034A"/>
    <w:rsid w:val="0066089F"/>
    <w:rsid w:val="00660EEB"/>
    <w:rsid w:val="00661541"/>
    <w:rsid w:val="00661BE5"/>
    <w:rsid w:val="00662314"/>
    <w:rsid w:val="0066241F"/>
    <w:rsid w:val="0066381F"/>
    <w:rsid w:val="00663A5A"/>
    <w:rsid w:val="00663E07"/>
    <w:rsid w:val="006643AE"/>
    <w:rsid w:val="006649F6"/>
    <w:rsid w:val="00664C78"/>
    <w:rsid w:val="0066511E"/>
    <w:rsid w:val="006653D5"/>
    <w:rsid w:val="00665654"/>
    <w:rsid w:val="00665AE4"/>
    <w:rsid w:val="00666190"/>
    <w:rsid w:val="00666388"/>
    <w:rsid w:val="00666466"/>
    <w:rsid w:val="00666514"/>
    <w:rsid w:val="00666C33"/>
    <w:rsid w:val="00666C48"/>
    <w:rsid w:val="00666D3B"/>
    <w:rsid w:val="00667649"/>
    <w:rsid w:val="00667DA6"/>
    <w:rsid w:val="00667E29"/>
    <w:rsid w:val="00670BC9"/>
    <w:rsid w:val="00671301"/>
    <w:rsid w:val="00671BE1"/>
    <w:rsid w:val="00672906"/>
    <w:rsid w:val="00675467"/>
    <w:rsid w:val="006757BF"/>
    <w:rsid w:val="00675970"/>
    <w:rsid w:val="00675C88"/>
    <w:rsid w:val="00676842"/>
    <w:rsid w:val="006773F6"/>
    <w:rsid w:val="0067779F"/>
    <w:rsid w:val="00680163"/>
    <w:rsid w:val="0068108E"/>
    <w:rsid w:val="006810E5"/>
    <w:rsid w:val="006813A2"/>
    <w:rsid w:val="0068196C"/>
    <w:rsid w:val="00681AE5"/>
    <w:rsid w:val="00681AFE"/>
    <w:rsid w:val="006828F7"/>
    <w:rsid w:val="006836AB"/>
    <w:rsid w:val="00683B34"/>
    <w:rsid w:val="00683E19"/>
    <w:rsid w:val="00684C76"/>
    <w:rsid w:val="00684E24"/>
    <w:rsid w:val="006857A3"/>
    <w:rsid w:val="00686A5C"/>
    <w:rsid w:val="00686C78"/>
    <w:rsid w:val="00687CA7"/>
    <w:rsid w:val="0069075C"/>
    <w:rsid w:val="00690B26"/>
    <w:rsid w:val="00690BDC"/>
    <w:rsid w:val="00690E1D"/>
    <w:rsid w:val="00691E8A"/>
    <w:rsid w:val="00692543"/>
    <w:rsid w:val="00692E47"/>
    <w:rsid w:val="00692FA6"/>
    <w:rsid w:val="006933FC"/>
    <w:rsid w:val="006933FE"/>
    <w:rsid w:val="00693498"/>
    <w:rsid w:val="006946A9"/>
    <w:rsid w:val="006948F1"/>
    <w:rsid w:val="00694EE7"/>
    <w:rsid w:val="00695624"/>
    <w:rsid w:val="00696069"/>
    <w:rsid w:val="00696081"/>
    <w:rsid w:val="0069629C"/>
    <w:rsid w:val="00696436"/>
    <w:rsid w:val="00696D7F"/>
    <w:rsid w:val="0069743F"/>
    <w:rsid w:val="00697B3C"/>
    <w:rsid w:val="00697EE8"/>
    <w:rsid w:val="006A01D3"/>
    <w:rsid w:val="006A0507"/>
    <w:rsid w:val="006A0721"/>
    <w:rsid w:val="006A0A5C"/>
    <w:rsid w:val="006A0C72"/>
    <w:rsid w:val="006A0CD5"/>
    <w:rsid w:val="006A1244"/>
    <w:rsid w:val="006A1B77"/>
    <w:rsid w:val="006A1BCD"/>
    <w:rsid w:val="006A24E4"/>
    <w:rsid w:val="006A3568"/>
    <w:rsid w:val="006A37B9"/>
    <w:rsid w:val="006A54F7"/>
    <w:rsid w:val="006A5B2C"/>
    <w:rsid w:val="006A7A57"/>
    <w:rsid w:val="006B0946"/>
    <w:rsid w:val="006B1015"/>
    <w:rsid w:val="006B1D3E"/>
    <w:rsid w:val="006B2401"/>
    <w:rsid w:val="006B24B4"/>
    <w:rsid w:val="006B29F0"/>
    <w:rsid w:val="006B2E33"/>
    <w:rsid w:val="006B2F90"/>
    <w:rsid w:val="006B3008"/>
    <w:rsid w:val="006B3048"/>
    <w:rsid w:val="006B312A"/>
    <w:rsid w:val="006B36FC"/>
    <w:rsid w:val="006B4AE1"/>
    <w:rsid w:val="006B51B8"/>
    <w:rsid w:val="006B54E4"/>
    <w:rsid w:val="006B56F1"/>
    <w:rsid w:val="006B64C3"/>
    <w:rsid w:val="006B6841"/>
    <w:rsid w:val="006B695C"/>
    <w:rsid w:val="006B7286"/>
    <w:rsid w:val="006B7AD6"/>
    <w:rsid w:val="006B7C65"/>
    <w:rsid w:val="006C021F"/>
    <w:rsid w:val="006C0486"/>
    <w:rsid w:val="006C068F"/>
    <w:rsid w:val="006C0B1F"/>
    <w:rsid w:val="006C1924"/>
    <w:rsid w:val="006C1E47"/>
    <w:rsid w:val="006C2248"/>
    <w:rsid w:val="006C2533"/>
    <w:rsid w:val="006C33FC"/>
    <w:rsid w:val="006C3416"/>
    <w:rsid w:val="006C4FF6"/>
    <w:rsid w:val="006C5680"/>
    <w:rsid w:val="006C652A"/>
    <w:rsid w:val="006C684E"/>
    <w:rsid w:val="006C76CB"/>
    <w:rsid w:val="006D043F"/>
    <w:rsid w:val="006D067B"/>
    <w:rsid w:val="006D13B1"/>
    <w:rsid w:val="006D178E"/>
    <w:rsid w:val="006D1C37"/>
    <w:rsid w:val="006D1F2C"/>
    <w:rsid w:val="006D23F3"/>
    <w:rsid w:val="006D2709"/>
    <w:rsid w:val="006D29B1"/>
    <w:rsid w:val="006D2BAA"/>
    <w:rsid w:val="006D2DE2"/>
    <w:rsid w:val="006D2E74"/>
    <w:rsid w:val="006D2F4B"/>
    <w:rsid w:val="006D311C"/>
    <w:rsid w:val="006D3CDA"/>
    <w:rsid w:val="006D512C"/>
    <w:rsid w:val="006D5397"/>
    <w:rsid w:val="006D565C"/>
    <w:rsid w:val="006D5E2B"/>
    <w:rsid w:val="006D5E8B"/>
    <w:rsid w:val="006D5EA4"/>
    <w:rsid w:val="006D66CC"/>
    <w:rsid w:val="006D75C8"/>
    <w:rsid w:val="006D7679"/>
    <w:rsid w:val="006E0C09"/>
    <w:rsid w:val="006E1174"/>
    <w:rsid w:val="006E160F"/>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2A74"/>
    <w:rsid w:val="006F3621"/>
    <w:rsid w:val="006F3988"/>
    <w:rsid w:val="006F3D8D"/>
    <w:rsid w:val="006F3DD0"/>
    <w:rsid w:val="006F41D5"/>
    <w:rsid w:val="006F46C5"/>
    <w:rsid w:val="006F5389"/>
    <w:rsid w:val="006F5A04"/>
    <w:rsid w:val="006F73BC"/>
    <w:rsid w:val="006F7494"/>
    <w:rsid w:val="00700803"/>
    <w:rsid w:val="00700BDB"/>
    <w:rsid w:val="00700C5F"/>
    <w:rsid w:val="00701400"/>
    <w:rsid w:val="00701AD1"/>
    <w:rsid w:val="0070239A"/>
    <w:rsid w:val="00702A5E"/>
    <w:rsid w:val="00702BD0"/>
    <w:rsid w:val="00703408"/>
    <w:rsid w:val="00703666"/>
    <w:rsid w:val="00704DFA"/>
    <w:rsid w:val="00704F6D"/>
    <w:rsid w:val="00705959"/>
    <w:rsid w:val="0070737A"/>
    <w:rsid w:val="007075C5"/>
    <w:rsid w:val="00707D80"/>
    <w:rsid w:val="00707F07"/>
    <w:rsid w:val="0071021F"/>
    <w:rsid w:val="00710936"/>
    <w:rsid w:val="007117A0"/>
    <w:rsid w:val="00711CE0"/>
    <w:rsid w:val="00712D41"/>
    <w:rsid w:val="007134C0"/>
    <w:rsid w:val="007137A6"/>
    <w:rsid w:val="00714643"/>
    <w:rsid w:val="007148A4"/>
    <w:rsid w:val="0071509B"/>
    <w:rsid w:val="007150AC"/>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176"/>
    <w:rsid w:val="007262FC"/>
    <w:rsid w:val="00726800"/>
    <w:rsid w:val="00727321"/>
    <w:rsid w:val="00727537"/>
    <w:rsid w:val="00727716"/>
    <w:rsid w:val="00727BA1"/>
    <w:rsid w:val="0073015C"/>
    <w:rsid w:val="00730CBE"/>
    <w:rsid w:val="0073137F"/>
    <w:rsid w:val="00731436"/>
    <w:rsid w:val="00732B6C"/>
    <w:rsid w:val="00732C26"/>
    <w:rsid w:val="00733418"/>
    <w:rsid w:val="00733622"/>
    <w:rsid w:val="007342BF"/>
    <w:rsid w:val="0073475F"/>
    <w:rsid w:val="00735F3D"/>
    <w:rsid w:val="0073666A"/>
    <w:rsid w:val="00736B8B"/>
    <w:rsid w:val="00737D81"/>
    <w:rsid w:val="007403D2"/>
    <w:rsid w:val="0074081B"/>
    <w:rsid w:val="00740BC4"/>
    <w:rsid w:val="00740E44"/>
    <w:rsid w:val="00741813"/>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0CCE"/>
    <w:rsid w:val="00751848"/>
    <w:rsid w:val="0075241F"/>
    <w:rsid w:val="007542B3"/>
    <w:rsid w:val="0075508C"/>
    <w:rsid w:val="007554DD"/>
    <w:rsid w:val="00755788"/>
    <w:rsid w:val="007558CD"/>
    <w:rsid w:val="00756074"/>
    <w:rsid w:val="00757581"/>
    <w:rsid w:val="0075770A"/>
    <w:rsid w:val="00757879"/>
    <w:rsid w:val="007606BD"/>
    <w:rsid w:val="0076089C"/>
    <w:rsid w:val="007611DF"/>
    <w:rsid w:val="0076130D"/>
    <w:rsid w:val="0076197B"/>
    <w:rsid w:val="00762396"/>
    <w:rsid w:val="007626EB"/>
    <w:rsid w:val="00762754"/>
    <w:rsid w:val="00762B40"/>
    <w:rsid w:val="007632B5"/>
    <w:rsid w:val="00763310"/>
    <w:rsid w:val="00764839"/>
    <w:rsid w:val="00764919"/>
    <w:rsid w:val="0076573A"/>
    <w:rsid w:val="0076582D"/>
    <w:rsid w:val="0076592A"/>
    <w:rsid w:val="00766719"/>
    <w:rsid w:val="00766B0E"/>
    <w:rsid w:val="007670EC"/>
    <w:rsid w:val="007679EE"/>
    <w:rsid w:val="00770025"/>
    <w:rsid w:val="0077037D"/>
    <w:rsid w:val="00770815"/>
    <w:rsid w:val="00770B62"/>
    <w:rsid w:val="00770FCF"/>
    <w:rsid w:val="0077184D"/>
    <w:rsid w:val="0077194E"/>
    <w:rsid w:val="00771CE2"/>
    <w:rsid w:val="00772C38"/>
    <w:rsid w:val="00772F75"/>
    <w:rsid w:val="00773A7E"/>
    <w:rsid w:val="007746D4"/>
    <w:rsid w:val="00774F01"/>
    <w:rsid w:val="007750CB"/>
    <w:rsid w:val="00775686"/>
    <w:rsid w:val="00775B8E"/>
    <w:rsid w:val="007765AF"/>
    <w:rsid w:val="0077760A"/>
    <w:rsid w:val="007776E9"/>
    <w:rsid w:val="00777FBA"/>
    <w:rsid w:val="00780828"/>
    <w:rsid w:val="007811F8"/>
    <w:rsid w:val="007812E9"/>
    <w:rsid w:val="00781631"/>
    <w:rsid w:val="00781D94"/>
    <w:rsid w:val="00781DE5"/>
    <w:rsid w:val="00783EEF"/>
    <w:rsid w:val="0078414B"/>
    <w:rsid w:val="00784616"/>
    <w:rsid w:val="0078481B"/>
    <w:rsid w:val="00785663"/>
    <w:rsid w:val="00785756"/>
    <w:rsid w:val="00785AD3"/>
    <w:rsid w:val="007868C5"/>
    <w:rsid w:val="00786C02"/>
    <w:rsid w:val="0078792E"/>
    <w:rsid w:val="00787CD3"/>
    <w:rsid w:val="00790BF9"/>
    <w:rsid w:val="00790E82"/>
    <w:rsid w:val="00791B90"/>
    <w:rsid w:val="00791D93"/>
    <w:rsid w:val="0079218A"/>
    <w:rsid w:val="007921D3"/>
    <w:rsid w:val="00792652"/>
    <w:rsid w:val="00792D65"/>
    <w:rsid w:val="00792D84"/>
    <w:rsid w:val="007933D0"/>
    <w:rsid w:val="00793D61"/>
    <w:rsid w:val="00794388"/>
    <w:rsid w:val="00794651"/>
    <w:rsid w:val="00794A7A"/>
    <w:rsid w:val="00794CF3"/>
    <w:rsid w:val="007956B1"/>
    <w:rsid w:val="0079579F"/>
    <w:rsid w:val="0079590A"/>
    <w:rsid w:val="00795D0C"/>
    <w:rsid w:val="00795DB8"/>
    <w:rsid w:val="00796811"/>
    <w:rsid w:val="00797307"/>
    <w:rsid w:val="00797E0A"/>
    <w:rsid w:val="007A0F11"/>
    <w:rsid w:val="007A1DA0"/>
    <w:rsid w:val="007A1F7C"/>
    <w:rsid w:val="007A24D3"/>
    <w:rsid w:val="007A3709"/>
    <w:rsid w:val="007A396C"/>
    <w:rsid w:val="007A3D5F"/>
    <w:rsid w:val="007A41F0"/>
    <w:rsid w:val="007A432E"/>
    <w:rsid w:val="007A4384"/>
    <w:rsid w:val="007A444D"/>
    <w:rsid w:val="007A4694"/>
    <w:rsid w:val="007A47A0"/>
    <w:rsid w:val="007A4843"/>
    <w:rsid w:val="007A5C24"/>
    <w:rsid w:val="007A6167"/>
    <w:rsid w:val="007A73FB"/>
    <w:rsid w:val="007A772B"/>
    <w:rsid w:val="007A7E95"/>
    <w:rsid w:val="007A7FA1"/>
    <w:rsid w:val="007A7FE1"/>
    <w:rsid w:val="007B0423"/>
    <w:rsid w:val="007B0F82"/>
    <w:rsid w:val="007B1828"/>
    <w:rsid w:val="007B1F93"/>
    <w:rsid w:val="007B2693"/>
    <w:rsid w:val="007B2926"/>
    <w:rsid w:val="007B2CDF"/>
    <w:rsid w:val="007B3789"/>
    <w:rsid w:val="007B3D00"/>
    <w:rsid w:val="007B427E"/>
    <w:rsid w:val="007B4C16"/>
    <w:rsid w:val="007B4D0F"/>
    <w:rsid w:val="007B53A2"/>
    <w:rsid w:val="007B55A9"/>
    <w:rsid w:val="007B5ADF"/>
    <w:rsid w:val="007B5AEE"/>
    <w:rsid w:val="007B6106"/>
    <w:rsid w:val="007B62C6"/>
    <w:rsid w:val="007B6388"/>
    <w:rsid w:val="007B665D"/>
    <w:rsid w:val="007B667F"/>
    <w:rsid w:val="007B67C5"/>
    <w:rsid w:val="007B6999"/>
    <w:rsid w:val="007B69E6"/>
    <w:rsid w:val="007B706D"/>
    <w:rsid w:val="007B794F"/>
    <w:rsid w:val="007C012B"/>
    <w:rsid w:val="007C02ED"/>
    <w:rsid w:val="007C035E"/>
    <w:rsid w:val="007C0E5C"/>
    <w:rsid w:val="007C0FC1"/>
    <w:rsid w:val="007C1003"/>
    <w:rsid w:val="007C151D"/>
    <w:rsid w:val="007C1A23"/>
    <w:rsid w:val="007C1AA7"/>
    <w:rsid w:val="007C2119"/>
    <w:rsid w:val="007C2499"/>
    <w:rsid w:val="007C24B4"/>
    <w:rsid w:val="007C26D5"/>
    <w:rsid w:val="007C4A64"/>
    <w:rsid w:val="007C5FA2"/>
    <w:rsid w:val="007C6574"/>
    <w:rsid w:val="007C6635"/>
    <w:rsid w:val="007C7551"/>
    <w:rsid w:val="007D1124"/>
    <w:rsid w:val="007D12E7"/>
    <w:rsid w:val="007D2CD3"/>
    <w:rsid w:val="007D2DD6"/>
    <w:rsid w:val="007D4062"/>
    <w:rsid w:val="007D42B0"/>
    <w:rsid w:val="007D4334"/>
    <w:rsid w:val="007D469E"/>
    <w:rsid w:val="007D4871"/>
    <w:rsid w:val="007D522F"/>
    <w:rsid w:val="007D5329"/>
    <w:rsid w:val="007D5E57"/>
    <w:rsid w:val="007D6AB8"/>
    <w:rsid w:val="007D6FAE"/>
    <w:rsid w:val="007D7038"/>
    <w:rsid w:val="007D75D0"/>
    <w:rsid w:val="007D75ED"/>
    <w:rsid w:val="007D7DE3"/>
    <w:rsid w:val="007E0051"/>
    <w:rsid w:val="007E00DC"/>
    <w:rsid w:val="007E020B"/>
    <w:rsid w:val="007E1104"/>
    <w:rsid w:val="007E2158"/>
    <w:rsid w:val="007E2260"/>
    <w:rsid w:val="007E2B7A"/>
    <w:rsid w:val="007E2E32"/>
    <w:rsid w:val="007E36B0"/>
    <w:rsid w:val="007E4022"/>
    <w:rsid w:val="007E4A47"/>
    <w:rsid w:val="007E4AB8"/>
    <w:rsid w:val="007E4FC0"/>
    <w:rsid w:val="007E516A"/>
    <w:rsid w:val="007E570D"/>
    <w:rsid w:val="007E60A0"/>
    <w:rsid w:val="007E68B8"/>
    <w:rsid w:val="007E7127"/>
    <w:rsid w:val="007E72B4"/>
    <w:rsid w:val="007E745B"/>
    <w:rsid w:val="007F10E0"/>
    <w:rsid w:val="007F118D"/>
    <w:rsid w:val="007F19D7"/>
    <w:rsid w:val="007F1D03"/>
    <w:rsid w:val="007F2431"/>
    <w:rsid w:val="007F2821"/>
    <w:rsid w:val="007F282E"/>
    <w:rsid w:val="007F287A"/>
    <w:rsid w:val="007F2AF5"/>
    <w:rsid w:val="007F2D79"/>
    <w:rsid w:val="007F3EC8"/>
    <w:rsid w:val="007F44E1"/>
    <w:rsid w:val="007F4769"/>
    <w:rsid w:val="007F4B97"/>
    <w:rsid w:val="007F5EE7"/>
    <w:rsid w:val="007F6A5A"/>
    <w:rsid w:val="007F6EB5"/>
    <w:rsid w:val="007F6FED"/>
    <w:rsid w:val="007F746D"/>
    <w:rsid w:val="007F77E4"/>
    <w:rsid w:val="007F7904"/>
    <w:rsid w:val="007F7964"/>
    <w:rsid w:val="008007D9"/>
    <w:rsid w:val="0080257E"/>
    <w:rsid w:val="00803105"/>
    <w:rsid w:val="008038D1"/>
    <w:rsid w:val="00804732"/>
    <w:rsid w:val="00804D49"/>
    <w:rsid w:val="00804DB0"/>
    <w:rsid w:val="00804E26"/>
    <w:rsid w:val="00805A33"/>
    <w:rsid w:val="0080625E"/>
    <w:rsid w:val="00806314"/>
    <w:rsid w:val="008067F0"/>
    <w:rsid w:val="00806866"/>
    <w:rsid w:val="008074E0"/>
    <w:rsid w:val="00810D65"/>
    <w:rsid w:val="00810E56"/>
    <w:rsid w:val="00812058"/>
    <w:rsid w:val="00812161"/>
    <w:rsid w:val="00813087"/>
    <w:rsid w:val="008135FB"/>
    <w:rsid w:val="008138F7"/>
    <w:rsid w:val="00813951"/>
    <w:rsid w:val="00813C06"/>
    <w:rsid w:val="00813F8B"/>
    <w:rsid w:val="00814590"/>
    <w:rsid w:val="0081492C"/>
    <w:rsid w:val="00815512"/>
    <w:rsid w:val="00816B1C"/>
    <w:rsid w:val="00816E01"/>
    <w:rsid w:val="0081798F"/>
    <w:rsid w:val="00820BDB"/>
    <w:rsid w:val="00820EEB"/>
    <w:rsid w:val="00820EF8"/>
    <w:rsid w:val="00821D32"/>
    <w:rsid w:val="00821FD9"/>
    <w:rsid w:val="008222BE"/>
    <w:rsid w:val="00822B83"/>
    <w:rsid w:val="00822BCF"/>
    <w:rsid w:val="008234BE"/>
    <w:rsid w:val="0082384F"/>
    <w:rsid w:val="00823C5F"/>
    <w:rsid w:val="00823FE0"/>
    <w:rsid w:val="00824B02"/>
    <w:rsid w:val="00824E6D"/>
    <w:rsid w:val="0082613C"/>
    <w:rsid w:val="00826F29"/>
    <w:rsid w:val="00827D47"/>
    <w:rsid w:val="008300FD"/>
    <w:rsid w:val="00830F5D"/>
    <w:rsid w:val="008310D3"/>
    <w:rsid w:val="0083115B"/>
    <w:rsid w:val="0083122F"/>
    <w:rsid w:val="0083151A"/>
    <w:rsid w:val="00831B9B"/>
    <w:rsid w:val="00831E9B"/>
    <w:rsid w:val="0083240C"/>
    <w:rsid w:val="00832491"/>
    <w:rsid w:val="00832530"/>
    <w:rsid w:val="008335C3"/>
    <w:rsid w:val="008338B5"/>
    <w:rsid w:val="00833922"/>
    <w:rsid w:val="00833A40"/>
    <w:rsid w:val="00833E73"/>
    <w:rsid w:val="00834499"/>
    <w:rsid w:val="00834520"/>
    <w:rsid w:val="00835C05"/>
    <w:rsid w:val="00836F5E"/>
    <w:rsid w:val="008371A2"/>
    <w:rsid w:val="0083752C"/>
    <w:rsid w:val="00840371"/>
    <w:rsid w:val="0084141C"/>
    <w:rsid w:val="00841425"/>
    <w:rsid w:val="008415DA"/>
    <w:rsid w:val="008416A3"/>
    <w:rsid w:val="0084189F"/>
    <w:rsid w:val="0084219D"/>
    <w:rsid w:val="0084321A"/>
    <w:rsid w:val="0084339B"/>
    <w:rsid w:val="00844EBA"/>
    <w:rsid w:val="00845079"/>
    <w:rsid w:val="00845301"/>
    <w:rsid w:val="0084561B"/>
    <w:rsid w:val="00845960"/>
    <w:rsid w:val="008468C9"/>
    <w:rsid w:val="00847557"/>
    <w:rsid w:val="00850624"/>
    <w:rsid w:val="00850C87"/>
    <w:rsid w:val="008512E7"/>
    <w:rsid w:val="008514F1"/>
    <w:rsid w:val="00851AFB"/>
    <w:rsid w:val="00851D91"/>
    <w:rsid w:val="008524E7"/>
    <w:rsid w:val="00852806"/>
    <w:rsid w:val="00852846"/>
    <w:rsid w:val="00852DF9"/>
    <w:rsid w:val="00854856"/>
    <w:rsid w:val="008549CD"/>
    <w:rsid w:val="0085505C"/>
    <w:rsid w:val="008559EF"/>
    <w:rsid w:val="00856273"/>
    <w:rsid w:val="008573A8"/>
    <w:rsid w:val="00857D67"/>
    <w:rsid w:val="00857ECB"/>
    <w:rsid w:val="008607F8"/>
    <w:rsid w:val="00861397"/>
    <w:rsid w:val="00861973"/>
    <w:rsid w:val="008619CD"/>
    <w:rsid w:val="00861A28"/>
    <w:rsid w:val="00861A4C"/>
    <w:rsid w:val="00861A73"/>
    <w:rsid w:val="00861EBE"/>
    <w:rsid w:val="008627A6"/>
    <w:rsid w:val="008627FF"/>
    <w:rsid w:val="00863C7C"/>
    <w:rsid w:val="00863D85"/>
    <w:rsid w:val="00863F5A"/>
    <w:rsid w:val="008642DD"/>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62DD"/>
    <w:rsid w:val="00876303"/>
    <w:rsid w:val="00877686"/>
    <w:rsid w:val="00877B01"/>
    <w:rsid w:val="00877E08"/>
    <w:rsid w:val="008806C6"/>
    <w:rsid w:val="0088097E"/>
    <w:rsid w:val="00880A1E"/>
    <w:rsid w:val="00881462"/>
    <w:rsid w:val="008815AF"/>
    <w:rsid w:val="00881A49"/>
    <w:rsid w:val="00882B3D"/>
    <w:rsid w:val="00882D1F"/>
    <w:rsid w:val="00883F90"/>
    <w:rsid w:val="00886679"/>
    <w:rsid w:val="00886B47"/>
    <w:rsid w:val="00887609"/>
    <w:rsid w:val="0088770C"/>
    <w:rsid w:val="00887AE8"/>
    <w:rsid w:val="00890467"/>
    <w:rsid w:val="008907BD"/>
    <w:rsid w:val="00890F8D"/>
    <w:rsid w:val="00891285"/>
    <w:rsid w:val="00891958"/>
    <w:rsid w:val="00891E34"/>
    <w:rsid w:val="008928FE"/>
    <w:rsid w:val="0089293A"/>
    <w:rsid w:val="00892BAB"/>
    <w:rsid w:val="00892C92"/>
    <w:rsid w:val="00892E4C"/>
    <w:rsid w:val="00892F9F"/>
    <w:rsid w:val="0089326D"/>
    <w:rsid w:val="00893509"/>
    <w:rsid w:val="0089420D"/>
    <w:rsid w:val="00894407"/>
    <w:rsid w:val="0089461C"/>
    <w:rsid w:val="008946F7"/>
    <w:rsid w:val="00894D6F"/>
    <w:rsid w:val="0089619B"/>
    <w:rsid w:val="00896B70"/>
    <w:rsid w:val="00896BA3"/>
    <w:rsid w:val="0089709D"/>
    <w:rsid w:val="008978C8"/>
    <w:rsid w:val="00897917"/>
    <w:rsid w:val="008A08F8"/>
    <w:rsid w:val="008A0B74"/>
    <w:rsid w:val="008A0EFC"/>
    <w:rsid w:val="008A1144"/>
    <w:rsid w:val="008A17A6"/>
    <w:rsid w:val="008A1AA2"/>
    <w:rsid w:val="008A1AE4"/>
    <w:rsid w:val="008A1C56"/>
    <w:rsid w:val="008A231F"/>
    <w:rsid w:val="008A23E2"/>
    <w:rsid w:val="008A257D"/>
    <w:rsid w:val="008A27D4"/>
    <w:rsid w:val="008A2E0C"/>
    <w:rsid w:val="008A3000"/>
    <w:rsid w:val="008A3A67"/>
    <w:rsid w:val="008A3A78"/>
    <w:rsid w:val="008A4086"/>
    <w:rsid w:val="008A42E6"/>
    <w:rsid w:val="008A4902"/>
    <w:rsid w:val="008A5BB2"/>
    <w:rsid w:val="008A7950"/>
    <w:rsid w:val="008B03E2"/>
    <w:rsid w:val="008B05C5"/>
    <w:rsid w:val="008B0824"/>
    <w:rsid w:val="008B0BD4"/>
    <w:rsid w:val="008B0EC4"/>
    <w:rsid w:val="008B410D"/>
    <w:rsid w:val="008B5E05"/>
    <w:rsid w:val="008B7345"/>
    <w:rsid w:val="008B7C63"/>
    <w:rsid w:val="008B7DAD"/>
    <w:rsid w:val="008C0007"/>
    <w:rsid w:val="008C0349"/>
    <w:rsid w:val="008C0FDD"/>
    <w:rsid w:val="008C104F"/>
    <w:rsid w:val="008C12EA"/>
    <w:rsid w:val="008C16F4"/>
    <w:rsid w:val="008C2A8A"/>
    <w:rsid w:val="008C2BEB"/>
    <w:rsid w:val="008C34FC"/>
    <w:rsid w:val="008C387F"/>
    <w:rsid w:val="008C44CE"/>
    <w:rsid w:val="008C4A0E"/>
    <w:rsid w:val="008C5288"/>
    <w:rsid w:val="008C59C7"/>
    <w:rsid w:val="008C5CCC"/>
    <w:rsid w:val="008C5F47"/>
    <w:rsid w:val="008C5FE6"/>
    <w:rsid w:val="008C6326"/>
    <w:rsid w:val="008C6530"/>
    <w:rsid w:val="008D00ED"/>
    <w:rsid w:val="008D05A1"/>
    <w:rsid w:val="008D0A63"/>
    <w:rsid w:val="008D13FA"/>
    <w:rsid w:val="008D1797"/>
    <w:rsid w:val="008D224F"/>
    <w:rsid w:val="008D2A8B"/>
    <w:rsid w:val="008D2B29"/>
    <w:rsid w:val="008D2CB1"/>
    <w:rsid w:val="008D2F94"/>
    <w:rsid w:val="008D34D5"/>
    <w:rsid w:val="008D3D28"/>
    <w:rsid w:val="008D3F6A"/>
    <w:rsid w:val="008D48A5"/>
    <w:rsid w:val="008D4A67"/>
    <w:rsid w:val="008D4FBB"/>
    <w:rsid w:val="008D5339"/>
    <w:rsid w:val="008D6B16"/>
    <w:rsid w:val="008D724F"/>
    <w:rsid w:val="008D746B"/>
    <w:rsid w:val="008D7A9D"/>
    <w:rsid w:val="008D7DB1"/>
    <w:rsid w:val="008E0974"/>
    <w:rsid w:val="008E0EAE"/>
    <w:rsid w:val="008E1130"/>
    <w:rsid w:val="008E1B2C"/>
    <w:rsid w:val="008E2259"/>
    <w:rsid w:val="008E2502"/>
    <w:rsid w:val="008E2F09"/>
    <w:rsid w:val="008E36C4"/>
    <w:rsid w:val="008E3F72"/>
    <w:rsid w:val="008E431C"/>
    <w:rsid w:val="008E4B9D"/>
    <w:rsid w:val="008E4FE7"/>
    <w:rsid w:val="008E50E6"/>
    <w:rsid w:val="008E5547"/>
    <w:rsid w:val="008E5E69"/>
    <w:rsid w:val="008E6D54"/>
    <w:rsid w:val="008E6E39"/>
    <w:rsid w:val="008E7502"/>
    <w:rsid w:val="008E78E5"/>
    <w:rsid w:val="008E796B"/>
    <w:rsid w:val="008E7BEE"/>
    <w:rsid w:val="008F08A8"/>
    <w:rsid w:val="008F1998"/>
    <w:rsid w:val="008F22BF"/>
    <w:rsid w:val="008F47D4"/>
    <w:rsid w:val="008F4B9A"/>
    <w:rsid w:val="008F4D79"/>
    <w:rsid w:val="008F5DA9"/>
    <w:rsid w:val="008F686D"/>
    <w:rsid w:val="008F6892"/>
    <w:rsid w:val="008F6985"/>
    <w:rsid w:val="008F7066"/>
    <w:rsid w:val="008F77FD"/>
    <w:rsid w:val="008F7995"/>
    <w:rsid w:val="008F7E88"/>
    <w:rsid w:val="00900904"/>
    <w:rsid w:val="0090128F"/>
    <w:rsid w:val="00901C97"/>
    <w:rsid w:val="00902526"/>
    <w:rsid w:val="00903358"/>
    <w:rsid w:val="00903819"/>
    <w:rsid w:val="0090418D"/>
    <w:rsid w:val="00904ACB"/>
    <w:rsid w:val="00905120"/>
    <w:rsid w:val="0090513D"/>
    <w:rsid w:val="00905269"/>
    <w:rsid w:val="00905419"/>
    <w:rsid w:val="00905AD6"/>
    <w:rsid w:val="00905E82"/>
    <w:rsid w:val="00906027"/>
    <w:rsid w:val="009074E0"/>
    <w:rsid w:val="00907506"/>
    <w:rsid w:val="00907812"/>
    <w:rsid w:val="0090781A"/>
    <w:rsid w:val="0091002E"/>
    <w:rsid w:val="0091052A"/>
    <w:rsid w:val="00910F16"/>
    <w:rsid w:val="00911898"/>
    <w:rsid w:val="00911A93"/>
    <w:rsid w:val="00913861"/>
    <w:rsid w:val="009138E2"/>
    <w:rsid w:val="00913B86"/>
    <w:rsid w:val="009141E4"/>
    <w:rsid w:val="00914222"/>
    <w:rsid w:val="00914574"/>
    <w:rsid w:val="0091462C"/>
    <w:rsid w:val="00914B53"/>
    <w:rsid w:val="009156EF"/>
    <w:rsid w:val="00916008"/>
    <w:rsid w:val="00916343"/>
    <w:rsid w:val="00916766"/>
    <w:rsid w:val="00917A60"/>
    <w:rsid w:val="009203FA"/>
    <w:rsid w:val="00920921"/>
    <w:rsid w:val="00920B77"/>
    <w:rsid w:val="00921364"/>
    <w:rsid w:val="00921983"/>
    <w:rsid w:val="00921A0C"/>
    <w:rsid w:val="00921D2A"/>
    <w:rsid w:val="00921DE5"/>
    <w:rsid w:val="0092258F"/>
    <w:rsid w:val="00922C91"/>
    <w:rsid w:val="00923889"/>
    <w:rsid w:val="00924A74"/>
    <w:rsid w:val="009251C8"/>
    <w:rsid w:val="009257A2"/>
    <w:rsid w:val="00925C46"/>
    <w:rsid w:val="00926120"/>
    <w:rsid w:val="00926798"/>
    <w:rsid w:val="00927636"/>
    <w:rsid w:val="0092798F"/>
    <w:rsid w:val="00927D56"/>
    <w:rsid w:val="00927DBA"/>
    <w:rsid w:val="00930250"/>
    <w:rsid w:val="009304D1"/>
    <w:rsid w:val="00930729"/>
    <w:rsid w:val="00930E61"/>
    <w:rsid w:val="00931503"/>
    <w:rsid w:val="009318E8"/>
    <w:rsid w:val="009319F8"/>
    <w:rsid w:val="00931EC4"/>
    <w:rsid w:val="009321ED"/>
    <w:rsid w:val="00932B66"/>
    <w:rsid w:val="0093329B"/>
    <w:rsid w:val="00934410"/>
    <w:rsid w:val="009362E3"/>
    <w:rsid w:val="0093696D"/>
    <w:rsid w:val="0093745C"/>
    <w:rsid w:val="0094121F"/>
    <w:rsid w:val="00941375"/>
    <w:rsid w:val="0094156E"/>
    <w:rsid w:val="00941CF5"/>
    <w:rsid w:val="00942786"/>
    <w:rsid w:val="0094398F"/>
    <w:rsid w:val="00943A9A"/>
    <w:rsid w:val="00945187"/>
    <w:rsid w:val="00945C2F"/>
    <w:rsid w:val="00946A15"/>
    <w:rsid w:val="00946C16"/>
    <w:rsid w:val="00947008"/>
    <w:rsid w:val="00947EBD"/>
    <w:rsid w:val="0095050F"/>
    <w:rsid w:val="00951B2D"/>
    <w:rsid w:val="00951CCB"/>
    <w:rsid w:val="009520B1"/>
    <w:rsid w:val="0095278B"/>
    <w:rsid w:val="0095481B"/>
    <w:rsid w:val="00955C76"/>
    <w:rsid w:val="00955CA3"/>
    <w:rsid w:val="00956D16"/>
    <w:rsid w:val="00956E3F"/>
    <w:rsid w:val="0095754A"/>
    <w:rsid w:val="0095755B"/>
    <w:rsid w:val="009578E4"/>
    <w:rsid w:val="00960B5B"/>
    <w:rsid w:val="00961BB3"/>
    <w:rsid w:val="00961D12"/>
    <w:rsid w:val="009620AC"/>
    <w:rsid w:val="009630BF"/>
    <w:rsid w:val="00963A3D"/>
    <w:rsid w:val="009655B2"/>
    <w:rsid w:val="00965B7D"/>
    <w:rsid w:val="00967456"/>
    <w:rsid w:val="00967869"/>
    <w:rsid w:val="0097036E"/>
    <w:rsid w:val="00970507"/>
    <w:rsid w:val="00970EA1"/>
    <w:rsid w:val="00971010"/>
    <w:rsid w:val="00971024"/>
    <w:rsid w:val="00971378"/>
    <w:rsid w:val="009714BD"/>
    <w:rsid w:val="00971DB8"/>
    <w:rsid w:val="00972779"/>
    <w:rsid w:val="00973011"/>
    <w:rsid w:val="0097330C"/>
    <w:rsid w:val="0097412F"/>
    <w:rsid w:val="00974317"/>
    <w:rsid w:val="00974980"/>
    <w:rsid w:val="009753FC"/>
    <w:rsid w:val="00975515"/>
    <w:rsid w:val="009762CF"/>
    <w:rsid w:val="00976EA2"/>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6D0F"/>
    <w:rsid w:val="0098734A"/>
    <w:rsid w:val="00987BE2"/>
    <w:rsid w:val="0099035E"/>
    <w:rsid w:val="009905FD"/>
    <w:rsid w:val="0099150E"/>
    <w:rsid w:val="00991AF9"/>
    <w:rsid w:val="00991B2B"/>
    <w:rsid w:val="0099300D"/>
    <w:rsid w:val="009935F3"/>
    <w:rsid w:val="0099367C"/>
    <w:rsid w:val="00993D53"/>
    <w:rsid w:val="00993E38"/>
    <w:rsid w:val="00993EAA"/>
    <w:rsid w:val="00993EBE"/>
    <w:rsid w:val="00994071"/>
    <w:rsid w:val="00994281"/>
    <w:rsid w:val="0099589F"/>
    <w:rsid w:val="00995D51"/>
    <w:rsid w:val="0099646A"/>
    <w:rsid w:val="00996BFB"/>
    <w:rsid w:val="00997813"/>
    <w:rsid w:val="009A109F"/>
    <w:rsid w:val="009A1109"/>
    <w:rsid w:val="009A2148"/>
    <w:rsid w:val="009A292E"/>
    <w:rsid w:val="009A46EE"/>
    <w:rsid w:val="009A61D6"/>
    <w:rsid w:val="009A6C1A"/>
    <w:rsid w:val="009A7C43"/>
    <w:rsid w:val="009A7E12"/>
    <w:rsid w:val="009A7E16"/>
    <w:rsid w:val="009B07AF"/>
    <w:rsid w:val="009B0B54"/>
    <w:rsid w:val="009B18A3"/>
    <w:rsid w:val="009B1D36"/>
    <w:rsid w:val="009B205B"/>
    <w:rsid w:val="009B22EC"/>
    <w:rsid w:val="009B2A8B"/>
    <w:rsid w:val="009B2D99"/>
    <w:rsid w:val="009B3DDE"/>
    <w:rsid w:val="009B42EE"/>
    <w:rsid w:val="009B4BB3"/>
    <w:rsid w:val="009B5FC6"/>
    <w:rsid w:val="009B6694"/>
    <w:rsid w:val="009B6962"/>
    <w:rsid w:val="009B72F5"/>
    <w:rsid w:val="009C09C9"/>
    <w:rsid w:val="009C0E09"/>
    <w:rsid w:val="009C18B7"/>
    <w:rsid w:val="009C2142"/>
    <w:rsid w:val="009C2302"/>
    <w:rsid w:val="009C29A5"/>
    <w:rsid w:val="009C2D85"/>
    <w:rsid w:val="009C3869"/>
    <w:rsid w:val="009C3920"/>
    <w:rsid w:val="009C49E6"/>
    <w:rsid w:val="009C4A45"/>
    <w:rsid w:val="009C5A6A"/>
    <w:rsid w:val="009C6125"/>
    <w:rsid w:val="009C625D"/>
    <w:rsid w:val="009C6271"/>
    <w:rsid w:val="009C6EFB"/>
    <w:rsid w:val="009C7491"/>
    <w:rsid w:val="009C751D"/>
    <w:rsid w:val="009C775F"/>
    <w:rsid w:val="009C7D0F"/>
    <w:rsid w:val="009D0DCE"/>
    <w:rsid w:val="009D1DB4"/>
    <w:rsid w:val="009D2006"/>
    <w:rsid w:val="009D265B"/>
    <w:rsid w:val="009D2B7D"/>
    <w:rsid w:val="009D2FC3"/>
    <w:rsid w:val="009D323F"/>
    <w:rsid w:val="009D3785"/>
    <w:rsid w:val="009D398D"/>
    <w:rsid w:val="009D4381"/>
    <w:rsid w:val="009D4BEE"/>
    <w:rsid w:val="009D5E82"/>
    <w:rsid w:val="009D65FB"/>
    <w:rsid w:val="009D6806"/>
    <w:rsid w:val="009D688D"/>
    <w:rsid w:val="009D705A"/>
    <w:rsid w:val="009E0BD0"/>
    <w:rsid w:val="009E13C3"/>
    <w:rsid w:val="009E1A92"/>
    <w:rsid w:val="009E1B3B"/>
    <w:rsid w:val="009E232C"/>
    <w:rsid w:val="009E2504"/>
    <w:rsid w:val="009E2628"/>
    <w:rsid w:val="009E2C5D"/>
    <w:rsid w:val="009E3647"/>
    <w:rsid w:val="009E4E97"/>
    <w:rsid w:val="009E5BA7"/>
    <w:rsid w:val="009E6197"/>
    <w:rsid w:val="009E71FC"/>
    <w:rsid w:val="009E7870"/>
    <w:rsid w:val="009E7AB0"/>
    <w:rsid w:val="009E7C3A"/>
    <w:rsid w:val="009E7E64"/>
    <w:rsid w:val="009F1112"/>
    <w:rsid w:val="009F1F04"/>
    <w:rsid w:val="009F260A"/>
    <w:rsid w:val="009F2745"/>
    <w:rsid w:val="009F30C8"/>
    <w:rsid w:val="009F3B64"/>
    <w:rsid w:val="009F41C3"/>
    <w:rsid w:val="009F44F7"/>
    <w:rsid w:val="009F5394"/>
    <w:rsid w:val="009F6A56"/>
    <w:rsid w:val="009F6CBE"/>
    <w:rsid w:val="009F6D66"/>
    <w:rsid w:val="009F7003"/>
    <w:rsid w:val="009F7889"/>
    <w:rsid w:val="009F7934"/>
    <w:rsid w:val="00A0004C"/>
    <w:rsid w:val="00A008BF"/>
    <w:rsid w:val="00A01437"/>
    <w:rsid w:val="00A0239E"/>
    <w:rsid w:val="00A0353A"/>
    <w:rsid w:val="00A03B5A"/>
    <w:rsid w:val="00A040EF"/>
    <w:rsid w:val="00A04694"/>
    <w:rsid w:val="00A04B2A"/>
    <w:rsid w:val="00A04B9A"/>
    <w:rsid w:val="00A05461"/>
    <w:rsid w:val="00A055C1"/>
    <w:rsid w:val="00A05D17"/>
    <w:rsid w:val="00A05FF4"/>
    <w:rsid w:val="00A06044"/>
    <w:rsid w:val="00A06E2D"/>
    <w:rsid w:val="00A07169"/>
    <w:rsid w:val="00A07423"/>
    <w:rsid w:val="00A10619"/>
    <w:rsid w:val="00A11802"/>
    <w:rsid w:val="00A13224"/>
    <w:rsid w:val="00A133F1"/>
    <w:rsid w:val="00A13E3F"/>
    <w:rsid w:val="00A14049"/>
    <w:rsid w:val="00A14276"/>
    <w:rsid w:val="00A149FF"/>
    <w:rsid w:val="00A15C4D"/>
    <w:rsid w:val="00A16150"/>
    <w:rsid w:val="00A16457"/>
    <w:rsid w:val="00A164FD"/>
    <w:rsid w:val="00A1740C"/>
    <w:rsid w:val="00A2018E"/>
    <w:rsid w:val="00A2028A"/>
    <w:rsid w:val="00A21218"/>
    <w:rsid w:val="00A21AA6"/>
    <w:rsid w:val="00A2243F"/>
    <w:rsid w:val="00A225DC"/>
    <w:rsid w:val="00A23916"/>
    <w:rsid w:val="00A23EDF"/>
    <w:rsid w:val="00A2423A"/>
    <w:rsid w:val="00A244C6"/>
    <w:rsid w:val="00A24CAD"/>
    <w:rsid w:val="00A251D5"/>
    <w:rsid w:val="00A267E4"/>
    <w:rsid w:val="00A27139"/>
    <w:rsid w:val="00A27783"/>
    <w:rsid w:val="00A3093F"/>
    <w:rsid w:val="00A31060"/>
    <w:rsid w:val="00A31114"/>
    <w:rsid w:val="00A31CAE"/>
    <w:rsid w:val="00A31CFE"/>
    <w:rsid w:val="00A31E9D"/>
    <w:rsid w:val="00A3264D"/>
    <w:rsid w:val="00A32EC6"/>
    <w:rsid w:val="00A32FB7"/>
    <w:rsid w:val="00A33E11"/>
    <w:rsid w:val="00A341F3"/>
    <w:rsid w:val="00A35F58"/>
    <w:rsid w:val="00A36354"/>
    <w:rsid w:val="00A36A42"/>
    <w:rsid w:val="00A379D0"/>
    <w:rsid w:val="00A4004F"/>
    <w:rsid w:val="00A40B0C"/>
    <w:rsid w:val="00A40B69"/>
    <w:rsid w:val="00A4138A"/>
    <w:rsid w:val="00A416E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34C"/>
    <w:rsid w:val="00A52ACC"/>
    <w:rsid w:val="00A53497"/>
    <w:rsid w:val="00A53F95"/>
    <w:rsid w:val="00A53FCC"/>
    <w:rsid w:val="00A54070"/>
    <w:rsid w:val="00A54148"/>
    <w:rsid w:val="00A543CE"/>
    <w:rsid w:val="00A54448"/>
    <w:rsid w:val="00A54475"/>
    <w:rsid w:val="00A55967"/>
    <w:rsid w:val="00A55B06"/>
    <w:rsid w:val="00A56850"/>
    <w:rsid w:val="00A575E1"/>
    <w:rsid w:val="00A57841"/>
    <w:rsid w:val="00A609C8"/>
    <w:rsid w:val="00A60C75"/>
    <w:rsid w:val="00A611CE"/>
    <w:rsid w:val="00A61338"/>
    <w:rsid w:val="00A61DBC"/>
    <w:rsid w:val="00A629A4"/>
    <w:rsid w:val="00A62BF4"/>
    <w:rsid w:val="00A62FC9"/>
    <w:rsid w:val="00A63B6C"/>
    <w:rsid w:val="00A648AE"/>
    <w:rsid w:val="00A64BAA"/>
    <w:rsid w:val="00A64BC9"/>
    <w:rsid w:val="00A658C2"/>
    <w:rsid w:val="00A675F7"/>
    <w:rsid w:val="00A67D27"/>
    <w:rsid w:val="00A67F5D"/>
    <w:rsid w:val="00A70FAD"/>
    <w:rsid w:val="00A71604"/>
    <w:rsid w:val="00A72568"/>
    <w:rsid w:val="00A7289F"/>
    <w:rsid w:val="00A72A2F"/>
    <w:rsid w:val="00A741DC"/>
    <w:rsid w:val="00A7460D"/>
    <w:rsid w:val="00A74DC9"/>
    <w:rsid w:val="00A76408"/>
    <w:rsid w:val="00A76444"/>
    <w:rsid w:val="00A76880"/>
    <w:rsid w:val="00A77061"/>
    <w:rsid w:val="00A81883"/>
    <w:rsid w:val="00A8204D"/>
    <w:rsid w:val="00A8245A"/>
    <w:rsid w:val="00A82C7C"/>
    <w:rsid w:val="00A82CE6"/>
    <w:rsid w:val="00A82D07"/>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FCD"/>
    <w:rsid w:val="00A922CA"/>
    <w:rsid w:val="00A92EF1"/>
    <w:rsid w:val="00A9361C"/>
    <w:rsid w:val="00A9438D"/>
    <w:rsid w:val="00A9519D"/>
    <w:rsid w:val="00A9584A"/>
    <w:rsid w:val="00A96DD7"/>
    <w:rsid w:val="00A9734F"/>
    <w:rsid w:val="00A97967"/>
    <w:rsid w:val="00A97D7D"/>
    <w:rsid w:val="00AA136E"/>
    <w:rsid w:val="00AA228C"/>
    <w:rsid w:val="00AA2304"/>
    <w:rsid w:val="00AA2EAF"/>
    <w:rsid w:val="00AA2F84"/>
    <w:rsid w:val="00AA37F6"/>
    <w:rsid w:val="00AA3948"/>
    <w:rsid w:val="00AA3CD8"/>
    <w:rsid w:val="00AA400E"/>
    <w:rsid w:val="00AA40F3"/>
    <w:rsid w:val="00AA492F"/>
    <w:rsid w:val="00AA4FC9"/>
    <w:rsid w:val="00AA5F73"/>
    <w:rsid w:val="00AA619A"/>
    <w:rsid w:val="00AA69ED"/>
    <w:rsid w:val="00AA72EF"/>
    <w:rsid w:val="00AA7582"/>
    <w:rsid w:val="00AB02F1"/>
    <w:rsid w:val="00AB13C3"/>
    <w:rsid w:val="00AB1462"/>
    <w:rsid w:val="00AB271D"/>
    <w:rsid w:val="00AB30C7"/>
    <w:rsid w:val="00AB493A"/>
    <w:rsid w:val="00AB7060"/>
    <w:rsid w:val="00AB7176"/>
    <w:rsid w:val="00AB7C47"/>
    <w:rsid w:val="00AC0B1D"/>
    <w:rsid w:val="00AC10B1"/>
    <w:rsid w:val="00AC150B"/>
    <w:rsid w:val="00AC1DB2"/>
    <w:rsid w:val="00AC22D5"/>
    <w:rsid w:val="00AC2B73"/>
    <w:rsid w:val="00AC389F"/>
    <w:rsid w:val="00AC3B94"/>
    <w:rsid w:val="00AC3C0F"/>
    <w:rsid w:val="00AC3E9C"/>
    <w:rsid w:val="00AC402A"/>
    <w:rsid w:val="00AC4044"/>
    <w:rsid w:val="00AC460A"/>
    <w:rsid w:val="00AC4DFF"/>
    <w:rsid w:val="00AC5141"/>
    <w:rsid w:val="00AC559D"/>
    <w:rsid w:val="00AC62CE"/>
    <w:rsid w:val="00AC65CE"/>
    <w:rsid w:val="00AC69AA"/>
    <w:rsid w:val="00AC72F2"/>
    <w:rsid w:val="00AC75D1"/>
    <w:rsid w:val="00AD0948"/>
    <w:rsid w:val="00AD0C8A"/>
    <w:rsid w:val="00AD1491"/>
    <w:rsid w:val="00AD1B4E"/>
    <w:rsid w:val="00AD1D8C"/>
    <w:rsid w:val="00AD1F78"/>
    <w:rsid w:val="00AD2662"/>
    <w:rsid w:val="00AD26DC"/>
    <w:rsid w:val="00AD3A57"/>
    <w:rsid w:val="00AD4B55"/>
    <w:rsid w:val="00AD4E16"/>
    <w:rsid w:val="00AD6166"/>
    <w:rsid w:val="00AD61F9"/>
    <w:rsid w:val="00AD67A9"/>
    <w:rsid w:val="00AD6C7F"/>
    <w:rsid w:val="00AE1286"/>
    <w:rsid w:val="00AE16EC"/>
    <w:rsid w:val="00AE1B8F"/>
    <w:rsid w:val="00AE1F77"/>
    <w:rsid w:val="00AE248A"/>
    <w:rsid w:val="00AE2875"/>
    <w:rsid w:val="00AE3072"/>
    <w:rsid w:val="00AE3BF7"/>
    <w:rsid w:val="00AE3DBA"/>
    <w:rsid w:val="00AE4142"/>
    <w:rsid w:val="00AE4415"/>
    <w:rsid w:val="00AE458A"/>
    <w:rsid w:val="00AE4D6D"/>
    <w:rsid w:val="00AE4DF8"/>
    <w:rsid w:val="00AE4FE6"/>
    <w:rsid w:val="00AE5E7E"/>
    <w:rsid w:val="00AE63AE"/>
    <w:rsid w:val="00AE6937"/>
    <w:rsid w:val="00AE7048"/>
    <w:rsid w:val="00AE70AC"/>
    <w:rsid w:val="00AE7922"/>
    <w:rsid w:val="00AE7B17"/>
    <w:rsid w:val="00AE7FE8"/>
    <w:rsid w:val="00AF02DB"/>
    <w:rsid w:val="00AF0E80"/>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319"/>
    <w:rsid w:val="00B007DE"/>
    <w:rsid w:val="00B01500"/>
    <w:rsid w:val="00B016C6"/>
    <w:rsid w:val="00B020A9"/>
    <w:rsid w:val="00B023CB"/>
    <w:rsid w:val="00B02A70"/>
    <w:rsid w:val="00B02C38"/>
    <w:rsid w:val="00B03181"/>
    <w:rsid w:val="00B032EC"/>
    <w:rsid w:val="00B033C1"/>
    <w:rsid w:val="00B054B2"/>
    <w:rsid w:val="00B0551E"/>
    <w:rsid w:val="00B05540"/>
    <w:rsid w:val="00B0617C"/>
    <w:rsid w:val="00B06C9C"/>
    <w:rsid w:val="00B07650"/>
    <w:rsid w:val="00B10272"/>
    <w:rsid w:val="00B10357"/>
    <w:rsid w:val="00B10918"/>
    <w:rsid w:val="00B10C56"/>
    <w:rsid w:val="00B10C72"/>
    <w:rsid w:val="00B10D00"/>
    <w:rsid w:val="00B10DC2"/>
    <w:rsid w:val="00B112AC"/>
    <w:rsid w:val="00B11C26"/>
    <w:rsid w:val="00B11ED9"/>
    <w:rsid w:val="00B124A1"/>
    <w:rsid w:val="00B12C4B"/>
    <w:rsid w:val="00B133FF"/>
    <w:rsid w:val="00B144E2"/>
    <w:rsid w:val="00B14B38"/>
    <w:rsid w:val="00B15341"/>
    <w:rsid w:val="00B15501"/>
    <w:rsid w:val="00B16FC8"/>
    <w:rsid w:val="00B17E7D"/>
    <w:rsid w:val="00B17F65"/>
    <w:rsid w:val="00B202D1"/>
    <w:rsid w:val="00B20F7B"/>
    <w:rsid w:val="00B21392"/>
    <w:rsid w:val="00B2289F"/>
    <w:rsid w:val="00B23220"/>
    <w:rsid w:val="00B23BE0"/>
    <w:rsid w:val="00B24237"/>
    <w:rsid w:val="00B242AF"/>
    <w:rsid w:val="00B24548"/>
    <w:rsid w:val="00B24968"/>
    <w:rsid w:val="00B25183"/>
    <w:rsid w:val="00B256BB"/>
    <w:rsid w:val="00B26086"/>
    <w:rsid w:val="00B2687E"/>
    <w:rsid w:val="00B26D3F"/>
    <w:rsid w:val="00B26E2C"/>
    <w:rsid w:val="00B26ECF"/>
    <w:rsid w:val="00B27BD4"/>
    <w:rsid w:val="00B27E7E"/>
    <w:rsid w:val="00B301EB"/>
    <w:rsid w:val="00B30523"/>
    <w:rsid w:val="00B305F9"/>
    <w:rsid w:val="00B307CB"/>
    <w:rsid w:val="00B30AA5"/>
    <w:rsid w:val="00B30B52"/>
    <w:rsid w:val="00B30E68"/>
    <w:rsid w:val="00B30FAC"/>
    <w:rsid w:val="00B31094"/>
    <w:rsid w:val="00B3130A"/>
    <w:rsid w:val="00B3151A"/>
    <w:rsid w:val="00B315F7"/>
    <w:rsid w:val="00B31B20"/>
    <w:rsid w:val="00B31C33"/>
    <w:rsid w:val="00B31F51"/>
    <w:rsid w:val="00B31FB5"/>
    <w:rsid w:val="00B320CB"/>
    <w:rsid w:val="00B3250A"/>
    <w:rsid w:val="00B33C4A"/>
    <w:rsid w:val="00B342A6"/>
    <w:rsid w:val="00B344E2"/>
    <w:rsid w:val="00B3503E"/>
    <w:rsid w:val="00B3508A"/>
    <w:rsid w:val="00B362D5"/>
    <w:rsid w:val="00B36559"/>
    <w:rsid w:val="00B36774"/>
    <w:rsid w:val="00B3686C"/>
    <w:rsid w:val="00B36FB1"/>
    <w:rsid w:val="00B3752D"/>
    <w:rsid w:val="00B375ED"/>
    <w:rsid w:val="00B401B5"/>
    <w:rsid w:val="00B4042D"/>
    <w:rsid w:val="00B416C4"/>
    <w:rsid w:val="00B4176C"/>
    <w:rsid w:val="00B42AE8"/>
    <w:rsid w:val="00B42F47"/>
    <w:rsid w:val="00B431E5"/>
    <w:rsid w:val="00B43567"/>
    <w:rsid w:val="00B4371A"/>
    <w:rsid w:val="00B43AD6"/>
    <w:rsid w:val="00B44530"/>
    <w:rsid w:val="00B4471F"/>
    <w:rsid w:val="00B44A85"/>
    <w:rsid w:val="00B4624E"/>
    <w:rsid w:val="00B4707E"/>
    <w:rsid w:val="00B47991"/>
    <w:rsid w:val="00B47A1D"/>
    <w:rsid w:val="00B47BAF"/>
    <w:rsid w:val="00B47E15"/>
    <w:rsid w:val="00B5060A"/>
    <w:rsid w:val="00B506BD"/>
    <w:rsid w:val="00B508A8"/>
    <w:rsid w:val="00B51645"/>
    <w:rsid w:val="00B521E0"/>
    <w:rsid w:val="00B52583"/>
    <w:rsid w:val="00B53881"/>
    <w:rsid w:val="00B55740"/>
    <w:rsid w:val="00B55CFE"/>
    <w:rsid w:val="00B566DD"/>
    <w:rsid w:val="00B569DD"/>
    <w:rsid w:val="00B56ABA"/>
    <w:rsid w:val="00B572D9"/>
    <w:rsid w:val="00B60182"/>
    <w:rsid w:val="00B605F8"/>
    <w:rsid w:val="00B60694"/>
    <w:rsid w:val="00B610BA"/>
    <w:rsid w:val="00B613C0"/>
    <w:rsid w:val="00B61890"/>
    <w:rsid w:val="00B619BE"/>
    <w:rsid w:val="00B62ECE"/>
    <w:rsid w:val="00B64A17"/>
    <w:rsid w:val="00B65A44"/>
    <w:rsid w:val="00B65A76"/>
    <w:rsid w:val="00B65BDF"/>
    <w:rsid w:val="00B65F6D"/>
    <w:rsid w:val="00B65F7A"/>
    <w:rsid w:val="00B65FD7"/>
    <w:rsid w:val="00B6637E"/>
    <w:rsid w:val="00B666F9"/>
    <w:rsid w:val="00B66817"/>
    <w:rsid w:val="00B670EC"/>
    <w:rsid w:val="00B677F5"/>
    <w:rsid w:val="00B67822"/>
    <w:rsid w:val="00B67BB7"/>
    <w:rsid w:val="00B70576"/>
    <w:rsid w:val="00B705A3"/>
    <w:rsid w:val="00B71D74"/>
    <w:rsid w:val="00B721F5"/>
    <w:rsid w:val="00B727C7"/>
    <w:rsid w:val="00B72D19"/>
    <w:rsid w:val="00B72FA6"/>
    <w:rsid w:val="00B732B3"/>
    <w:rsid w:val="00B73555"/>
    <w:rsid w:val="00B74848"/>
    <w:rsid w:val="00B74C50"/>
    <w:rsid w:val="00B75D67"/>
    <w:rsid w:val="00B76785"/>
    <w:rsid w:val="00B77E4C"/>
    <w:rsid w:val="00B80289"/>
    <w:rsid w:val="00B805EC"/>
    <w:rsid w:val="00B80961"/>
    <w:rsid w:val="00B8187E"/>
    <w:rsid w:val="00B81C70"/>
    <w:rsid w:val="00B82057"/>
    <w:rsid w:val="00B82455"/>
    <w:rsid w:val="00B8292B"/>
    <w:rsid w:val="00B82BEF"/>
    <w:rsid w:val="00B82CF2"/>
    <w:rsid w:val="00B82F0C"/>
    <w:rsid w:val="00B83F21"/>
    <w:rsid w:val="00B84DD3"/>
    <w:rsid w:val="00B84E04"/>
    <w:rsid w:val="00B8542C"/>
    <w:rsid w:val="00B85604"/>
    <w:rsid w:val="00B85E16"/>
    <w:rsid w:val="00B86738"/>
    <w:rsid w:val="00B87402"/>
    <w:rsid w:val="00B90343"/>
    <w:rsid w:val="00B90D65"/>
    <w:rsid w:val="00B90F9E"/>
    <w:rsid w:val="00B9186E"/>
    <w:rsid w:val="00B91976"/>
    <w:rsid w:val="00B91A3D"/>
    <w:rsid w:val="00B92360"/>
    <w:rsid w:val="00B9288C"/>
    <w:rsid w:val="00B92894"/>
    <w:rsid w:val="00B93625"/>
    <w:rsid w:val="00B93E8E"/>
    <w:rsid w:val="00B949EC"/>
    <w:rsid w:val="00B950F0"/>
    <w:rsid w:val="00B95AE2"/>
    <w:rsid w:val="00B95CFA"/>
    <w:rsid w:val="00B95F03"/>
    <w:rsid w:val="00B96C7E"/>
    <w:rsid w:val="00B974A0"/>
    <w:rsid w:val="00B976C3"/>
    <w:rsid w:val="00BA1BEB"/>
    <w:rsid w:val="00BA230C"/>
    <w:rsid w:val="00BA2EAA"/>
    <w:rsid w:val="00BA34B7"/>
    <w:rsid w:val="00BA34DA"/>
    <w:rsid w:val="00BA35F1"/>
    <w:rsid w:val="00BA3BE6"/>
    <w:rsid w:val="00BA46CA"/>
    <w:rsid w:val="00BA5302"/>
    <w:rsid w:val="00BA5821"/>
    <w:rsid w:val="00BA7627"/>
    <w:rsid w:val="00BA7658"/>
    <w:rsid w:val="00BA7B03"/>
    <w:rsid w:val="00BB02BC"/>
    <w:rsid w:val="00BB0B31"/>
    <w:rsid w:val="00BB0EEB"/>
    <w:rsid w:val="00BB1081"/>
    <w:rsid w:val="00BB1291"/>
    <w:rsid w:val="00BB17AA"/>
    <w:rsid w:val="00BB261F"/>
    <w:rsid w:val="00BB2B3D"/>
    <w:rsid w:val="00BB3B00"/>
    <w:rsid w:val="00BB3FDD"/>
    <w:rsid w:val="00BB468F"/>
    <w:rsid w:val="00BB58D5"/>
    <w:rsid w:val="00BB5BF2"/>
    <w:rsid w:val="00BB5E2F"/>
    <w:rsid w:val="00BB5ED9"/>
    <w:rsid w:val="00BB65B6"/>
    <w:rsid w:val="00BB67B7"/>
    <w:rsid w:val="00BB6D6D"/>
    <w:rsid w:val="00BB71CC"/>
    <w:rsid w:val="00BB7253"/>
    <w:rsid w:val="00BB789D"/>
    <w:rsid w:val="00BB79B3"/>
    <w:rsid w:val="00BC020C"/>
    <w:rsid w:val="00BC0A59"/>
    <w:rsid w:val="00BC0D72"/>
    <w:rsid w:val="00BC0DF4"/>
    <w:rsid w:val="00BC1147"/>
    <w:rsid w:val="00BC4467"/>
    <w:rsid w:val="00BC4BA0"/>
    <w:rsid w:val="00BC50CB"/>
    <w:rsid w:val="00BC569B"/>
    <w:rsid w:val="00BC59AA"/>
    <w:rsid w:val="00BC6ABF"/>
    <w:rsid w:val="00BC7B21"/>
    <w:rsid w:val="00BC7BA6"/>
    <w:rsid w:val="00BC7BB3"/>
    <w:rsid w:val="00BD04D5"/>
    <w:rsid w:val="00BD0BAB"/>
    <w:rsid w:val="00BD1853"/>
    <w:rsid w:val="00BD1857"/>
    <w:rsid w:val="00BD28F8"/>
    <w:rsid w:val="00BD295B"/>
    <w:rsid w:val="00BD2994"/>
    <w:rsid w:val="00BD3A1B"/>
    <w:rsid w:val="00BD3E33"/>
    <w:rsid w:val="00BD3FE5"/>
    <w:rsid w:val="00BD4044"/>
    <w:rsid w:val="00BD4943"/>
    <w:rsid w:val="00BD615D"/>
    <w:rsid w:val="00BD7063"/>
    <w:rsid w:val="00BD7268"/>
    <w:rsid w:val="00BD7270"/>
    <w:rsid w:val="00BD7D82"/>
    <w:rsid w:val="00BE070E"/>
    <w:rsid w:val="00BE0D02"/>
    <w:rsid w:val="00BE19BC"/>
    <w:rsid w:val="00BE1D05"/>
    <w:rsid w:val="00BE1E31"/>
    <w:rsid w:val="00BE1E47"/>
    <w:rsid w:val="00BE2598"/>
    <w:rsid w:val="00BE29E4"/>
    <w:rsid w:val="00BE2F33"/>
    <w:rsid w:val="00BE2F3E"/>
    <w:rsid w:val="00BE3CEA"/>
    <w:rsid w:val="00BE3E3C"/>
    <w:rsid w:val="00BE4E62"/>
    <w:rsid w:val="00BE4FEB"/>
    <w:rsid w:val="00BE5495"/>
    <w:rsid w:val="00BE63D1"/>
    <w:rsid w:val="00BE6C4E"/>
    <w:rsid w:val="00BE6CBF"/>
    <w:rsid w:val="00BE759D"/>
    <w:rsid w:val="00BF0645"/>
    <w:rsid w:val="00BF08EB"/>
    <w:rsid w:val="00BF0C47"/>
    <w:rsid w:val="00BF1741"/>
    <w:rsid w:val="00BF2275"/>
    <w:rsid w:val="00BF2B26"/>
    <w:rsid w:val="00BF4698"/>
    <w:rsid w:val="00BF51B4"/>
    <w:rsid w:val="00BF59FF"/>
    <w:rsid w:val="00BF6934"/>
    <w:rsid w:val="00BF6A3A"/>
    <w:rsid w:val="00BF6A4C"/>
    <w:rsid w:val="00BF6FAC"/>
    <w:rsid w:val="00BF7692"/>
    <w:rsid w:val="00BF7F05"/>
    <w:rsid w:val="00C0053C"/>
    <w:rsid w:val="00C00626"/>
    <w:rsid w:val="00C00B29"/>
    <w:rsid w:val="00C00BBF"/>
    <w:rsid w:val="00C01623"/>
    <w:rsid w:val="00C01E94"/>
    <w:rsid w:val="00C02011"/>
    <w:rsid w:val="00C0231A"/>
    <w:rsid w:val="00C02519"/>
    <w:rsid w:val="00C025E6"/>
    <w:rsid w:val="00C03109"/>
    <w:rsid w:val="00C036D0"/>
    <w:rsid w:val="00C037C7"/>
    <w:rsid w:val="00C04121"/>
    <w:rsid w:val="00C04227"/>
    <w:rsid w:val="00C04957"/>
    <w:rsid w:val="00C055EF"/>
    <w:rsid w:val="00C05DC6"/>
    <w:rsid w:val="00C069FB"/>
    <w:rsid w:val="00C06BEA"/>
    <w:rsid w:val="00C06D98"/>
    <w:rsid w:val="00C07759"/>
    <w:rsid w:val="00C07F76"/>
    <w:rsid w:val="00C1071A"/>
    <w:rsid w:val="00C10A48"/>
    <w:rsid w:val="00C11A98"/>
    <w:rsid w:val="00C11E5F"/>
    <w:rsid w:val="00C11EB8"/>
    <w:rsid w:val="00C1218B"/>
    <w:rsid w:val="00C12481"/>
    <w:rsid w:val="00C12801"/>
    <w:rsid w:val="00C12C08"/>
    <w:rsid w:val="00C13991"/>
    <w:rsid w:val="00C13C05"/>
    <w:rsid w:val="00C13C10"/>
    <w:rsid w:val="00C13E31"/>
    <w:rsid w:val="00C1459C"/>
    <w:rsid w:val="00C14CFE"/>
    <w:rsid w:val="00C1613F"/>
    <w:rsid w:val="00C1672A"/>
    <w:rsid w:val="00C16AB8"/>
    <w:rsid w:val="00C1753A"/>
    <w:rsid w:val="00C204A5"/>
    <w:rsid w:val="00C21592"/>
    <w:rsid w:val="00C218B2"/>
    <w:rsid w:val="00C21C39"/>
    <w:rsid w:val="00C21E64"/>
    <w:rsid w:val="00C2205A"/>
    <w:rsid w:val="00C2298A"/>
    <w:rsid w:val="00C22C52"/>
    <w:rsid w:val="00C22E9A"/>
    <w:rsid w:val="00C23116"/>
    <w:rsid w:val="00C235C9"/>
    <w:rsid w:val="00C23A0C"/>
    <w:rsid w:val="00C23EDD"/>
    <w:rsid w:val="00C241DA"/>
    <w:rsid w:val="00C2422E"/>
    <w:rsid w:val="00C24500"/>
    <w:rsid w:val="00C248A4"/>
    <w:rsid w:val="00C25738"/>
    <w:rsid w:val="00C25750"/>
    <w:rsid w:val="00C25C6B"/>
    <w:rsid w:val="00C25E18"/>
    <w:rsid w:val="00C25F07"/>
    <w:rsid w:val="00C2660B"/>
    <w:rsid w:val="00C2665E"/>
    <w:rsid w:val="00C27369"/>
    <w:rsid w:val="00C30083"/>
    <w:rsid w:val="00C30134"/>
    <w:rsid w:val="00C30150"/>
    <w:rsid w:val="00C3048D"/>
    <w:rsid w:val="00C305B1"/>
    <w:rsid w:val="00C30877"/>
    <w:rsid w:val="00C32D8D"/>
    <w:rsid w:val="00C32ED2"/>
    <w:rsid w:val="00C33889"/>
    <w:rsid w:val="00C33BE9"/>
    <w:rsid w:val="00C33E4A"/>
    <w:rsid w:val="00C34153"/>
    <w:rsid w:val="00C343BD"/>
    <w:rsid w:val="00C344E5"/>
    <w:rsid w:val="00C34D6E"/>
    <w:rsid w:val="00C3528F"/>
    <w:rsid w:val="00C35ED3"/>
    <w:rsid w:val="00C36854"/>
    <w:rsid w:val="00C37BF1"/>
    <w:rsid w:val="00C41220"/>
    <w:rsid w:val="00C412CE"/>
    <w:rsid w:val="00C4239E"/>
    <w:rsid w:val="00C42710"/>
    <w:rsid w:val="00C42CA6"/>
    <w:rsid w:val="00C42F0C"/>
    <w:rsid w:val="00C44B0A"/>
    <w:rsid w:val="00C44F96"/>
    <w:rsid w:val="00C45108"/>
    <w:rsid w:val="00C45D9E"/>
    <w:rsid w:val="00C4620C"/>
    <w:rsid w:val="00C46651"/>
    <w:rsid w:val="00C46A0C"/>
    <w:rsid w:val="00C47E20"/>
    <w:rsid w:val="00C50552"/>
    <w:rsid w:val="00C50CE8"/>
    <w:rsid w:val="00C513E5"/>
    <w:rsid w:val="00C51FFF"/>
    <w:rsid w:val="00C523C3"/>
    <w:rsid w:val="00C52BEF"/>
    <w:rsid w:val="00C52BFA"/>
    <w:rsid w:val="00C52DD2"/>
    <w:rsid w:val="00C53055"/>
    <w:rsid w:val="00C53177"/>
    <w:rsid w:val="00C531FE"/>
    <w:rsid w:val="00C5377F"/>
    <w:rsid w:val="00C54D60"/>
    <w:rsid w:val="00C54F09"/>
    <w:rsid w:val="00C54F4E"/>
    <w:rsid w:val="00C55201"/>
    <w:rsid w:val="00C5546E"/>
    <w:rsid w:val="00C554BA"/>
    <w:rsid w:val="00C554FA"/>
    <w:rsid w:val="00C55680"/>
    <w:rsid w:val="00C55E17"/>
    <w:rsid w:val="00C57A32"/>
    <w:rsid w:val="00C57E37"/>
    <w:rsid w:val="00C604A1"/>
    <w:rsid w:val="00C61162"/>
    <w:rsid w:val="00C6147C"/>
    <w:rsid w:val="00C62D65"/>
    <w:rsid w:val="00C63248"/>
    <w:rsid w:val="00C63632"/>
    <w:rsid w:val="00C63854"/>
    <w:rsid w:val="00C63D24"/>
    <w:rsid w:val="00C64566"/>
    <w:rsid w:val="00C646F2"/>
    <w:rsid w:val="00C6495F"/>
    <w:rsid w:val="00C64F3C"/>
    <w:rsid w:val="00C66225"/>
    <w:rsid w:val="00C66563"/>
    <w:rsid w:val="00C66BA0"/>
    <w:rsid w:val="00C66D5D"/>
    <w:rsid w:val="00C6709D"/>
    <w:rsid w:val="00C675C9"/>
    <w:rsid w:val="00C717E3"/>
    <w:rsid w:val="00C72084"/>
    <w:rsid w:val="00C72C1C"/>
    <w:rsid w:val="00C72E42"/>
    <w:rsid w:val="00C73327"/>
    <w:rsid w:val="00C7337C"/>
    <w:rsid w:val="00C739BF"/>
    <w:rsid w:val="00C74275"/>
    <w:rsid w:val="00C74CEA"/>
    <w:rsid w:val="00C7550B"/>
    <w:rsid w:val="00C75D94"/>
    <w:rsid w:val="00C76296"/>
    <w:rsid w:val="00C76303"/>
    <w:rsid w:val="00C76947"/>
    <w:rsid w:val="00C77E9A"/>
    <w:rsid w:val="00C80285"/>
    <w:rsid w:val="00C80DE3"/>
    <w:rsid w:val="00C80F01"/>
    <w:rsid w:val="00C8170D"/>
    <w:rsid w:val="00C81948"/>
    <w:rsid w:val="00C819DF"/>
    <w:rsid w:val="00C81D7E"/>
    <w:rsid w:val="00C8292C"/>
    <w:rsid w:val="00C8296E"/>
    <w:rsid w:val="00C82D1B"/>
    <w:rsid w:val="00C83E11"/>
    <w:rsid w:val="00C84418"/>
    <w:rsid w:val="00C84600"/>
    <w:rsid w:val="00C84737"/>
    <w:rsid w:val="00C84B89"/>
    <w:rsid w:val="00C84FA5"/>
    <w:rsid w:val="00C85375"/>
    <w:rsid w:val="00C85A3A"/>
    <w:rsid w:val="00C85CE4"/>
    <w:rsid w:val="00C8689C"/>
    <w:rsid w:val="00C868E9"/>
    <w:rsid w:val="00C86CC1"/>
    <w:rsid w:val="00C86E77"/>
    <w:rsid w:val="00C8711E"/>
    <w:rsid w:val="00C877BF"/>
    <w:rsid w:val="00C900EA"/>
    <w:rsid w:val="00C90B93"/>
    <w:rsid w:val="00C914B5"/>
    <w:rsid w:val="00C91A81"/>
    <w:rsid w:val="00C91E59"/>
    <w:rsid w:val="00C9206E"/>
    <w:rsid w:val="00C92702"/>
    <w:rsid w:val="00C92947"/>
    <w:rsid w:val="00C94892"/>
    <w:rsid w:val="00C948D1"/>
    <w:rsid w:val="00C94E8B"/>
    <w:rsid w:val="00C95170"/>
    <w:rsid w:val="00C9590D"/>
    <w:rsid w:val="00C961F6"/>
    <w:rsid w:val="00C96AC5"/>
    <w:rsid w:val="00C96F49"/>
    <w:rsid w:val="00C970AF"/>
    <w:rsid w:val="00C973C7"/>
    <w:rsid w:val="00C975B6"/>
    <w:rsid w:val="00C97981"/>
    <w:rsid w:val="00C97E3C"/>
    <w:rsid w:val="00C97EF1"/>
    <w:rsid w:val="00CA0969"/>
    <w:rsid w:val="00CA09BF"/>
    <w:rsid w:val="00CA22E1"/>
    <w:rsid w:val="00CA2BF7"/>
    <w:rsid w:val="00CA2E03"/>
    <w:rsid w:val="00CA3561"/>
    <w:rsid w:val="00CA3876"/>
    <w:rsid w:val="00CA48A5"/>
    <w:rsid w:val="00CA504A"/>
    <w:rsid w:val="00CA55A2"/>
    <w:rsid w:val="00CA598A"/>
    <w:rsid w:val="00CA5B7C"/>
    <w:rsid w:val="00CA5E19"/>
    <w:rsid w:val="00CA6779"/>
    <w:rsid w:val="00CA6CB9"/>
    <w:rsid w:val="00CA6DFD"/>
    <w:rsid w:val="00CA729D"/>
    <w:rsid w:val="00CA7C6F"/>
    <w:rsid w:val="00CB0F8B"/>
    <w:rsid w:val="00CB102D"/>
    <w:rsid w:val="00CB1701"/>
    <w:rsid w:val="00CB173F"/>
    <w:rsid w:val="00CB2F89"/>
    <w:rsid w:val="00CB5863"/>
    <w:rsid w:val="00CB733D"/>
    <w:rsid w:val="00CB7416"/>
    <w:rsid w:val="00CC03A9"/>
    <w:rsid w:val="00CC142C"/>
    <w:rsid w:val="00CC173E"/>
    <w:rsid w:val="00CC1775"/>
    <w:rsid w:val="00CC1933"/>
    <w:rsid w:val="00CC2414"/>
    <w:rsid w:val="00CC2682"/>
    <w:rsid w:val="00CC2959"/>
    <w:rsid w:val="00CC2986"/>
    <w:rsid w:val="00CC3D8A"/>
    <w:rsid w:val="00CC3DC9"/>
    <w:rsid w:val="00CC3E33"/>
    <w:rsid w:val="00CC4731"/>
    <w:rsid w:val="00CC61F4"/>
    <w:rsid w:val="00CC651D"/>
    <w:rsid w:val="00CC655C"/>
    <w:rsid w:val="00CC65AC"/>
    <w:rsid w:val="00CC785E"/>
    <w:rsid w:val="00CC7BA3"/>
    <w:rsid w:val="00CD07E2"/>
    <w:rsid w:val="00CD1AEF"/>
    <w:rsid w:val="00CD28C6"/>
    <w:rsid w:val="00CD4247"/>
    <w:rsid w:val="00CD4254"/>
    <w:rsid w:val="00CD4631"/>
    <w:rsid w:val="00CD4B45"/>
    <w:rsid w:val="00CD6073"/>
    <w:rsid w:val="00CD6192"/>
    <w:rsid w:val="00CD6BD0"/>
    <w:rsid w:val="00CD73CF"/>
    <w:rsid w:val="00CD778C"/>
    <w:rsid w:val="00CE0159"/>
    <w:rsid w:val="00CE0358"/>
    <w:rsid w:val="00CE03A6"/>
    <w:rsid w:val="00CE0853"/>
    <w:rsid w:val="00CE092D"/>
    <w:rsid w:val="00CE0C53"/>
    <w:rsid w:val="00CE0CAA"/>
    <w:rsid w:val="00CE111B"/>
    <w:rsid w:val="00CE2810"/>
    <w:rsid w:val="00CE29DC"/>
    <w:rsid w:val="00CE32F7"/>
    <w:rsid w:val="00CE3ADA"/>
    <w:rsid w:val="00CE3DBD"/>
    <w:rsid w:val="00CE5E19"/>
    <w:rsid w:val="00CE6306"/>
    <w:rsid w:val="00CE6844"/>
    <w:rsid w:val="00CE6917"/>
    <w:rsid w:val="00CE6EAF"/>
    <w:rsid w:val="00CE7CCB"/>
    <w:rsid w:val="00CF0ABD"/>
    <w:rsid w:val="00CF11A7"/>
    <w:rsid w:val="00CF169C"/>
    <w:rsid w:val="00CF19F9"/>
    <w:rsid w:val="00CF1A60"/>
    <w:rsid w:val="00CF2B9D"/>
    <w:rsid w:val="00CF2D8A"/>
    <w:rsid w:val="00CF3678"/>
    <w:rsid w:val="00CF38E1"/>
    <w:rsid w:val="00CF40EC"/>
    <w:rsid w:val="00CF569D"/>
    <w:rsid w:val="00CF58FA"/>
    <w:rsid w:val="00CF59AF"/>
    <w:rsid w:val="00CF5DAE"/>
    <w:rsid w:val="00CF5E59"/>
    <w:rsid w:val="00CF60F2"/>
    <w:rsid w:val="00CF61BB"/>
    <w:rsid w:val="00CF691F"/>
    <w:rsid w:val="00CF6D49"/>
    <w:rsid w:val="00CF7085"/>
    <w:rsid w:val="00CF7093"/>
    <w:rsid w:val="00CF7F34"/>
    <w:rsid w:val="00D01132"/>
    <w:rsid w:val="00D012C4"/>
    <w:rsid w:val="00D017A3"/>
    <w:rsid w:val="00D022E1"/>
    <w:rsid w:val="00D0238F"/>
    <w:rsid w:val="00D02AE6"/>
    <w:rsid w:val="00D02F23"/>
    <w:rsid w:val="00D02FAA"/>
    <w:rsid w:val="00D0487F"/>
    <w:rsid w:val="00D053E8"/>
    <w:rsid w:val="00D06569"/>
    <w:rsid w:val="00D067A8"/>
    <w:rsid w:val="00D068AF"/>
    <w:rsid w:val="00D06DA9"/>
    <w:rsid w:val="00D10226"/>
    <w:rsid w:val="00D10A0C"/>
    <w:rsid w:val="00D10BEC"/>
    <w:rsid w:val="00D10C97"/>
    <w:rsid w:val="00D1104A"/>
    <w:rsid w:val="00D11A42"/>
    <w:rsid w:val="00D11CE3"/>
    <w:rsid w:val="00D11F6B"/>
    <w:rsid w:val="00D12899"/>
    <w:rsid w:val="00D130AA"/>
    <w:rsid w:val="00D134D7"/>
    <w:rsid w:val="00D13697"/>
    <w:rsid w:val="00D13A81"/>
    <w:rsid w:val="00D13CFD"/>
    <w:rsid w:val="00D13D20"/>
    <w:rsid w:val="00D1419E"/>
    <w:rsid w:val="00D1458F"/>
    <w:rsid w:val="00D14962"/>
    <w:rsid w:val="00D149FF"/>
    <w:rsid w:val="00D14EB0"/>
    <w:rsid w:val="00D15426"/>
    <w:rsid w:val="00D15B39"/>
    <w:rsid w:val="00D164EC"/>
    <w:rsid w:val="00D1672C"/>
    <w:rsid w:val="00D17C17"/>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630"/>
    <w:rsid w:val="00D27A97"/>
    <w:rsid w:val="00D27F4F"/>
    <w:rsid w:val="00D302D0"/>
    <w:rsid w:val="00D30DEF"/>
    <w:rsid w:val="00D30FDC"/>
    <w:rsid w:val="00D318D6"/>
    <w:rsid w:val="00D31D96"/>
    <w:rsid w:val="00D321D5"/>
    <w:rsid w:val="00D32339"/>
    <w:rsid w:val="00D33A75"/>
    <w:rsid w:val="00D33D19"/>
    <w:rsid w:val="00D33D2C"/>
    <w:rsid w:val="00D34004"/>
    <w:rsid w:val="00D34699"/>
    <w:rsid w:val="00D347D0"/>
    <w:rsid w:val="00D34A99"/>
    <w:rsid w:val="00D34E05"/>
    <w:rsid w:val="00D3511F"/>
    <w:rsid w:val="00D35185"/>
    <w:rsid w:val="00D35215"/>
    <w:rsid w:val="00D3678A"/>
    <w:rsid w:val="00D3747B"/>
    <w:rsid w:val="00D37F5C"/>
    <w:rsid w:val="00D406FD"/>
    <w:rsid w:val="00D40C66"/>
    <w:rsid w:val="00D41314"/>
    <w:rsid w:val="00D41514"/>
    <w:rsid w:val="00D41951"/>
    <w:rsid w:val="00D419FD"/>
    <w:rsid w:val="00D41FB1"/>
    <w:rsid w:val="00D420CB"/>
    <w:rsid w:val="00D421A9"/>
    <w:rsid w:val="00D42C57"/>
    <w:rsid w:val="00D436F0"/>
    <w:rsid w:val="00D437E8"/>
    <w:rsid w:val="00D43C9A"/>
    <w:rsid w:val="00D444E9"/>
    <w:rsid w:val="00D449DF"/>
    <w:rsid w:val="00D44B7F"/>
    <w:rsid w:val="00D453BC"/>
    <w:rsid w:val="00D456DB"/>
    <w:rsid w:val="00D4580A"/>
    <w:rsid w:val="00D45BA0"/>
    <w:rsid w:val="00D462EB"/>
    <w:rsid w:val="00D46AF2"/>
    <w:rsid w:val="00D501C1"/>
    <w:rsid w:val="00D50C1E"/>
    <w:rsid w:val="00D51FFB"/>
    <w:rsid w:val="00D52284"/>
    <w:rsid w:val="00D52BD1"/>
    <w:rsid w:val="00D531B8"/>
    <w:rsid w:val="00D53608"/>
    <w:rsid w:val="00D54CFD"/>
    <w:rsid w:val="00D55113"/>
    <w:rsid w:val="00D55B25"/>
    <w:rsid w:val="00D55B61"/>
    <w:rsid w:val="00D56EF8"/>
    <w:rsid w:val="00D6046C"/>
    <w:rsid w:val="00D61A49"/>
    <w:rsid w:val="00D61C4D"/>
    <w:rsid w:val="00D622F1"/>
    <w:rsid w:val="00D62977"/>
    <w:rsid w:val="00D62D4E"/>
    <w:rsid w:val="00D62EE1"/>
    <w:rsid w:val="00D6310B"/>
    <w:rsid w:val="00D64CC0"/>
    <w:rsid w:val="00D65165"/>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2DBD"/>
    <w:rsid w:val="00D7313E"/>
    <w:rsid w:val="00D736B6"/>
    <w:rsid w:val="00D73DD4"/>
    <w:rsid w:val="00D73F9F"/>
    <w:rsid w:val="00D74057"/>
    <w:rsid w:val="00D740B5"/>
    <w:rsid w:val="00D742D5"/>
    <w:rsid w:val="00D75001"/>
    <w:rsid w:val="00D75B27"/>
    <w:rsid w:val="00D76290"/>
    <w:rsid w:val="00D76686"/>
    <w:rsid w:val="00D7683D"/>
    <w:rsid w:val="00D769FB"/>
    <w:rsid w:val="00D77B0E"/>
    <w:rsid w:val="00D77DCC"/>
    <w:rsid w:val="00D8010F"/>
    <w:rsid w:val="00D80168"/>
    <w:rsid w:val="00D808F8"/>
    <w:rsid w:val="00D820AD"/>
    <w:rsid w:val="00D82E5D"/>
    <w:rsid w:val="00D82F31"/>
    <w:rsid w:val="00D83471"/>
    <w:rsid w:val="00D8382B"/>
    <w:rsid w:val="00D83DEE"/>
    <w:rsid w:val="00D83EEC"/>
    <w:rsid w:val="00D849D2"/>
    <w:rsid w:val="00D84A97"/>
    <w:rsid w:val="00D84C00"/>
    <w:rsid w:val="00D8540D"/>
    <w:rsid w:val="00D859B2"/>
    <w:rsid w:val="00D85CED"/>
    <w:rsid w:val="00D8649F"/>
    <w:rsid w:val="00D867B9"/>
    <w:rsid w:val="00D86A80"/>
    <w:rsid w:val="00D86C6E"/>
    <w:rsid w:val="00D87B7E"/>
    <w:rsid w:val="00D90172"/>
    <w:rsid w:val="00D92DE4"/>
    <w:rsid w:val="00D93656"/>
    <w:rsid w:val="00D94136"/>
    <w:rsid w:val="00D9554B"/>
    <w:rsid w:val="00D95777"/>
    <w:rsid w:val="00D95894"/>
    <w:rsid w:val="00D95D44"/>
    <w:rsid w:val="00D967CA"/>
    <w:rsid w:val="00D96FA9"/>
    <w:rsid w:val="00D97338"/>
    <w:rsid w:val="00D97501"/>
    <w:rsid w:val="00DA06CB"/>
    <w:rsid w:val="00DA0794"/>
    <w:rsid w:val="00DA1623"/>
    <w:rsid w:val="00DA1CB0"/>
    <w:rsid w:val="00DA3C69"/>
    <w:rsid w:val="00DA4206"/>
    <w:rsid w:val="00DA45E4"/>
    <w:rsid w:val="00DA56C0"/>
    <w:rsid w:val="00DA6300"/>
    <w:rsid w:val="00DA66B0"/>
    <w:rsid w:val="00DA6969"/>
    <w:rsid w:val="00DA733E"/>
    <w:rsid w:val="00DA7B35"/>
    <w:rsid w:val="00DB05F9"/>
    <w:rsid w:val="00DB2446"/>
    <w:rsid w:val="00DB2633"/>
    <w:rsid w:val="00DB38AF"/>
    <w:rsid w:val="00DB493A"/>
    <w:rsid w:val="00DB4F50"/>
    <w:rsid w:val="00DB5001"/>
    <w:rsid w:val="00DB5AFA"/>
    <w:rsid w:val="00DB5D59"/>
    <w:rsid w:val="00DB6164"/>
    <w:rsid w:val="00DB6E35"/>
    <w:rsid w:val="00DB7504"/>
    <w:rsid w:val="00DB7BE1"/>
    <w:rsid w:val="00DB7C0E"/>
    <w:rsid w:val="00DB7E48"/>
    <w:rsid w:val="00DB7F14"/>
    <w:rsid w:val="00DC03EA"/>
    <w:rsid w:val="00DC04EA"/>
    <w:rsid w:val="00DC0589"/>
    <w:rsid w:val="00DC1421"/>
    <w:rsid w:val="00DC2BD1"/>
    <w:rsid w:val="00DC39C3"/>
    <w:rsid w:val="00DC532C"/>
    <w:rsid w:val="00DC5568"/>
    <w:rsid w:val="00DC56F0"/>
    <w:rsid w:val="00DC5D55"/>
    <w:rsid w:val="00DC62A8"/>
    <w:rsid w:val="00DC64B8"/>
    <w:rsid w:val="00DC6D5B"/>
    <w:rsid w:val="00DC72BC"/>
    <w:rsid w:val="00DC733F"/>
    <w:rsid w:val="00DD0063"/>
    <w:rsid w:val="00DD0184"/>
    <w:rsid w:val="00DD03F9"/>
    <w:rsid w:val="00DD03FB"/>
    <w:rsid w:val="00DD09C0"/>
    <w:rsid w:val="00DD0D60"/>
    <w:rsid w:val="00DD10D6"/>
    <w:rsid w:val="00DD19E8"/>
    <w:rsid w:val="00DD1B1A"/>
    <w:rsid w:val="00DD1BF4"/>
    <w:rsid w:val="00DD1D75"/>
    <w:rsid w:val="00DD1F7B"/>
    <w:rsid w:val="00DD2662"/>
    <w:rsid w:val="00DD2B7A"/>
    <w:rsid w:val="00DD3278"/>
    <w:rsid w:val="00DD34CF"/>
    <w:rsid w:val="00DD370B"/>
    <w:rsid w:val="00DD38CD"/>
    <w:rsid w:val="00DD38DC"/>
    <w:rsid w:val="00DD3DA4"/>
    <w:rsid w:val="00DD437E"/>
    <w:rsid w:val="00DD4EE7"/>
    <w:rsid w:val="00DD554B"/>
    <w:rsid w:val="00DD61FE"/>
    <w:rsid w:val="00DD62A7"/>
    <w:rsid w:val="00DD6B36"/>
    <w:rsid w:val="00DE0447"/>
    <w:rsid w:val="00DE0629"/>
    <w:rsid w:val="00DE0F00"/>
    <w:rsid w:val="00DE1090"/>
    <w:rsid w:val="00DE1716"/>
    <w:rsid w:val="00DE26E1"/>
    <w:rsid w:val="00DE290C"/>
    <w:rsid w:val="00DE2A52"/>
    <w:rsid w:val="00DE2B15"/>
    <w:rsid w:val="00DE2FF2"/>
    <w:rsid w:val="00DE3313"/>
    <w:rsid w:val="00DE3CB0"/>
    <w:rsid w:val="00DE3ECF"/>
    <w:rsid w:val="00DE49D4"/>
    <w:rsid w:val="00DE4BA1"/>
    <w:rsid w:val="00DE4EB2"/>
    <w:rsid w:val="00DE4ECB"/>
    <w:rsid w:val="00DE4F26"/>
    <w:rsid w:val="00DE596D"/>
    <w:rsid w:val="00DE60B6"/>
    <w:rsid w:val="00DE62A2"/>
    <w:rsid w:val="00DE6791"/>
    <w:rsid w:val="00DE6D48"/>
    <w:rsid w:val="00DE75DE"/>
    <w:rsid w:val="00DE77F0"/>
    <w:rsid w:val="00DE7816"/>
    <w:rsid w:val="00DF04AD"/>
    <w:rsid w:val="00DF1334"/>
    <w:rsid w:val="00DF152B"/>
    <w:rsid w:val="00DF215B"/>
    <w:rsid w:val="00DF21E8"/>
    <w:rsid w:val="00DF242D"/>
    <w:rsid w:val="00DF242E"/>
    <w:rsid w:val="00DF3051"/>
    <w:rsid w:val="00DF3576"/>
    <w:rsid w:val="00DF3A4A"/>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0883"/>
    <w:rsid w:val="00E0193E"/>
    <w:rsid w:val="00E02D42"/>
    <w:rsid w:val="00E035AD"/>
    <w:rsid w:val="00E05C4F"/>
    <w:rsid w:val="00E06848"/>
    <w:rsid w:val="00E06C71"/>
    <w:rsid w:val="00E1047D"/>
    <w:rsid w:val="00E1107E"/>
    <w:rsid w:val="00E11B0C"/>
    <w:rsid w:val="00E129F8"/>
    <w:rsid w:val="00E12F4E"/>
    <w:rsid w:val="00E13779"/>
    <w:rsid w:val="00E13A85"/>
    <w:rsid w:val="00E141DF"/>
    <w:rsid w:val="00E146F2"/>
    <w:rsid w:val="00E148EF"/>
    <w:rsid w:val="00E14AE5"/>
    <w:rsid w:val="00E1523E"/>
    <w:rsid w:val="00E1590F"/>
    <w:rsid w:val="00E16147"/>
    <w:rsid w:val="00E16368"/>
    <w:rsid w:val="00E16DBA"/>
    <w:rsid w:val="00E1779F"/>
    <w:rsid w:val="00E1794D"/>
    <w:rsid w:val="00E200E7"/>
    <w:rsid w:val="00E20187"/>
    <w:rsid w:val="00E202E0"/>
    <w:rsid w:val="00E20EDA"/>
    <w:rsid w:val="00E20FFA"/>
    <w:rsid w:val="00E21885"/>
    <w:rsid w:val="00E21F5A"/>
    <w:rsid w:val="00E221EC"/>
    <w:rsid w:val="00E230FF"/>
    <w:rsid w:val="00E23691"/>
    <w:rsid w:val="00E23D60"/>
    <w:rsid w:val="00E23FDC"/>
    <w:rsid w:val="00E245A0"/>
    <w:rsid w:val="00E2597D"/>
    <w:rsid w:val="00E25AB4"/>
    <w:rsid w:val="00E2604A"/>
    <w:rsid w:val="00E26C28"/>
    <w:rsid w:val="00E271F8"/>
    <w:rsid w:val="00E27254"/>
    <w:rsid w:val="00E27589"/>
    <w:rsid w:val="00E30C9F"/>
    <w:rsid w:val="00E30CD7"/>
    <w:rsid w:val="00E30FB9"/>
    <w:rsid w:val="00E31197"/>
    <w:rsid w:val="00E3147F"/>
    <w:rsid w:val="00E315F1"/>
    <w:rsid w:val="00E319B8"/>
    <w:rsid w:val="00E33454"/>
    <w:rsid w:val="00E3386F"/>
    <w:rsid w:val="00E33E51"/>
    <w:rsid w:val="00E34BFB"/>
    <w:rsid w:val="00E35098"/>
    <w:rsid w:val="00E35A09"/>
    <w:rsid w:val="00E35E6C"/>
    <w:rsid w:val="00E36EE6"/>
    <w:rsid w:val="00E405EF"/>
    <w:rsid w:val="00E40CA9"/>
    <w:rsid w:val="00E40CB4"/>
    <w:rsid w:val="00E41AA9"/>
    <w:rsid w:val="00E41E94"/>
    <w:rsid w:val="00E42117"/>
    <w:rsid w:val="00E421FB"/>
    <w:rsid w:val="00E4241C"/>
    <w:rsid w:val="00E42637"/>
    <w:rsid w:val="00E42CE5"/>
    <w:rsid w:val="00E42DF3"/>
    <w:rsid w:val="00E430F9"/>
    <w:rsid w:val="00E43D7E"/>
    <w:rsid w:val="00E43DAC"/>
    <w:rsid w:val="00E43EB7"/>
    <w:rsid w:val="00E43F18"/>
    <w:rsid w:val="00E44719"/>
    <w:rsid w:val="00E44905"/>
    <w:rsid w:val="00E457AA"/>
    <w:rsid w:val="00E45BDC"/>
    <w:rsid w:val="00E46CC6"/>
    <w:rsid w:val="00E511E3"/>
    <w:rsid w:val="00E51337"/>
    <w:rsid w:val="00E51A2E"/>
    <w:rsid w:val="00E51E85"/>
    <w:rsid w:val="00E52DD6"/>
    <w:rsid w:val="00E53048"/>
    <w:rsid w:val="00E53A6F"/>
    <w:rsid w:val="00E53AA7"/>
    <w:rsid w:val="00E53F88"/>
    <w:rsid w:val="00E5464D"/>
    <w:rsid w:val="00E54684"/>
    <w:rsid w:val="00E54A33"/>
    <w:rsid w:val="00E54DC4"/>
    <w:rsid w:val="00E55B99"/>
    <w:rsid w:val="00E56574"/>
    <w:rsid w:val="00E56CCD"/>
    <w:rsid w:val="00E5781B"/>
    <w:rsid w:val="00E61083"/>
    <w:rsid w:val="00E61533"/>
    <w:rsid w:val="00E6177C"/>
    <w:rsid w:val="00E6240D"/>
    <w:rsid w:val="00E62AAA"/>
    <w:rsid w:val="00E62E4F"/>
    <w:rsid w:val="00E63B96"/>
    <w:rsid w:val="00E63BF7"/>
    <w:rsid w:val="00E641FC"/>
    <w:rsid w:val="00E644BE"/>
    <w:rsid w:val="00E64DD5"/>
    <w:rsid w:val="00E64F4C"/>
    <w:rsid w:val="00E6534D"/>
    <w:rsid w:val="00E657C1"/>
    <w:rsid w:val="00E6660C"/>
    <w:rsid w:val="00E66B46"/>
    <w:rsid w:val="00E66CEE"/>
    <w:rsid w:val="00E66EE0"/>
    <w:rsid w:val="00E66FCC"/>
    <w:rsid w:val="00E674C2"/>
    <w:rsid w:val="00E67B46"/>
    <w:rsid w:val="00E67CB5"/>
    <w:rsid w:val="00E67EDD"/>
    <w:rsid w:val="00E701F2"/>
    <w:rsid w:val="00E7135D"/>
    <w:rsid w:val="00E71A61"/>
    <w:rsid w:val="00E7255A"/>
    <w:rsid w:val="00E72860"/>
    <w:rsid w:val="00E7312C"/>
    <w:rsid w:val="00E7338B"/>
    <w:rsid w:val="00E7355E"/>
    <w:rsid w:val="00E741D0"/>
    <w:rsid w:val="00E75994"/>
    <w:rsid w:val="00E75AE0"/>
    <w:rsid w:val="00E76097"/>
    <w:rsid w:val="00E76C37"/>
    <w:rsid w:val="00E76DD6"/>
    <w:rsid w:val="00E773CD"/>
    <w:rsid w:val="00E800A3"/>
    <w:rsid w:val="00E8088F"/>
    <w:rsid w:val="00E80C7D"/>
    <w:rsid w:val="00E825F7"/>
    <w:rsid w:val="00E82677"/>
    <w:rsid w:val="00E82A41"/>
    <w:rsid w:val="00E83495"/>
    <w:rsid w:val="00E839A6"/>
    <w:rsid w:val="00E84667"/>
    <w:rsid w:val="00E84C5D"/>
    <w:rsid w:val="00E85E7E"/>
    <w:rsid w:val="00E8606A"/>
    <w:rsid w:val="00E865E0"/>
    <w:rsid w:val="00E86CDD"/>
    <w:rsid w:val="00E86E99"/>
    <w:rsid w:val="00E87D7E"/>
    <w:rsid w:val="00E9016A"/>
    <w:rsid w:val="00E90C8D"/>
    <w:rsid w:val="00E91B3F"/>
    <w:rsid w:val="00E91DA6"/>
    <w:rsid w:val="00E91EE2"/>
    <w:rsid w:val="00E92E50"/>
    <w:rsid w:val="00E9330F"/>
    <w:rsid w:val="00E93ADA"/>
    <w:rsid w:val="00E93D30"/>
    <w:rsid w:val="00E94A80"/>
    <w:rsid w:val="00E94EC1"/>
    <w:rsid w:val="00E95153"/>
    <w:rsid w:val="00E95E9A"/>
    <w:rsid w:val="00E95F02"/>
    <w:rsid w:val="00E961BB"/>
    <w:rsid w:val="00E97445"/>
    <w:rsid w:val="00E97648"/>
    <w:rsid w:val="00E97C18"/>
    <w:rsid w:val="00EA0350"/>
    <w:rsid w:val="00EA0379"/>
    <w:rsid w:val="00EA17EA"/>
    <w:rsid w:val="00EA1ACE"/>
    <w:rsid w:val="00EA1BDA"/>
    <w:rsid w:val="00EA218E"/>
    <w:rsid w:val="00EA24CE"/>
    <w:rsid w:val="00EA3149"/>
    <w:rsid w:val="00EA33DD"/>
    <w:rsid w:val="00EA383A"/>
    <w:rsid w:val="00EA3AB4"/>
    <w:rsid w:val="00EA3AEB"/>
    <w:rsid w:val="00EA3F1E"/>
    <w:rsid w:val="00EA417A"/>
    <w:rsid w:val="00EA530E"/>
    <w:rsid w:val="00EA5656"/>
    <w:rsid w:val="00EA5C2A"/>
    <w:rsid w:val="00EA6026"/>
    <w:rsid w:val="00EA6128"/>
    <w:rsid w:val="00EA613F"/>
    <w:rsid w:val="00EA6CB5"/>
    <w:rsid w:val="00EA6F69"/>
    <w:rsid w:val="00EA7798"/>
    <w:rsid w:val="00EA7BA5"/>
    <w:rsid w:val="00EB090D"/>
    <w:rsid w:val="00EB09FB"/>
    <w:rsid w:val="00EB0A20"/>
    <w:rsid w:val="00EB116F"/>
    <w:rsid w:val="00EB1525"/>
    <w:rsid w:val="00EB2002"/>
    <w:rsid w:val="00EB23FC"/>
    <w:rsid w:val="00EB2B8A"/>
    <w:rsid w:val="00EB2DCB"/>
    <w:rsid w:val="00EB2E55"/>
    <w:rsid w:val="00EB3017"/>
    <w:rsid w:val="00EB3DC5"/>
    <w:rsid w:val="00EB4B0A"/>
    <w:rsid w:val="00EB5162"/>
    <w:rsid w:val="00EB52C6"/>
    <w:rsid w:val="00EB55C7"/>
    <w:rsid w:val="00EB579D"/>
    <w:rsid w:val="00EB5BA9"/>
    <w:rsid w:val="00EB5C25"/>
    <w:rsid w:val="00EB6511"/>
    <w:rsid w:val="00EB665C"/>
    <w:rsid w:val="00EB7A99"/>
    <w:rsid w:val="00EB7ED3"/>
    <w:rsid w:val="00EB7EDA"/>
    <w:rsid w:val="00EC0083"/>
    <w:rsid w:val="00EC035B"/>
    <w:rsid w:val="00EC0B8D"/>
    <w:rsid w:val="00EC13CB"/>
    <w:rsid w:val="00EC14BE"/>
    <w:rsid w:val="00EC1AFE"/>
    <w:rsid w:val="00EC20BB"/>
    <w:rsid w:val="00EC35E7"/>
    <w:rsid w:val="00EC3C22"/>
    <w:rsid w:val="00EC4F4B"/>
    <w:rsid w:val="00EC5719"/>
    <w:rsid w:val="00ED0937"/>
    <w:rsid w:val="00ED0B11"/>
    <w:rsid w:val="00ED16D8"/>
    <w:rsid w:val="00ED1A6E"/>
    <w:rsid w:val="00ED1E60"/>
    <w:rsid w:val="00ED229B"/>
    <w:rsid w:val="00ED2AD6"/>
    <w:rsid w:val="00ED34FB"/>
    <w:rsid w:val="00ED3582"/>
    <w:rsid w:val="00ED39A3"/>
    <w:rsid w:val="00ED4319"/>
    <w:rsid w:val="00ED6334"/>
    <w:rsid w:val="00ED68DC"/>
    <w:rsid w:val="00ED6FF1"/>
    <w:rsid w:val="00ED73E7"/>
    <w:rsid w:val="00ED7FA4"/>
    <w:rsid w:val="00EE0C22"/>
    <w:rsid w:val="00EE0C49"/>
    <w:rsid w:val="00EE14F8"/>
    <w:rsid w:val="00EE22E8"/>
    <w:rsid w:val="00EE246F"/>
    <w:rsid w:val="00EE272C"/>
    <w:rsid w:val="00EE28A3"/>
    <w:rsid w:val="00EE2EBF"/>
    <w:rsid w:val="00EE3375"/>
    <w:rsid w:val="00EE3FCA"/>
    <w:rsid w:val="00EE4062"/>
    <w:rsid w:val="00EE458C"/>
    <w:rsid w:val="00EE4765"/>
    <w:rsid w:val="00EE51AA"/>
    <w:rsid w:val="00EE6275"/>
    <w:rsid w:val="00EE6A55"/>
    <w:rsid w:val="00EE6E25"/>
    <w:rsid w:val="00EF09E0"/>
    <w:rsid w:val="00EF0D39"/>
    <w:rsid w:val="00EF1240"/>
    <w:rsid w:val="00EF1C22"/>
    <w:rsid w:val="00EF21FB"/>
    <w:rsid w:val="00EF238B"/>
    <w:rsid w:val="00EF2539"/>
    <w:rsid w:val="00EF2648"/>
    <w:rsid w:val="00EF2A5F"/>
    <w:rsid w:val="00EF2AA5"/>
    <w:rsid w:val="00EF3FF7"/>
    <w:rsid w:val="00EF43B7"/>
    <w:rsid w:val="00EF4401"/>
    <w:rsid w:val="00EF446B"/>
    <w:rsid w:val="00EF48A0"/>
    <w:rsid w:val="00EF538B"/>
    <w:rsid w:val="00EF567B"/>
    <w:rsid w:val="00EF591D"/>
    <w:rsid w:val="00EF6839"/>
    <w:rsid w:val="00EF7684"/>
    <w:rsid w:val="00EF770E"/>
    <w:rsid w:val="00EF78E2"/>
    <w:rsid w:val="00F0025E"/>
    <w:rsid w:val="00F00719"/>
    <w:rsid w:val="00F00C84"/>
    <w:rsid w:val="00F00E96"/>
    <w:rsid w:val="00F0214E"/>
    <w:rsid w:val="00F034B1"/>
    <w:rsid w:val="00F03504"/>
    <w:rsid w:val="00F0455C"/>
    <w:rsid w:val="00F053F2"/>
    <w:rsid w:val="00F05481"/>
    <w:rsid w:val="00F05FA3"/>
    <w:rsid w:val="00F06390"/>
    <w:rsid w:val="00F06845"/>
    <w:rsid w:val="00F06904"/>
    <w:rsid w:val="00F1003F"/>
    <w:rsid w:val="00F10AF2"/>
    <w:rsid w:val="00F10B74"/>
    <w:rsid w:val="00F10D13"/>
    <w:rsid w:val="00F10E7E"/>
    <w:rsid w:val="00F11BBA"/>
    <w:rsid w:val="00F128DB"/>
    <w:rsid w:val="00F12DFB"/>
    <w:rsid w:val="00F12ED1"/>
    <w:rsid w:val="00F1366B"/>
    <w:rsid w:val="00F137F8"/>
    <w:rsid w:val="00F13D71"/>
    <w:rsid w:val="00F13E2A"/>
    <w:rsid w:val="00F142BC"/>
    <w:rsid w:val="00F14E8F"/>
    <w:rsid w:val="00F15140"/>
    <w:rsid w:val="00F151B7"/>
    <w:rsid w:val="00F154B8"/>
    <w:rsid w:val="00F160B9"/>
    <w:rsid w:val="00F16706"/>
    <w:rsid w:val="00F174A4"/>
    <w:rsid w:val="00F17E3D"/>
    <w:rsid w:val="00F17E3F"/>
    <w:rsid w:val="00F17E95"/>
    <w:rsid w:val="00F2040D"/>
    <w:rsid w:val="00F2162E"/>
    <w:rsid w:val="00F2196F"/>
    <w:rsid w:val="00F21986"/>
    <w:rsid w:val="00F222E7"/>
    <w:rsid w:val="00F22D34"/>
    <w:rsid w:val="00F22E61"/>
    <w:rsid w:val="00F24BD5"/>
    <w:rsid w:val="00F252FF"/>
    <w:rsid w:val="00F26439"/>
    <w:rsid w:val="00F266D8"/>
    <w:rsid w:val="00F27224"/>
    <w:rsid w:val="00F274B3"/>
    <w:rsid w:val="00F315AB"/>
    <w:rsid w:val="00F31832"/>
    <w:rsid w:val="00F31DEF"/>
    <w:rsid w:val="00F3235D"/>
    <w:rsid w:val="00F32AB2"/>
    <w:rsid w:val="00F32C5A"/>
    <w:rsid w:val="00F3309A"/>
    <w:rsid w:val="00F33779"/>
    <w:rsid w:val="00F33A24"/>
    <w:rsid w:val="00F34091"/>
    <w:rsid w:val="00F35A83"/>
    <w:rsid w:val="00F362DE"/>
    <w:rsid w:val="00F365AC"/>
    <w:rsid w:val="00F36705"/>
    <w:rsid w:val="00F37CE7"/>
    <w:rsid w:val="00F37F57"/>
    <w:rsid w:val="00F40146"/>
    <w:rsid w:val="00F41301"/>
    <w:rsid w:val="00F41312"/>
    <w:rsid w:val="00F41394"/>
    <w:rsid w:val="00F417AF"/>
    <w:rsid w:val="00F41F6D"/>
    <w:rsid w:val="00F420BE"/>
    <w:rsid w:val="00F42822"/>
    <w:rsid w:val="00F42C9F"/>
    <w:rsid w:val="00F4307D"/>
    <w:rsid w:val="00F44754"/>
    <w:rsid w:val="00F4573B"/>
    <w:rsid w:val="00F45F47"/>
    <w:rsid w:val="00F45FDE"/>
    <w:rsid w:val="00F46797"/>
    <w:rsid w:val="00F47076"/>
    <w:rsid w:val="00F50397"/>
    <w:rsid w:val="00F50B34"/>
    <w:rsid w:val="00F50FB7"/>
    <w:rsid w:val="00F512DA"/>
    <w:rsid w:val="00F51608"/>
    <w:rsid w:val="00F517E6"/>
    <w:rsid w:val="00F51994"/>
    <w:rsid w:val="00F51C00"/>
    <w:rsid w:val="00F52FFF"/>
    <w:rsid w:val="00F53521"/>
    <w:rsid w:val="00F54147"/>
    <w:rsid w:val="00F541CA"/>
    <w:rsid w:val="00F546D0"/>
    <w:rsid w:val="00F5515C"/>
    <w:rsid w:val="00F555F6"/>
    <w:rsid w:val="00F56166"/>
    <w:rsid w:val="00F56E8F"/>
    <w:rsid w:val="00F573C8"/>
    <w:rsid w:val="00F57A5E"/>
    <w:rsid w:val="00F57C10"/>
    <w:rsid w:val="00F60790"/>
    <w:rsid w:val="00F60F7F"/>
    <w:rsid w:val="00F61781"/>
    <w:rsid w:val="00F61BCE"/>
    <w:rsid w:val="00F62062"/>
    <w:rsid w:val="00F62666"/>
    <w:rsid w:val="00F62B9F"/>
    <w:rsid w:val="00F63731"/>
    <w:rsid w:val="00F64342"/>
    <w:rsid w:val="00F64A89"/>
    <w:rsid w:val="00F64F7A"/>
    <w:rsid w:val="00F6510F"/>
    <w:rsid w:val="00F65918"/>
    <w:rsid w:val="00F6641F"/>
    <w:rsid w:val="00F664EC"/>
    <w:rsid w:val="00F66DF6"/>
    <w:rsid w:val="00F66F7E"/>
    <w:rsid w:val="00F6709C"/>
    <w:rsid w:val="00F670B9"/>
    <w:rsid w:val="00F67222"/>
    <w:rsid w:val="00F674EA"/>
    <w:rsid w:val="00F67880"/>
    <w:rsid w:val="00F70BF6"/>
    <w:rsid w:val="00F7186A"/>
    <w:rsid w:val="00F71FF3"/>
    <w:rsid w:val="00F723C0"/>
    <w:rsid w:val="00F73FC1"/>
    <w:rsid w:val="00F75478"/>
    <w:rsid w:val="00F75E8B"/>
    <w:rsid w:val="00F76223"/>
    <w:rsid w:val="00F76644"/>
    <w:rsid w:val="00F7692C"/>
    <w:rsid w:val="00F76B60"/>
    <w:rsid w:val="00F76C0D"/>
    <w:rsid w:val="00F77440"/>
    <w:rsid w:val="00F777C3"/>
    <w:rsid w:val="00F77A04"/>
    <w:rsid w:val="00F800D5"/>
    <w:rsid w:val="00F802A1"/>
    <w:rsid w:val="00F8059F"/>
    <w:rsid w:val="00F80641"/>
    <w:rsid w:val="00F8083C"/>
    <w:rsid w:val="00F809ED"/>
    <w:rsid w:val="00F80DB3"/>
    <w:rsid w:val="00F8113D"/>
    <w:rsid w:val="00F812B0"/>
    <w:rsid w:val="00F815D0"/>
    <w:rsid w:val="00F81A96"/>
    <w:rsid w:val="00F823A2"/>
    <w:rsid w:val="00F82D6A"/>
    <w:rsid w:val="00F83315"/>
    <w:rsid w:val="00F833BE"/>
    <w:rsid w:val="00F834BD"/>
    <w:rsid w:val="00F842F0"/>
    <w:rsid w:val="00F84353"/>
    <w:rsid w:val="00F8487F"/>
    <w:rsid w:val="00F84D85"/>
    <w:rsid w:val="00F85AEC"/>
    <w:rsid w:val="00F87211"/>
    <w:rsid w:val="00F906FA"/>
    <w:rsid w:val="00F90D98"/>
    <w:rsid w:val="00F90F1A"/>
    <w:rsid w:val="00F912CA"/>
    <w:rsid w:val="00F92029"/>
    <w:rsid w:val="00F92045"/>
    <w:rsid w:val="00F92453"/>
    <w:rsid w:val="00F92462"/>
    <w:rsid w:val="00F92F53"/>
    <w:rsid w:val="00F931AA"/>
    <w:rsid w:val="00F93634"/>
    <w:rsid w:val="00F94C2F"/>
    <w:rsid w:val="00F94CD3"/>
    <w:rsid w:val="00F94EE1"/>
    <w:rsid w:val="00F94F77"/>
    <w:rsid w:val="00F95EF4"/>
    <w:rsid w:val="00F95F8E"/>
    <w:rsid w:val="00F96626"/>
    <w:rsid w:val="00F97089"/>
    <w:rsid w:val="00F97C97"/>
    <w:rsid w:val="00F97E95"/>
    <w:rsid w:val="00F97F4B"/>
    <w:rsid w:val="00FA0C67"/>
    <w:rsid w:val="00FA1C66"/>
    <w:rsid w:val="00FA1D6D"/>
    <w:rsid w:val="00FA209D"/>
    <w:rsid w:val="00FA24A2"/>
    <w:rsid w:val="00FA2C3A"/>
    <w:rsid w:val="00FA3510"/>
    <w:rsid w:val="00FA3643"/>
    <w:rsid w:val="00FA3BD4"/>
    <w:rsid w:val="00FA419A"/>
    <w:rsid w:val="00FA5E32"/>
    <w:rsid w:val="00FA6291"/>
    <w:rsid w:val="00FA696F"/>
    <w:rsid w:val="00FA79EC"/>
    <w:rsid w:val="00FA7A36"/>
    <w:rsid w:val="00FA7B88"/>
    <w:rsid w:val="00FB0C33"/>
    <w:rsid w:val="00FB10D4"/>
    <w:rsid w:val="00FB138A"/>
    <w:rsid w:val="00FB1D8D"/>
    <w:rsid w:val="00FB2907"/>
    <w:rsid w:val="00FB37E9"/>
    <w:rsid w:val="00FB3CCB"/>
    <w:rsid w:val="00FB5EC1"/>
    <w:rsid w:val="00FB733D"/>
    <w:rsid w:val="00FB7BD2"/>
    <w:rsid w:val="00FB7DF1"/>
    <w:rsid w:val="00FC05E6"/>
    <w:rsid w:val="00FC06C8"/>
    <w:rsid w:val="00FC0886"/>
    <w:rsid w:val="00FC22C2"/>
    <w:rsid w:val="00FC256E"/>
    <w:rsid w:val="00FC2991"/>
    <w:rsid w:val="00FC29CC"/>
    <w:rsid w:val="00FC2F3C"/>
    <w:rsid w:val="00FC345B"/>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8BA"/>
    <w:rsid w:val="00FD1DC5"/>
    <w:rsid w:val="00FD1F7E"/>
    <w:rsid w:val="00FD2FA4"/>
    <w:rsid w:val="00FD3EF8"/>
    <w:rsid w:val="00FD3FB7"/>
    <w:rsid w:val="00FD44CF"/>
    <w:rsid w:val="00FD4D69"/>
    <w:rsid w:val="00FD4FB1"/>
    <w:rsid w:val="00FD6074"/>
    <w:rsid w:val="00FD6498"/>
    <w:rsid w:val="00FD708D"/>
    <w:rsid w:val="00FD7D75"/>
    <w:rsid w:val="00FD7DFA"/>
    <w:rsid w:val="00FE01AF"/>
    <w:rsid w:val="00FE07AD"/>
    <w:rsid w:val="00FE0D8C"/>
    <w:rsid w:val="00FE0E69"/>
    <w:rsid w:val="00FE1787"/>
    <w:rsid w:val="00FE1B8C"/>
    <w:rsid w:val="00FE308B"/>
    <w:rsid w:val="00FE3B24"/>
    <w:rsid w:val="00FE40FD"/>
    <w:rsid w:val="00FE4E7F"/>
    <w:rsid w:val="00FE53AD"/>
    <w:rsid w:val="00FE5BF0"/>
    <w:rsid w:val="00FE764C"/>
    <w:rsid w:val="00FF162A"/>
    <w:rsid w:val="00FF1BD6"/>
    <w:rsid w:val="00FF1E71"/>
    <w:rsid w:val="00FF20BE"/>
    <w:rsid w:val="00FF20D7"/>
    <w:rsid w:val="00FF24A1"/>
    <w:rsid w:val="00FF2CAB"/>
    <w:rsid w:val="00FF353D"/>
    <w:rsid w:val="00FF35F6"/>
    <w:rsid w:val="00FF3C85"/>
    <w:rsid w:val="00FF3F62"/>
    <w:rsid w:val="00FF4237"/>
    <w:rsid w:val="00FF4CD6"/>
    <w:rsid w:val="00FF5740"/>
    <w:rsid w:val="00FF5F03"/>
    <w:rsid w:val="00FF6B9A"/>
    <w:rsid w:val="00FF6E5F"/>
    <w:rsid w:val="00FF7F68"/>
    <w:rsid w:val="011337AA"/>
    <w:rsid w:val="015B4FE6"/>
    <w:rsid w:val="01794AD8"/>
    <w:rsid w:val="01B85F94"/>
    <w:rsid w:val="01C2284A"/>
    <w:rsid w:val="01D72D25"/>
    <w:rsid w:val="01DE77E3"/>
    <w:rsid w:val="01E75067"/>
    <w:rsid w:val="023578C5"/>
    <w:rsid w:val="02431912"/>
    <w:rsid w:val="025D03DD"/>
    <w:rsid w:val="0292118C"/>
    <w:rsid w:val="029B6A40"/>
    <w:rsid w:val="033769AA"/>
    <w:rsid w:val="036D1000"/>
    <w:rsid w:val="038A13AF"/>
    <w:rsid w:val="03BA4F03"/>
    <w:rsid w:val="03DC2A65"/>
    <w:rsid w:val="03F43A2F"/>
    <w:rsid w:val="048D2705"/>
    <w:rsid w:val="049C3E6C"/>
    <w:rsid w:val="04B75458"/>
    <w:rsid w:val="05B66C8F"/>
    <w:rsid w:val="0635067E"/>
    <w:rsid w:val="068907B4"/>
    <w:rsid w:val="069A095C"/>
    <w:rsid w:val="06EE29A2"/>
    <w:rsid w:val="06F31B2D"/>
    <w:rsid w:val="072A2F74"/>
    <w:rsid w:val="0751611A"/>
    <w:rsid w:val="07A90B17"/>
    <w:rsid w:val="082D0D5E"/>
    <w:rsid w:val="082F4AD6"/>
    <w:rsid w:val="083E5438"/>
    <w:rsid w:val="084E6464"/>
    <w:rsid w:val="085650BD"/>
    <w:rsid w:val="087A4FBF"/>
    <w:rsid w:val="08D00FFA"/>
    <w:rsid w:val="09324C4C"/>
    <w:rsid w:val="09497E1A"/>
    <w:rsid w:val="099F33D7"/>
    <w:rsid w:val="09E22B15"/>
    <w:rsid w:val="09F37890"/>
    <w:rsid w:val="0A440BB4"/>
    <w:rsid w:val="0A51342A"/>
    <w:rsid w:val="0ACA4814"/>
    <w:rsid w:val="0AD82095"/>
    <w:rsid w:val="0AF3628F"/>
    <w:rsid w:val="0B1800F7"/>
    <w:rsid w:val="0B891CA7"/>
    <w:rsid w:val="0B980BE5"/>
    <w:rsid w:val="0BB11466"/>
    <w:rsid w:val="0BD12046"/>
    <w:rsid w:val="0BF036A0"/>
    <w:rsid w:val="0C550884"/>
    <w:rsid w:val="0C6F39D4"/>
    <w:rsid w:val="0CC66EC2"/>
    <w:rsid w:val="0D15073F"/>
    <w:rsid w:val="0D58687D"/>
    <w:rsid w:val="0D8C0655"/>
    <w:rsid w:val="0DA90D95"/>
    <w:rsid w:val="0DEC49E4"/>
    <w:rsid w:val="0DEE43F5"/>
    <w:rsid w:val="0E1275C5"/>
    <w:rsid w:val="0E1327A4"/>
    <w:rsid w:val="0E275123"/>
    <w:rsid w:val="0E455054"/>
    <w:rsid w:val="0E7C4E30"/>
    <w:rsid w:val="0F7554C5"/>
    <w:rsid w:val="0F933B9D"/>
    <w:rsid w:val="0FA933C0"/>
    <w:rsid w:val="0FDE143F"/>
    <w:rsid w:val="0FE50BB9"/>
    <w:rsid w:val="101C0036"/>
    <w:rsid w:val="109F44C7"/>
    <w:rsid w:val="10DA621F"/>
    <w:rsid w:val="10EA3C90"/>
    <w:rsid w:val="11B76E7E"/>
    <w:rsid w:val="136441CE"/>
    <w:rsid w:val="13B764A2"/>
    <w:rsid w:val="13F35552"/>
    <w:rsid w:val="1410327B"/>
    <w:rsid w:val="144A465D"/>
    <w:rsid w:val="1479029B"/>
    <w:rsid w:val="150D257F"/>
    <w:rsid w:val="15312FA9"/>
    <w:rsid w:val="15D369BC"/>
    <w:rsid w:val="15DB564B"/>
    <w:rsid w:val="166817B1"/>
    <w:rsid w:val="169D3553"/>
    <w:rsid w:val="16A161B6"/>
    <w:rsid w:val="174C6738"/>
    <w:rsid w:val="17C05240"/>
    <w:rsid w:val="18005E60"/>
    <w:rsid w:val="187E190E"/>
    <w:rsid w:val="188D1AD1"/>
    <w:rsid w:val="191D28B1"/>
    <w:rsid w:val="199669A7"/>
    <w:rsid w:val="19C01A32"/>
    <w:rsid w:val="19CA4189"/>
    <w:rsid w:val="19F97867"/>
    <w:rsid w:val="1A595D23"/>
    <w:rsid w:val="1A6E0F60"/>
    <w:rsid w:val="1A7F47B4"/>
    <w:rsid w:val="1A993138"/>
    <w:rsid w:val="1ABA46D4"/>
    <w:rsid w:val="1ACD248F"/>
    <w:rsid w:val="1AFA714B"/>
    <w:rsid w:val="1AFD52F6"/>
    <w:rsid w:val="1B3204C1"/>
    <w:rsid w:val="1B4072CF"/>
    <w:rsid w:val="1B79458F"/>
    <w:rsid w:val="1B945C5F"/>
    <w:rsid w:val="1BB074A7"/>
    <w:rsid w:val="1BE22134"/>
    <w:rsid w:val="1BF64F14"/>
    <w:rsid w:val="1C646FED"/>
    <w:rsid w:val="1C67088B"/>
    <w:rsid w:val="1D57445C"/>
    <w:rsid w:val="1E2F1AF5"/>
    <w:rsid w:val="1E8B3DF0"/>
    <w:rsid w:val="1EAA46F9"/>
    <w:rsid w:val="1EBA637E"/>
    <w:rsid w:val="1EE92A08"/>
    <w:rsid w:val="1F29007A"/>
    <w:rsid w:val="1F663A80"/>
    <w:rsid w:val="1F8B663F"/>
    <w:rsid w:val="1FE36B98"/>
    <w:rsid w:val="1FFA6714"/>
    <w:rsid w:val="20156C71"/>
    <w:rsid w:val="20375FA9"/>
    <w:rsid w:val="20402A42"/>
    <w:rsid w:val="210D0ED4"/>
    <w:rsid w:val="21156B08"/>
    <w:rsid w:val="21492FD3"/>
    <w:rsid w:val="2184648F"/>
    <w:rsid w:val="21AF394B"/>
    <w:rsid w:val="223871C8"/>
    <w:rsid w:val="226338A3"/>
    <w:rsid w:val="228F6446"/>
    <w:rsid w:val="22904C40"/>
    <w:rsid w:val="22EA7F92"/>
    <w:rsid w:val="23645B24"/>
    <w:rsid w:val="2365214D"/>
    <w:rsid w:val="2378512C"/>
    <w:rsid w:val="23A203FB"/>
    <w:rsid w:val="23CD36CA"/>
    <w:rsid w:val="24913B41"/>
    <w:rsid w:val="24DD5B8E"/>
    <w:rsid w:val="2542070E"/>
    <w:rsid w:val="256911D0"/>
    <w:rsid w:val="25A91BC1"/>
    <w:rsid w:val="25CB34D2"/>
    <w:rsid w:val="263564F8"/>
    <w:rsid w:val="26555BF8"/>
    <w:rsid w:val="26D7660D"/>
    <w:rsid w:val="26EB042A"/>
    <w:rsid w:val="2789206D"/>
    <w:rsid w:val="27894419"/>
    <w:rsid w:val="27DA4607"/>
    <w:rsid w:val="2804329B"/>
    <w:rsid w:val="280923EB"/>
    <w:rsid w:val="28127295"/>
    <w:rsid w:val="285F2190"/>
    <w:rsid w:val="28656199"/>
    <w:rsid w:val="289C7EB4"/>
    <w:rsid w:val="28C17575"/>
    <w:rsid w:val="293D2EBE"/>
    <w:rsid w:val="29D5234D"/>
    <w:rsid w:val="29F86FC6"/>
    <w:rsid w:val="2A0E2346"/>
    <w:rsid w:val="2A554419"/>
    <w:rsid w:val="2A7D127A"/>
    <w:rsid w:val="2AB71864"/>
    <w:rsid w:val="2AB7793B"/>
    <w:rsid w:val="2AFC77A1"/>
    <w:rsid w:val="2B3D7387"/>
    <w:rsid w:val="2B85564A"/>
    <w:rsid w:val="2BC26FF8"/>
    <w:rsid w:val="2BCD490A"/>
    <w:rsid w:val="2BE55237"/>
    <w:rsid w:val="2C4D100B"/>
    <w:rsid w:val="2C9034E6"/>
    <w:rsid w:val="2CEF5816"/>
    <w:rsid w:val="2D0B5263"/>
    <w:rsid w:val="2D113C66"/>
    <w:rsid w:val="2D315D51"/>
    <w:rsid w:val="2D855015"/>
    <w:rsid w:val="2DA51213"/>
    <w:rsid w:val="2DBA2F11"/>
    <w:rsid w:val="2DD122A9"/>
    <w:rsid w:val="2DD5138F"/>
    <w:rsid w:val="2E5D7767"/>
    <w:rsid w:val="2E6007C2"/>
    <w:rsid w:val="2E830BDD"/>
    <w:rsid w:val="2E851C89"/>
    <w:rsid w:val="2E854563"/>
    <w:rsid w:val="2EA569B3"/>
    <w:rsid w:val="2EE351E2"/>
    <w:rsid w:val="2F1D4FD7"/>
    <w:rsid w:val="2F37730B"/>
    <w:rsid w:val="2F875074"/>
    <w:rsid w:val="301A0444"/>
    <w:rsid w:val="301E3768"/>
    <w:rsid w:val="3021231F"/>
    <w:rsid w:val="3049232A"/>
    <w:rsid w:val="308047E6"/>
    <w:rsid w:val="30B5507D"/>
    <w:rsid w:val="30BC03B5"/>
    <w:rsid w:val="30CF7407"/>
    <w:rsid w:val="31061FC9"/>
    <w:rsid w:val="316B039E"/>
    <w:rsid w:val="3172568D"/>
    <w:rsid w:val="31770F12"/>
    <w:rsid w:val="31BB7257"/>
    <w:rsid w:val="31E77F3D"/>
    <w:rsid w:val="32A45F3D"/>
    <w:rsid w:val="32B51F59"/>
    <w:rsid w:val="32D61E6F"/>
    <w:rsid w:val="3300439E"/>
    <w:rsid w:val="330D0DA2"/>
    <w:rsid w:val="33750436"/>
    <w:rsid w:val="339628D2"/>
    <w:rsid w:val="340011EC"/>
    <w:rsid w:val="35B94946"/>
    <w:rsid w:val="370947E5"/>
    <w:rsid w:val="37735EDE"/>
    <w:rsid w:val="37DC2B90"/>
    <w:rsid w:val="385E26EA"/>
    <w:rsid w:val="38796D81"/>
    <w:rsid w:val="38961E84"/>
    <w:rsid w:val="38A52E99"/>
    <w:rsid w:val="38B60A92"/>
    <w:rsid w:val="39247160"/>
    <w:rsid w:val="394A03AF"/>
    <w:rsid w:val="398C51D9"/>
    <w:rsid w:val="39996651"/>
    <w:rsid w:val="399D36E6"/>
    <w:rsid w:val="39A6259B"/>
    <w:rsid w:val="39D76BF8"/>
    <w:rsid w:val="39E66E3B"/>
    <w:rsid w:val="3A9F2D07"/>
    <w:rsid w:val="3AA7481D"/>
    <w:rsid w:val="3ACE1D17"/>
    <w:rsid w:val="3B027CA5"/>
    <w:rsid w:val="3B0672D5"/>
    <w:rsid w:val="3B3D6F2F"/>
    <w:rsid w:val="3B787F67"/>
    <w:rsid w:val="3B862684"/>
    <w:rsid w:val="3B974891"/>
    <w:rsid w:val="3BF5012E"/>
    <w:rsid w:val="3BFF124A"/>
    <w:rsid w:val="3BFF5F92"/>
    <w:rsid w:val="3C92251C"/>
    <w:rsid w:val="3D365219"/>
    <w:rsid w:val="3D6640C8"/>
    <w:rsid w:val="3DD3177F"/>
    <w:rsid w:val="3DF02037"/>
    <w:rsid w:val="3E22733A"/>
    <w:rsid w:val="3E467EA9"/>
    <w:rsid w:val="3E4B4A69"/>
    <w:rsid w:val="3E573E64"/>
    <w:rsid w:val="3E5B3DE7"/>
    <w:rsid w:val="3E774506"/>
    <w:rsid w:val="3E8804C1"/>
    <w:rsid w:val="3EEE2115"/>
    <w:rsid w:val="3F2F7E0B"/>
    <w:rsid w:val="3F746C97"/>
    <w:rsid w:val="400159AA"/>
    <w:rsid w:val="40262213"/>
    <w:rsid w:val="40580367"/>
    <w:rsid w:val="405C1652"/>
    <w:rsid w:val="406E36E7"/>
    <w:rsid w:val="407A28F4"/>
    <w:rsid w:val="40D73BB8"/>
    <w:rsid w:val="41206E52"/>
    <w:rsid w:val="41286CEA"/>
    <w:rsid w:val="414678D6"/>
    <w:rsid w:val="41DC13D4"/>
    <w:rsid w:val="41E27AF9"/>
    <w:rsid w:val="42553EE8"/>
    <w:rsid w:val="42642FF3"/>
    <w:rsid w:val="427F44AC"/>
    <w:rsid w:val="42B451C4"/>
    <w:rsid w:val="43805C0B"/>
    <w:rsid w:val="43967F31"/>
    <w:rsid w:val="43AD4526"/>
    <w:rsid w:val="442F10A5"/>
    <w:rsid w:val="44316F05"/>
    <w:rsid w:val="443D28D8"/>
    <w:rsid w:val="443F3C07"/>
    <w:rsid w:val="44937BC0"/>
    <w:rsid w:val="44B6499C"/>
    <w:rsid w:val="450B2EEB"/>
    <w:rsid w:val="45230373"/>
    <w:rsid w:val="453C24C7"/>
    <w:rsid w:val="454A69BE"/>
    <w:rsid w:val="45D264C6"/>
    <w:rsid w:val="464A0752"/>
    <w:rsid w:val="464B19A0"/>
    <w:rsid w:val="468332EA"/>
    <w:rsid w:val="46C67DD9"/>
    <w:rsid w:val="46C84F37"/>
    <w:rsid w:val="46F238F7"/>
    <w:rsid w:val="470703F1"/>
    <w:rsid w:val="47421189"/>
    <w:rsid w:val="47501E34"/>
    <w:rsid w:val="47614FA6"/>
    <w:rsid w:val="476664FD"/>
    <w:rsid w:val="47C760D4"/>
    <w:rsid w:val="48F618EF"/>
    <w:rsid w:val="48FD385A"/>
    <w:rsid w:val="49941250"/>
    <w:rsid w:val="49AA19C3"/>
    <w:rsid w:val="49E33295"/>
    <w:rsid w:val="4A912770"/>
    <w:rsid w:val="4AAC24C1"/>
    <w:rsid w:val="4B245A16"/>
    <w:rsid w:val="4B372FD4"/>
    <w:rsid w:val="4B4256A1"/>
    <w:rsid w:val="4B71239F"/>
    <w:rsid w:val="4BD75038"/>
    <w:rsid w:val="4BFB610E"/>
    <w:rsid w:val="4D543701"/>
    <w:rsid w:val="4D8125CD"/>
    <w:rsid w:val="4E033689"/>
    <w:rsid w:val="4E535E82"/>
    <w:rsid w:val="4E881E17"/>
    <w:rsid w:val="4F1278D6"/>
    <w:rsid w:val="4F1666ED"/>
    <w:rsid w:val="4F195165"/>
    <w:rsid w:val="4F625F1A"/>
    <w:rsid w:val="4FCD3D05"/>
    <w:rsid w:val="502B6EFE"/>
    <w:rsid w:val="504E2012"/>
    <w:rsid w:val="50773C41"/>
    <w:rsid w:val="50904CD8"/>
    <w:rsid w:val="51096946"/>
    <w:rsid w:val="51D85F62"/>
    <w:rsid w:val="51F03D0D"/>
    <w:rsid w:val="51F6213B"/>
    <w:rsid w:val="5225608A"/>
    <w:rsid w:val="523061C0"/>
    <w:rsid w:val="52522E68"/>
    <w:rsid w:val="52980782"/>
    <w:rsid w:val="5327451C"/>
    <w:rsid w:val="532E5683"/>
    <w:rsid w:val="536D0D7A"/>
    <w:rsid w:val="53D62E9B"/>
    <w:rsid w:val="54104D89"/>
    <w:rsid w:val="54177EC5"/>
    <w:rsid w:val="54241D02"/>
    <w:rsid w:val="54350468"/>
    <w:rsid w:val="54823F16"/>
    <w:rsid w:val="54955C3E"/>
    <w:rsid w:val="54B9408B"/>
    <w:rsid w:val="5579695E"/>
    <w:rsid w:val="563F79E5"/>
    <w:rsid w:val="56BA0FDC"/>
    <w:rsid w:val="56FC67D4"/>
    <w:rsid w:val="57214BF8"/>
    <w:rsid w:val="572E2FBB"/>
    <w:rsid w:val="57301B0E"/>
    <w:rsid w:val="57CD0ED1"/>
    <w:rsid w:val="57CE0445"/>
    <w:rsid w:val="57EF2EDD"/>
    <w:rsid w:val="583F75A1"/>
    <w:rsid w:val="586B6A32"/>
    <w:rsid w:val="58C44394"/>
    <w:rsid w:val="58E135DE"/>
    <w:rsid w:val="58F47BA7"/>
    <w:rsid w:val="59E051FD"/>
    <w:rsid w:val="59E909B2"/>
    <w:rsid w:val="5A61108D"/>
    <w:rsid w:val="5AE10930"/>
    <w:rsid w:val="5B8D1DC8"/>
    <w:rsid w:val="5B9416E5"/>
    <w:rsid w:val="5B9A48C2"/>
    <w:rsid w:val="5BE508A9"/>
    <w:rsid w:val="5C69772C"/>
    <w:rsid w:val="5C6B34A4"/>
    <w:rsid w:val="5D586455"/>
    <w:rsid w:val="5D5F28DD"/>
    <w:rsid w:val="5D9F2CDA"/>
    <w:rsid w:val="5DC33A1A"/>
    <w:rsid w:val="5EFB1AB3"/>
    <w:rsid w:val="5F1A4D0E"/>
    <w:rsid w:val="5F3E404E"/>
    <w:rsid w:val="600E00ED"/>
    <w:rsid w:val="60FA4F03"/>
    <w:rsid w:val="6159055E"/>
    <w:rsid w:val="61CE0DA1"/>
    <w:rsid w:val="622F79DB"/>
    <w:rsid w:val="62422353"/>
    <w:rsid w:val="62F3548C"/>
    <w:rsid w:val="63086E35"/>
    <w:rsid w:val="633B5253"/>
    <w:rsid w:val="63563A57"/>
    <w:rsid w:val="63793840"/>
    <w:rsid w:val="637C4FEA"/>
    <w:rsid w:val="63884F04"/>
    <w:rsid w:val="63E97AEB"/>
    <w:rsid w:val="641066DF"/>
    <w:rsid w:val="64292B34"/>
    <w:rsid w:val="643248C2"/>
    <w:rsid w:val="6432722E"/>
    <w:rsid w:val="64B53B45"/>
    <w:rsid w:val="64FB20A4"/>
    <w:rsid w:val="65165F77"/>
    <w:rsid w:val="65755464"/>
    <w:rsid w:val="65A64DB3"/>
    <w:rsid w:val="65B1252C"/>
    <w:rsid w:val="65B40F7D"/>
    <w:rsid w:val="65B509FE"/>
    <w:rsid w:val="66012783"/>
    <w:rsid w:val="661F6A8E"/>
    <w:rsid w:val="66A979FF"/>
    <w:rsid w:val="66DA17B1"/>
    <w:rsid w:val="67145DB8"/>
    <w:rsid w:val="67182831"/>
    <w:rsid w:val="674A3E33"/>
    <w:rsid w:val="676B40F0"/>
    <w:rsid w:val="679D028A"/>
    <w:rsid w:val="67A90BE7"/>
    <w:rsid w:val="67BA52E0"/>
    <w:rsid w:val="67BD6B7E"/>
    <w:rsid w:val="680B4215"/>
    <w:rsid w:val="68237191"/>
    <w:rsid w:val="68756075"/>
    <w:rsid w:val="687D1E6A"/>
    <w:rsid w:val="689F0032"/>
    <w:rsid w:val="696372B1"/>
    <w:rsid w:val="696D1910"/>
    <w:rsid w:val="699E4401"/>
    <w:rsid w:val="69BF6EB2"/>
    <w:rsid w:val="69E314F3"/>
    <w:rsid w:val="6A6432E1"/>
    <w:rsid w:val="6A904652"/>
    <w:rsid w:val="6A975464"/>
    <w:rsid w:val="6AF361DA"/>
    <w:rsid w:val="6AF428B7"/>
    <w:rsid w:val="6BA052E6"/>
    <w:rsid w:val="6BC609F8"/>
    <w:rsid w:val="6C031981"/>
    <w:rsid w:val="6C1F48EA"/>
    <w:rsid w:val="6C520C8E"/>
    <w:rsid w:val="6C5C4A0C"/>
    <w:rsid w:val="6D234BF1"/>
    <w:rsid w:val="6DB77BCC"/>
    <w:rsid w:val="6E5E3AE5"/>
    <w:rsid w:val="6EB83BFB"/>
    <w:rsid w:val="6F0A08FB"/>
    <w:rsid w:val="6F800BBD"/>
    <w:rsid w:val="6FFE32A4"/>
    <w:rsid w:val="7019348D"/>
    <w:rsid w:val="70422316"/>
    <w:rsid w:val="709D12FB"/>
    <w:rsid w:val="70BA16CE"/>
    <w:rsid w:val="714C1B74"/>
    <w:rsid w:val="71765B61"/>
    <w:rsid w:val="7178229D"/>
    <w:rsid w:val="7218332F"/>
    <w:rsid w:val="727C3AD4"/>
    <w:rsid w:val="729532F8"/>
    <w:rsid w:val="72A05985"/>
    <w:rsid w:val="72E158F4"/>
    <w:rsid w:val="72E4528B"/>
    <w:rsid w:val="7310504C"/>
    <w:rsid w:val="73172CAC"/>
    <w:rsid w:val="74745D74"/>
    <w:rsid w:val="74A470FC"/>
    <w:rsid w:val="74DA0085"/>
    <w:rsid w:val="75306BE1"/>
    <w:rsid w:val="754E4900"/>
    <w:rsid w:val="759F7802"/>
    <w:rsid w:val="75AF4FFE"/>
    <w:rsid w:val="75B857A9"/>
    <w:rsid w:val="75C5557C"/>
    <w:rsid w:val="762D080A"/>
    <w:rsid w:val="76674885"/>
    <w:rsid w:val="76C33B93"/>
    <w:rsid w:val="774B75E6"/>
    <w:rsid w:val="77DC6BAC"/>
    <w:rsid w:val="77F37C63"/>
    <w:rsid w:val="77F765A4"/>
    <w:rsid w:val="781D17B3"/>
    <w:rsid w:val="782D12C2"/>
    <w:rsid w:val="78597FC3"/>
    <w:rsid w:val="797D616D"/>
    <w:rsid w:val="7AB61937"/>
    <w:rsid w:val="7B9A3006"/>
    <w:rsid w:val="7B9C6D7F"/>
    <w:rsid w:val="7BD71DCD"/>
    <w:rsid w:val="7C281B56"/>
    <w:rsid w:val="7C74481D"/>
    <w:rsid w:val="7CAC2D59"/>
    <w:rsid w:val="7CED202F"/>
    <w:rsid w:val="7D0A4866"/>
    <w:rsid w:val="7D40412D"/>
    <w:rsid w:val="7D8447FB"/>
    <w:rsid w:val="7E207B5C"/>
    <w:rsid w:val="7EE63EF7"/>
    <w:rsid w:val="7FD0349B"/>
    <w:rsid w:val="BEFF7F2E"/>
    <w:rsid w:val="D9BDC9AD"/>
    <w:rsid w:val="EFAFE755"/>
    <w:rsid w:val="FF7F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qFormat/>
    <w:uiPriority w:val="0"/>
    <w:pPr>
      <w:keepNext/>
      <w:keepLines/>
      <w:spacing w:before="280" w:after="290" w:line="372" w:lineRule="auto"/>
      <w:outlineLvl w:val="4"/>
    </w:pPr>
    <w:rPr>
      <w:rFonts w:ascii="Times New Roman" w:hAnsi="Times New Roman" w:eastAsia="宋体" w:cs="Times New Roman"/>
      <w:b/>
      <w:sz w:val="28"/>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qFormat/>
    <w:uiPriority w:val="99"/>
    <w:pPr>
      <w:spacing w:after="120"/>
    </w:pPr>
    <w:rPr>
      <w:rFonts w:ascii="Times New Roman" w:hAnsi="Times New Roman" w:eastAsia="宋体" w:cs="Times New Roman"/>
      <w:szCs w:val="24"/>
    </w:rPr>
  </w:style>
  <w:style w:type="paragraph" w:styleId="8">
    <w:name w:val="toc 7"/>
    <w:basedOn w:val="1"/>
    <w:next w:val="1"/>
    <w:unhideWhenUsed/>
    <w:qFormat/>
    <w:uiPriority w:val="39"/>
    <w:pPr>
      <w:ind w:left="2520" w:leftChars="1200"/>
    </w:pPr>
  </w:style>
  <w:style w:type="paragraph" w:styleId="9">
    <w:name w:val="Normal Indent"/>
    <w:basedOn w:val="1"/>
    <w:next w:val="1"/>
    <w:qFormat/>
    <w:uiPriority w:val="0"/>
    <w:pPr>
      <w:ind w:firstLine="420"/>
    </w:pPr>
    <w:rPr>
      <w:rFonts w:ascii="Times New Roman" w:hAnsi="Times New Roman" w:eastAsia="宋体" w:cs="Times New Roman"/>
      <w:kern w:val="0"/>
      <w:sz w:val="20"/>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72"/>
    <w:semiHidden/>
    <w:unhideWhenUsed/>
    <w:qFormat/>
    <w:uiPriority w:val="99"/>
    <w:rPr>
      <w:rFonts w:ascii="宋体" w:eastAsia="宋体"/>
      <w:sz w:val="18"/>
      <w:szCs w:val="18"/>
    </w:rPr>
  </w:style>
  <w:style w:type="paragraph" w:styleId="12">
    <w:name w:val="annotation text"/>
    <w:basedOn w:val="1"/>
    <w:link w:val="64"/>
    <w:unhideWhenUsed/>
    <w:qFormat/>
    <w:uiPriority w:val="99"/>
    <w:pPr>
      <w:jc w:val="left"/>
    </w:pPr>
  </w:style>
  <w:style w:type="paragraph" w:styleId="13">
    <w:name w:val="Body Text 3"/>
    <w:basedOn w:val="1"/>
    <w:link w:val="80"/>
    <w:qFormat/>
    <w:uiPriority w:val="0"/>
    <w:pPr>
      <w:spacing w:after="120"/>
    </w:pPr>
    <w:rPr>
      <w:rFonts w:ascii="Times New Roman" w:hAnsi="Times New Roman" w:eastAsia="宋体" w:cs="Times New Roman"/>
      <w:kern w:val="0"/>
      <w:sz w:val="16"/>
      <w:szCs w:val="16"/>
    </w:rPr>
  </w:style>
  <w:style w:type="paragraph" w:styleId="14">
    <w:name w:val="Body Text Indent"/>
    <w:basedOn w:val="1"/>
    <w:link w:val="77"/>
    <w:unhideWhenUsed/>
    <w:qFormat/>
    <w:uiPriority w:val="99"/>
    <w:pPr>
      <w:spacing w:after="120"/>
      <w:ind w:left="420" w:leftChars="200"/>
    </w:pPr>
  </w:style>
  <w:style w:type="paragraph" w:styleId="15">
    <w:name w:val="Block Text"/>
    <w:basedOn w:val="1"/>
    <w:unhideWhenUsed/>
    <w:qFormat/>
    <w:uiPriority w:val="0"/>
    <w:pPr>
      <w:adjustRightInd w:val="0"/>
      <w:snapToGrid w:val="0"/>
      <w:spacing w:line="352" w:lineRule="auto"/>
      <w:ind w:left="718" w:leftChars="342" w:right="-82" w:rightChars="-39" w:firstLine="480" w:firstLineChars="200"/>
    </w:pPr>
    <w:rPr>
      <w:rFonts w:ascii="宋体" w:hAnsi="宋体" w:eastAsia="宋体" w:cs="Times New Roman"/>
      <w:sz w:val="24"/>
      <w:szCs w:val="24"/>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5"/>
    <w:qFormat/>
    <w:uiPriority w:val="99"/>
    <w:rPr>
      <w:rFonts w:ascii="宋体" w:hAnsi="Courier New" w:eastAsia="宋体"/>
      <w:szCs w:val="24"/>
    </w:rPr>
  </w:style>
  <w:style w:type="paragraph" w:styleId="19">
    <w:name w:val="toc 8"/>
    <w:basedOn w:val="1"/>
    <w:next w:val="1"/>
    <w:unhideWhenUsed/>
    <w:qFormat/>
    <w:uiPriority w:val="39"/>
    <w:pPr>
      <w:ind w:left="2940" w:leftChars="1400"/>
    </w:pPr>
  </w:style>
  <w:style w:type="paragraph" w:styleId="20">
    <w:name w:val="Date"/>
    <w:basedOn w:val="1"/>
    <w:next w:val="1"/>
    <w:link w:val="45"/>
    <w:unhideWhenUsed/>
    <w:qFormat/>
    <w:uiPriority w:val="0"/>
    <w:pPr>
      <w:ind w:left="100" w:leftChars="2500"/>
    </w:pPr>
  </w:style>
  <w:style w:type="paragraph" w:styleId="21">
    <w:name w:val="Balloon Text"/>
    <w:basedOn w:val="1"/>
    <w:link w:val="44"/>
    <w:unhideWhenUsed/>
    <w:qFormat/>
    <w:uiPriority w:val="0"/>
    <w:rPr>
      <w:sz w:val="18"/>
      <w:szCs w:val="18"/>
    </w:rPr>
  </w:style>
  <w:style w:type="paragraph" w:styleId="22">
    <w:name w:val="footer"/>
    <w:basedOn w:val="1"/>
    <w:link w:val="50"/>
    <w:unhideWhenUsed/>
    <w:qFormat/>
    <w:uiPriority w:val="99"/>
    <w:pPr>
      <w:tabs>
        <w:tab w:val="center" w:pos="4153"/>
        <w:tab w:val="right" w:pos="8306"/>
      </w:tabs>
      <w:snapToGrid w:val="0"/>
      <w:jc w:val="left"/>
    </w:pPr>
    <w:rPr>
      <w:sz w:val="18"/>
      <w:szCs w:val="18"/>
    </w:rPr>
  </w:style>
  <w:style w:type="paragraph" w:styleId="23">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25">
    <w:name w:val="toc 4"/>
    <w:basedOn w:val="1"/>
    <w:next w:val="1"/>
    <w:unhideWhenUsed/>
    <w:qFormat/>
    <w:uiPriority w:val="39"/>
    <w:pPr>
      <w:ind w:left="1260" w:leftChars="600"/>
    </w:pPr>
  </w:style>
  <w:style w:type="paragraph" w:styleId="26">
    <w:name w:val="index heading"/>
    <w:basedOn w:val="1"/>
    <w:next w:val="27"/>
    <w:qFormat/>
    <w:uiPriority w:val="99"/>
    <w:rPr>
      <w:rFonts w:ascii="Times New Roman" w:hAnsi="Times New Roman" w:eastAsia="宋体" w:cs="Times New Roman"/>
      <w:szCs w:val="20"/>
    </w:rPr>
  </w:style>
  <w:style w:type="paragraph" w:styleId="27">
    <w:name w:val="index 1"/>
    <w:basedOn w:val="1"/>
    <w:next w:val="1"/>
    <w:unhideWhenUsed/>
    <w:qFormat/>
    <w:uiPriority w:val="99"/>
  </w:style>
  <w:style w:type="paragraph" w:styleId="28">
    <w:name w:val="toc 6"/>
    <w:basedOn w:val="1"/>
    <w:next w:val="1"/>
    <w:unhideWhenUsed/>
    <w:qFormat/>
    <w:uiPriority w:val="39"/>
    <w:pPr>
      <w:ind w:left="2100" w:leftChars="1000"/>
    </w:pPr>
  </w:style>
  <w:style w:type="paragraph" w:styleId="29">
    <w:name w:val="Body Text Indent 3"/>
    <w:basedOn w:val="1"/>
    <w:link w:val="78"/>
    <w:unhideWhenUsed/>
    <w:qFormat/>
    <w:uiPriority w:val="99"/>
    <w:pPr>
      <w:spacing w:after="120"/>
      <w:ind w:left="420" w:leftChars="200"/>
    </w:pPr>
    <w:rPr>
      <w:sz w:val="16"/>
      <w:szCs w:val="16"/>
    </w:rPr>
  </w:style>
  <w:style w:type="paragraph" w:styleId="30">
    <w:name w:val="toc 2"/>
    <w:basedOn w:val="1"/>
    <w:next w:val="1"/>
    <w:unhideWhenUsed/>
    <w:qFormat/>
    <w:uiPriority w:val="39"/>
    <w:pPr>
      <w:widowControl/>
      <w:tabs>
        <w:tab w:val="left" w:pos="709"/>
        <w:tab w:val="right" w:leader="dot" w:pos="8302"/>
      </w:tabs>
      <w:spacing w:after="100" w:line="276" w:lineRule="auto"/>
      <w:ind w:left="220"/>
      <w:jc w:val="left"/>
    </w:pPr>
    <w:rPr>
      <w:kern w:val="0"/>
      <w:sz w:val="22"/>
    </w:rPr>
  </w:style>
  <w:style w:type="paragraph" w:styleId="31">
    <w:name w:val="toc 9"/>
    <w:basedOn w:val="1"/>
    <w:next w:val="1"/>
    <w:unhideWhenUsed/>
    <w:qFormat/>
    <w:uiPriority w:val="39"/>
    <w:pPr>
      <w:ind w:left="3360" w:leftChars="1600"/>
    </w:pPr>
  </w:style>
  <w:style w:type="paragraph" w:styleId="3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3">
    <w:name w:val="annotation subject"/>
    <w:basedOn w:val="12"/>
    <w:next w:val="12"/>
    <w:link w:val="65"/>
    <w:unhideWhenUsed/>
    <w:qFormat/>
    <w:uiPriority w:val="0"/>
    <w:rPr>
      <w:b/>
      <w:bCs/>
    </w:rPr>
  </w:style>
  <w:style w:type="paragraph" w:styleId="34">
    <w:name w:val="Body Text First Indent 2"/>
    <w:basedOn w:val="14"/>
    <w:link w:val="81"/>
    <w:unhideWhenUsed/>
    <w:qFormat/>
    <w:uiPriority w:val="0"/>
    <w:pPr>
      <w:spacing w:after="0"/>
      <w:ind w:left="0" w:leftChars="0" w:firstLine="420" w:firstLineChars="200"/>
    </w:pPr>
    <w:rPr>
      <w:rFonts w:ascii="Times New Roman" w:hAnsi="Times New Roman" w:eastAsia="仿宋体" w:cs="Times New Roman"/>
      <w:kern w:val="0"/>
      <w:sz w:val="32"/>
      <w:szCs w:val="3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unhideWhenUsed/>
    <w:qFormat/>
    <w:uiPriority w:val="99"/>
    <w:rPr>
      <w:color w:val="800080" w:themeColor="followedHyperlink"/>
      <w:u w:val="single"/>
      <w14:textFill>
        <w14:solidFill>
          <w14:schemeClr w14:val="folHlink"/>
        </w14:solidFill>
      </w14:textFill>
    </w:rPr>
  </w:style>
  <w:style w:type="character" w:styleId="41">
    <w:name w:val="Emphasis"/>
    <w:basedOn w:val="37"/>
    <w:qFormat/>
    <w:uiPriority w:val="20"/>
    <w:rPr>
      <w:i/>
      <w:iCs/>
    </w:rPr>
  </w:style>
  <w:style w:type="character" w:styleId="42">
    <w:name w:val="Hyperlink"/>
    <w:qFormat/>
    <w:uiPriority w:val="99"/>
    <w:rPr>
      <w:color w:val="0000FF"/>
      <w:u w:val="single"/>
    </w:rPr>
  </w:style>
  <w:style w:type="character" w:styleId="43">
    <w:name w:val="annotation reference"/>
    <w:basedOn w:val="37"/>
    <w:unhideWhenUsed/>
    <w:qFormat/>
    <w:uiPriority w:val="0"/>
    <w:rPr>
      <w:sz w:val="21"/>
      <w:szCs w:val="21"/>
    </w:rPr>
  </w:style>
  <w:style w:type="character" w:customStyle="1" w:styleId="44">
    <w:name w:val="批注框文本 字符"/>
    <w:basedOn w:val="37"/>
    <w:link w:val="21"/>
    <w:qFormat/>
    <w:uiPriority w:val="0"/>
    <w:rPr>
      <w:sz w:val="18"/>
      <w:szCs w:val="18"/>
    </w:rPr>
  </w:style>
  <w:style w:type="character" w:customStyle="1" w:styleId="45">
    <w:name w:val="日期 字符"/>
    <w:basedOn w:val="37"/>
    <w:link w:val="20"/>
    <w:semiHidden/>
    <w:qFormat/>
    <w:uiPriority w:val="99"/>
  </w:style>
  <w:style w:type="paragraph" w:styleId="46">
    <w:name w:val="List Paragraph"/>
    <w:basedOn w:val="1"/>
    <w:link w:val="61"/>
    <w:qFormat/>
    <w:uiPriority w:val="34"/>
    <w:pPr>
      <w:ind w:firstLine="420" w:firstLineChars="200"/>
    </w:pPr>
  </w:style>
  <w:style w:type="character" w:customStyle="1" w:styleId="47">
    <w:name w:val="p141"/>
    <w:qFormat/>
    <w:uiPriority w:val="0"/>
    <w:rPr>
      <w:sz w:val="21"/>
      <w:szCs w:val="21"/>
    </w:rPr>
  </w:style>
  <w:style w:type="character" w:customStyle="1" w:styleId="48">
    <w:name w:val="标题 1 字符"/>
    <w:basedOn w:val="37"/>
    <w:link w:val="3"/>
    <w:qFormat/>
    <w:uiPriority w:val="99"/>
    <w:rPr>
      <w:b/>
      <w:bCs/>
      <w:kern w:val="44"/>
      <w:sz w:val="44"/>
      <w:szCs w:val="44"/>
    </w:rPr>
  </w:style>
  <w:style w:type="character" w:customStyle="1" w:styleId="49">
    <w:name w:val="页眉 字符"/>
    <w:basedOn w:val="37"/>
    <w:link w:val="23"/>
    <w:qFormat/>
    <w:uiPriority w:val="99"/>
    <w:rPr>
      <w:sz w:val="18"/>
      <w:szCs w:val="18"/>
    </w:rPr>
  </w:style>
  <w:style w:type="character" w:customStyle="1" w:styleId="50">
    <w:name w:val="页脚 字符"/>
    <w:basedOn w:val="37"/>
    <w:link w:val="22"/>
    <w:qFormat/>
    <w:uiPriority w:val="99"/>
    <w:rPr>
      <w:sz w:val="18"/>
      <w:szCs w:val="18"/>
    </w:rPr>
  </w:style>
  <w:style w:type="paragraph" w:customStyle="1" w:styleId="5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2">
    <w:name w:val="正文缩进2格"/>
    <w:basedOn w:val="1"/>
    <w:link w:val="53"/>
    <w:qFormat/>
    <w:uiPriority w:val="0"/>
    <w:pPr>
      <w:spacing w:line="600" w:lineRule="exact"/>
      <w:ind w:firstLine="639" w:firstLineChars="206"/>
    </w:pPr>
    <w:rPr>
      <w:rFonts w:ascii="仿宋_GB2312" w:hAnsi="宋体" w:eastAsia="仿宋_GB2312" w:cs="Times New Roman"/>
      <w:sz w:val="31"/>
      <w:szCs w:val="28"/>
    </w:rPr>
  </w:style>
  <w:style w:type="character" w:customStyle="1" w:styleId="53">
    <w:name w:val="正文缩进2格 Char"/>
    <w:link w:val="52"/>
    <w:qFormat/>
    <w:uiPriority w:val="0"/>
    <w:rPr>
      <w:rFonts w:ascii="仿宋_GB2312" w:hAnsi="宋体" w:eastAsia="仿宋_GB2312" w:cs="Times New Roman"/>
      <w:sz w:val="31"/>
      <w:szCs w:val="28"/>
    </w:rPr>
  </w:style>
  <w:style w:type="character" w:customStyle="1" w:styleId="54">
    <w:name w:val="标题 2 字符"/>
    <w:basedOn w:val="37"/>
    <w:link w:val="4"/>
    <w:qFormat/>
    <w:uiPriority w:val="0"/>
    <w:rPr>
      <w:rFonts w:asciiTheme="majorHAnsi" w:hAnsiTheme="majorHAnsi" w:eastAsiaTheme="majorEastAsia" w:cstheme="majorBidi"/>
      <w:b/>
      <w:bCs/>
      <w:sz w:val="32"/>
      <w:szCs w:val="32"/>
    </w:rPr>
  </w:style>
  <w:style w:type="character" w:customStyle="1" w:styleId="55">
    <w:name w:val="纯文本 字符"/>
    <w:basedOn w:val="37"/>
    <w:link w:val="18"/>
    <w:qFormat/>
    <w:uiPriority w:val="99"/>
    <w:rPr>
      <w:rFonts w:ascii="宋体" w:hAnsi="Courier New" w:eastAsia="宋体"/>
      <w:szCs w:val="24"/>
    </w:rPr>
  </w:style>
  <w:style w:type="character" w:customStyle="1" w:styleId="56">
    <w:name w:val="纯文本 Char"/>
    <w:basedOn w:val="37"/>
    <w:semiHidden/>
    <w:qFormat/>
    <w:uiPriority w:val="99"/>
    <w:rPr>
      <w:rFonts w:ascii="宋体" w:hAnsi="Courier New" w:eastAsia="宋体" w:cs="Courier New"/>
      <w:szCs w:val="21"/>
    </w:rPr>
  </w:style>
  <w:style w:type="character" w:customStyle="1" w:styleId="57">
    <w:name w:val="正文缩进2格 Char Char"/>
    <w:basedOn w:val="37"/>
    <w:qFormat/>
    <w:uiPriority w:val="0"/>
    <w:rPr>
      <w:rFonts w:ascii="仿宋_GB2312" w:hAnsi="宋体" w:eastAsia="仿宋_GB2312"/>
      <w:kern w:val="2"/>
      <w:sz w:val="31"/>
      <w:szCs w:val="28"/>
      <w:lang w:val="en-US" w:eastAsia="zh-CN" w:bidi="ar-SA"/>
    </w:rPr>
  </w:style>
  <w:style w:type="paragraph" w:customStyle="1" w:styleId="58">
    <w:name w:val="正文缩进4格"/>
    <w:basedOn w:val="52"/>
    <w:qFormat/>
    <w:uiPriority w:val="0"/>
    <w:pPr>
      <w:spacing w:line="340" w:lineRule="exact"/>
      <w:ind w:firstLine="315" w:firstLineChars="0"/>
    </w:pPr>
    <w:rPr>
      <w:rFonts w:ascii="宋体" w:eastAsia="宋体"/>
      <w:sz w:val="24"/>
      <w:szCs w:val="24"/>
    </w:rPr>
  </w:style>
  <w:style w:type="character" w:customStyle="1" w:styleId="59">
    <w:name w:val="正文文本 Char"/>
    <w:basedOn w:val="37"/>
    <w:semiHidden/>
    <w:qFormat/>
    <w:uiPriority w:val="99"/>
  </w:style>
  <w:style w:type="character" w:customStyle="1" w:styleId="60">
    <w:name w:val="正文文本 字符"/>
    <w:link w:val="2"/>
    <w:qFormat/>
    <w:uiPriority w:val="99"/>
    <w:rPr>
      <w:rFonts w:ascii="Times New Roman" w:hAnsi="Times New Roman" w:eastAsia="宋体" w:cs="Times New Roman"/>
      <w:szCs w:val="24"/>
    </w:rPr>
  </w:style>
  <w:style w:type="character" w:customStyle="1" w:styleId="61">
    <w:name w:val="列表段落 字符"/>
    <w:link w:val="46"/>
    <w:qFormat/>
    <w:uiPriority w:val="34"/>
  </w:style>
  <w:style w:type="character" w:customStyle="1" w:styleId="62">
    <w:name w:val="标题 3 字符"/>
    <w:basedOn w:val="37"/>
    <w:link w:val="5"/>
    <w:qFormat/>
    <w:uiPriority w:val="9"/>
    <w:rPr>
      <w:b/>
      <w:bCs/>
      <w:sz w:val="32"/>
      <w:szCs w:val="32"/>
    </w:rPr>
  </w:style>
  <w:style w:type="character" w:customStyle="1" w:styleId="63">
    <w:name w:val="标题 4 字符"/>
    <w:basedOn w:val="37"/>
    <w:link w:val="6"/>
    <w:semiHidden/>
    <w:qFormat/>
    <w:uiPriority w:val="9"/>
    <w:rPr>
      <w:rFonts w:asciiTheme="majorHAnsi" w:hAnsiTheme="majorHAnsi" w:eastAsiaTheme="majorEastAsia" w:cstheme="majorBidi"/>
      <w:b/>
      <w:bCs/>
      <w:sz w:val="28"/>
      <w:szCs w:val="28"/>
    </w:rPr>
  </w:style>
  <w:style w:type="character" w:customStyle="1" w:styleId="64">
    <w:name w:val="批注文字 字符"/>
    <w:basedOn w:val="37"/>
    <w:link w:val="12"/>
    <w:qFormat/>
    <w:uiPriority w:val="99"/>
  </w:style>
  <w:style w:type="character" w:customStyle="1" w:styleId="65">
    <w:name w:val="批注主题 字符"/>
    <w:basedOn w:val="64"/>
    <w:link w:val="33"/>
    <w:qFormat/>
    <w:uiPriority w:val="0"/>
    <w:rPr>
      <w:b/>
      <w:bCs/>
    </w:rPr>
  </w:style>
  <w:style w:type="paragraph" w:customStyle="1" w:styleId="66">
    <w:name w:val="保留正文"/>
    <w:basedOn w:val="2"/>
    <w:qFormat/>
    <w:uiPriority w:val="0"/>
    <w:pPr>
      <w:keepNext/>
      <w:spacing w:after="160"/>
    </w:pPr>
  </w:style>
  <w:style w:type="paragraph" w:customStyle="1" w:styleId="67">
    <w:name w:val="列出段落1"/>
    <w:basedOn w:val="1"/>
    <w:qFormat/>
    <w:uiPriority w:val="0"/>
    <w:pPr>
      <w:ind w:firstLine="420" w:firstLineChars="200"/>
    </w:pPr>
    <w:rPr>
      <w:rFonts w:ascii="Calibri" w:hAnsi="Calibri" w:eastAsia="宋体" w:cs="黑体"/>
    </w:rPr>
  </w:style>
  <w:style w:type="paragraph" w:customStyle="1" w:styleId="6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_Style 202"/>
    <w:basedOn w:val="1"/>
    <w:qFormat/>
    <w:uiPriority w:val="0"/>
    <w:pPr>
      <w:tabs>
        <w:tab w:val="left" w:pos="360"/>
      </w:tabs>
    </w:pPr>
    <w:rPr>
      <w:rFonts w:ascii="Times New Roman" w:hAnsi="Times New Roman" w:eastAsia="宋体" w:cs="Times New Roman"/>
      <w:szCs w:val="24"/>
    </w:rPr>
  </w:style>
  <w:style w:type="paragraph" w:customStyle="1" w:styleId="70">
    <w:name w:val="Char1 Char Char Char"/>
    <w:basedOn w:val="1"/>
    <w:qFormat/>
    <w:uiPriority w:val="0"/>
    <w:rPr>
      <w:rFonts w:ascii="黑体" w:hAnsi="Verdana" w:eastAsia="黑体" w:cs="Times New Roman"/>
      <w:kern w:val="0"/>
      <w:sz w:val="32"/>
      <w:szCs w:val="32"/>
      <w:lang w:eastAsia="en-US"/>
    </w:rPr>
  </w:style>
  <w:style w:type="paragraph" w:customStyle="1" w:styleId="71">
    <w:name w:val="1 Char Char Char Char"/>
    <w:basedOn w:val="1"/>
    <w:qFormat/>
    <w:uiPriority w:val="0"/>
    <w:pPr>
      <w:spacing w:after="160" w:line="240" w:lineRule="exact"/>
    </w:pPr>
    <w:rPr>
      <w:rFonts w:ascii="Times New Roman" w:hAnsi="Times New Roman" w:eastAsia="宋体" w:cs="Times New Roman"/>
      <w:szCs w:val="24"/>
    </w:rPr>
  </w:style>
  <w:style w:type="character" w:customStyle="1" w:styleId="72">
    <w:name w:val="文档结构图 字符"/>
    <w:basedOn w:val="37"/>
    <w:link w:val="11"/>
    <w:semiHidden/>
    <w:qFormat/>
    <w:uiPriority w:val="99"/>
    <w:rPr>
      <w:rFonts w:ascii="宋体" w:eastAsia="宋体"/>
      <w:sz w:val="18"/>
      <w:szCs w:val="18"/>
    </w:rPr>
  </w:style>
  <w:style w:type="paragraph" w:customStyle="1" w:styleId="73">
    <w:name w:val="样式4"/>
    <w:basedOn w:val="1"/>
    <w:qFormat/>
    <w:uiPriority w:val="0"/>
    <w:pPr>
      <w:tabs>
        <w:tab w:val="left" w:pos="2328"/>
      </w:tabs>
      <w:ind w:left="2328" w:hanging="708"/>
    </w:pPr>
    <w:rPr>
      <w:rFonts w:ascii="Times New Roman" w:hAnsi="Times New Roman" w:eastAsia="宋体" w:cs="Times New Roman"/>
      <w:szCs w:val="24"/>
    </w:rPr>
  </w:style>
  <w:style w:type="paragraph" w:customStyle="1" w:styleId="74">
    <w:name w:val="Char Char Char Char Char Char Char Char Char Char Char Char1 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75">
    <w:name w:val="未处理的提及1"/>
    <w:basedOn w:val="37"/>
    <w:semiHidden/>
    <w:unhideWhenUsed/>
    <w:qFormat/>
    <w:uiPriority w:val="99"/>
    <w:rPr>
      <w:color w:val="605E5C"/>
      <w:shd w:val="clear" w:color="auto" w:fill="E1DFDD"/>
    </w:rPr>
  </w:style>
  <w:style w:type="character" w:customStyle="1" w:styleId="76">
    <w:name w:val="未处理的提及2"/>
    <w:basedOn w:val="37"/>
    <w:semiHidden/>
    <w:unhideWhenUsed/>
    <w:qFormat/>
    <w:uiPriority w:val="99"/>
    <w:rPr>
      <w:color w:val="605E5C"/>
      <w:shd w:val="clear" w:color="auto" w:fill="E1DFDD"/>
    </w:rPr>
  </w:style>
  <w:style w:type="character" w:customStyle="1" w:styleId="77">
    <w:name w:val="正文文本缩进 字符"/>
    <w:basedOn w:val="37"/>
    <w:link w:val="14"/>
    <w:semiHidden/>
    <w:qFormat/>
    <w:uiPriority w:val="99"/>
  </w:style>
  <w:style w:type="character" w:customStyle="1" w:styleId="78">
    <w:name w:val="正文文本缩进 3 字符"/>
    <w:basedOn w:val="37"/>
    <w:link w:val="29"/>
    <w:qFormat/>
    <w:uiPriority w:val="99"/>
    <w:rPr>
      <w:sz w:val="16"/>
      <w:szCs w:val="16"/>
    </w:rPr>
  </w:style>
  <w:style w:type="character" w:customStyle="1" w:styleId="79">
    <w:name w:val="标题 5 字符"/>
    <w:basedOn w:val="37"/>
    <w:link w:val="7"/>
    <w:qFormat/>
    <w:uiPriority w:val="0"/>
    <w:rPr>
      <w:rFonts w:ascii="Times New Roman" w:hAnsi="Times New Roman" w:eastAsia="宋体" w:cs="Times New Roman"/>
      <w:b/>
      <w:sz w:val="28"/>
      <w:szCs w:val="24"/>
    </w:rPr>
  </w:style>
  <w:style w:type="character" w:customStyle="1" w:styleId="80">
    <w:name w:val="正文文本 3 字符"/>
    <w:basedOn w:val="37"/>
    <w:link w:val="13"/>
    <w:qFormat/>
    <w:uiPriority w:val="0"/>
    <w:rPr>
      <w:rFonts w:ascii="Times New Roman" w:hAnsi="Times New Roman" w:eastAsia="宋体" w:cs="Times New Roman"/>
      <w:kern w:val="0"/>
      <w:sz w:val="16"/>
      <w:szCs w:val="16"/>
    </w:rPr>
  </w:style>
  <w:style w:type="character" w:customStyle="1" w:styleId="81">
    <w:name w:val="正文文本首行缩进 2 字符"/>
    <w:basedOn w:val="77"/>
    <w:link w:val="34"/>
    <w:qFormat/>
    <w:uiPriority w:val="0"/>
    <w:rPr>
      <w:rFonts w:ascii="Times New Roman" w:hAnsi="Times New Roman" w:eastAsia="仿宋体" w:cs="Times New Roman"/>
      <w:kern w:val="0"/>
      <w:sz w:val="32"/>
      <w:szCs w:val="32"/>
    </w:rPr>
  </w:style>
  <w:style w:type="paragraph" w:customStyle="1" w:styleId="82">
    <w:name w:val="_Style 3"/>
    <w:next w:val="2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15"/>
    <w:basedOn w:val="37"/>
    <w:qFormat/>
    <w:uiPriority w:val="0"/>
    <w:rPr>
      <w:rFonts w:hint="eastAsia" w:ascii="微软雅黑" w:hAnsi="微软雅黑" w:eastAsia="微软雅黑"/>
      <w:color w:val="000000"/>
      <w:sz w:val="20"/>
      <w:szCs w:val="20"/>
    </w:rPr>
  </w:style>
  <w:style w:type="character" w:customStyle="1" w:styleId="84">
    <w:name w:val="16"/>
    <w:basedOn w:val="37"/>
    <w:qFormat/>
    <w:uiPriority w:val="0"/>
    <w:rPr>
      <w:rFonts w:hint="eastAsia" w:ascii="微软雅黑" w:hAnsi="微软雅黑" w:eastAsia="微软雅黑"/>
      <w:color w:val="000000"/>
      <w:sz w:val="20"/>
      <w:szCs w:val="20"/>
    </w:rPr>
  </w:style>
  <w:style w:type="character" w:customStyle="1" w:styleId="85">
    <w:name w:val="font21"/>
    <w:basedOn w:val="37"/>
    <w:qFormat/>
    <w:uiPriority w:val="0"/>
    <w:rPr>
      <w:rFonts w:ascii="宋体" w:hAnsi="宋体" w:eastAsia="宋体" w:cs="宋体"/>
      <w:color w:val="000000"/>
      <w:sz w:val="20"/>
      <w:szCs w:val="20"/>
      <w:u w:val="none"/>
    </w:rPr>
  </w:style>
  <w:style w:type="character" w:customStyle="1" w:styleId="86">
    <w:name w:val="font31"/>
    <w:basedOn w:val="37"/>
    <w:qFormat/>
    <w:uiPriority w:val="0"/>
    <w:rPr>
      <w:rFonts w:ascii="宋体" w:hAnsi="宋体" w:eastAsia="宋体" w:cs="宋体"/>
      <w:color w:val="000000"/>
      <w:sz w:val="24"/>
      <w:szCs w:val="24"/>
      <w:u w:val="none"/>
    </w:rPr>
  </w:style>
  <w:style w:type="paragraph" w:customStyle="1" w:styleId="87">
    <w:name w:val="Char"/>
    <w:basedOn w:val="1"/>
    <w:qFormat/>
    <w:uiPriority w:val="99"/>
    <w:pPr>
      <w:widowControl/>
      <w:spacing w:after="160" w:line="240" w:lineRule="exact"/>
      <w:jc w:val="left"/>
    </w:pPr>
    <w:rPr>
      <w:rFonts w:ascii="Verdana" w:hAnsi="Verdana" w:eastAsia="宋体" w:cs="Times New Roman"/>
      <w:kern w:val="0"/>
      <w:szCs w:val="20"/>
      <w:lang w:eastAsia="en-US"/>
    </w:rPr>
  </w:style>
  <w:style w:type="paragraph" w:customStyle="1" w:styleId="88">
    <w:name w:val="题注5"/>
    <w:basedOn w:val="1"/>
    <w:next w:val="10"/>
    <w:qFormat/>
    <w:uiPriority w:val="99"/>
    <w:pPr>
      <w:jc w:val="center"/>
    </w:pPr>
    <w:rPr>
      <w:rFonts w:ascii="Times New Roman" w:hAnsi="Times New Roman" w:eastAsia="宋体" w:cs="Times New Roman"/>
      <w:b/>
      <w:color w:val="000000"/>
      <w:sz w:val="24"/>
      <w:szCs w:val="21"/>
    </w:rPr>
  </w:style>
  <w:style w:type="paragraph" w:customStyle="1" w:styleId="89">
    <w:name w:val="题注4"/>
    <w:basedOn w:val="1"/>
    <w:next w:val="10"/>
    <w:qFormat/>
    <w:uiPriority w:val="99"/>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90">
    <w:name w:val="表格文字"/>
    <w:basedOn w:val="1"/>
    <w:qFormat/>
    <w:uiPriority w:val="99"/>
    <w:pPr>
      <w:spacing w:before="25" w:after="25"/>
      <w:jc w:val="left"/>
    </w:pPr>
    <w:rPr>
      <w:rFonts w:ascii="Times New Roman" w:hAnsi="Times New Roman" w:eastAsia="宋体" w:cs="Times New Roman"/>
      <w:bCs/>
      <w:spacing w:val="10"/>
      <w:kern w:val="0"/>
      <w:sz w:val="24"/>
      <w:szCs w:val="20"/>
    </w:rPr>
  </w:style>
  <w:style w:type="paragraph" w:customStyle="1" w:styleId="91">
    <w:name w:val="Default"/>
    <w:unhideWhenUsed/>
    <w:qFormat/>
    <w:uiPriority w:val="0"/>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92">
    <w:name w:val="p0"/>
    <w:basedOn w:val="1"/>
    <w:qFormat/>
    <w:uiPriority w:val="0"/>
    <w:pPr>
      <w:widowControl/>
    </w:pPr>
    <w:rPr>
      <w:rFonts w:ascii="宋体" w:hAnsi="宋体" w:eastAsia="宋体" w:cs="宋体"/>
      <w:kern w:val="0"/>
      <w:sz w:val="27"/>
      <w:szCs w:val="27"/>
    </w:rPr>
  </w:style>
  <w:style w:type="paragraph" w:customStyle="1" w:styleId="9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94">
    <w:name w:val="BodyText"/>
    <w:basedOn w:val="1"/>
    <w:qFormat/>
    <w:uiPriority w:val="0"/>
    <w:pPr>
      <w:snapToGrid w:val="0"/>
      <w:spacing w:line="360" w:lineRule="auto"/>
      <w:ind w:right="600"/>
      <w:textAlignment w:val="baseline"/>
    </w:pPr>
    <w:rPr>
      <w:rFonts w:ascii="Times New Roman" w:hAnsi="Times New Roman" w:eastAsia="宋体" w:cs="Times New Roman"/>
      <w:kern w:val="0"/>
      <w:szCs w:val="24"/>
    </w:rPr>
  </w:style>
  <w:style w:type="paragraph" w:customStyle="1" w:styleId="95">
    <w:name w:val="内容样式"/>
    <w:basedOn w:val="1"/>
    <w:qFormat/>
    <w:uiPriority w:val="99"/>
    <w:pPr>
      <w:snapToGrid w:val="0"/>
      <w:spacing w:line="460" w:lineRule="exact"/>
      <w:ind w:firstLine="560" w:firstLineChars="200"/>
      <w:jc w:val="left"/>
    </w:pPr>
    <w:rPr>
      <w:rFonts w:ascii="仿宋_GB2312" w:hAnsi="仿宋_GB2312" w:eastAsia="仿宋_GB2312" w:cs="宋体"/>
      <w:kern w:val="0"/>
      <w:sz w:val="28"/>
      <w:szCs w:val="24"/>
    </w:rPr>
  </w:style>
  <w:style w:type="character" w:customStyle="1" w:styleId="96">
    <w:name w:val="font41"/>
    <w:basedOn w:val="37"/>
    <w:qFormat/>
    <w:uiPriority w:val="0"/>
    <w:rPr>
      <w:rFonts w:hint="eastAsia" w:ascii="宋体" w:hAnsi="宋体" w:eastAsia="宋体" w:cs="宋体"/>
      <w:color w:val="000000"/>
      <w:sz w:val="20"/>
      <w:szCs w:val="20"/>
      <w:u w:val="none"/>
    </w:rPr>
  </w:style>
  <w:style w:type="character" w:customStyle="1" w:styleId="97">
    <w:name w:val="font111"/>
    <w:basedOn w:val="37"/>
    <w:qFormat/>
    <w:uiPriority w:val="0"/>
    <w:rPr>
      <w:rFonts w:hint="eastAsia" w:ascii="宋体" w:hAnsi="宋体" w:eastAsia="宋体" w:cs="宋体"/>
      <w:color w:val="FF0000"/>
      <w:sz w:val="24"/>
      <w:szCs w:val="24"/>
      <w:u w:val="none"/>
    </w:rPr>
  </w:style>
  <w:style w:type="paragraph" w:customStyle="1" w:styleId="98">
    <w:name w:val="[基本段落]"/>
    <w:basedOn w:val="1"/>
    <w:qFormat/>
    <w:uiPriority w:val="0"/>
    <w:pPr>
      <w:widowControl/>
      <w:autoSpaceDE w:val="0"/>
      <w:autoSpaceDN w:val="0"/>
      <w:spacing w:line="288" w:lineRule="auto"/>
    </w:pPr>
    <w:rPr>
      <w:rFonts w:ascii="??????_GBK" w:hAnsi="??????_GBK" w:eastAsia="宋体" w:cs="宋体"/>
      <w:color w:val="000000"/>
      <w:kern w:val="0"/>
      <w:sz w:val="24"/>
      <w:szCs w:val="24"/>
    </w:rPr>
  </w:style>
  <w:style w:type="paragraph" w:customStyle="1" w:styleId="99">
    <w:name w:val="msonormal"/>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100">
    <w:name w:val="Unresolved Mention"/>
    <w:basedOn w:val="37"/>
    <w:semiHidden/>
    <w:unhideWhenUsed/>
    <w:qFormat/>
    <w:uiPriority w:val="99"/>
    <w:rPr>
      <w:color w:val="605E5C"/>
      <w:shd w:val="clear" w:color="auto" w:fill="E1DFDD"/>
    </w:rPr>
  </w:style>
  <w:style w:type="character" w:customStyle="1" w:styleId="101">
    <w:name w:val="font112"/>
    <w:basedOn w:val="37"/>
    <w:qFormat/>
    <w:uiPriority w:val="0"/>
    <w:rPr>
      <w:rFonts w:hint="eastAsia" w:ascii="宋体" w:hAnsi="宋体" w:eastAsia="宋体" w:cs="宋体"/>
      <w:color w:val="000000"/>
      <w:sz w:val="20"/>
      <w:szCs w:val="20"/>
      <w:u w:val="none"/>
      <w:vertAlign w:val="superscript"/>
    </w:rPr>
  </w:style>
  <w:style w:type="paragraph" w:customStyle="1" w:styleId="102">
    <w:name w:val="标书正文1"/>
    <w:basedOn w:val="1"/>
    <w:qFormat/>
    <w:uiPriority w:val="0"/>
    <w:pPr>
      <w:spacing w:line="520" w:lineRule="exact"/>
      <w:ind w:firstLine="640" w:firstLineChars="200"/>
    </w:pPr>
  </w:style>
  <w:style w:type="character" w:customStyle="1" w:styleId="103">
    <w:name w:val="s21"/>
    <w:qFormat/>
    <w:uiPriority w:val="0"/>
    <w:rPr>
      <w:b/>
      <w:color w:val="000000"/>
    </w:rPr>
  </w:style>
  <w:style w:type="character" w:customStyle="1" w:styleId="104">
    <w:name w:val="font101"/>
    <w:basedOn w:val="37"/>
    <w:qFormat/>
    <w:uiPriority w:val="0"/>
    <w:rPr>
      <w:rFonts w:hint="eastAsia" w:ascii="宋体" w:hAnsi="宋体" w:eastAsia="宋体" w:cs="宋体"/>
      <w:color w:val="000000"/>
      <w:sz w:val="20"/>
      <w:szCs w:val="20"/>
      <w:u w:val="none"/>
    </w:rPr>
  </w:style>
  <w:style w:type="character" w:customStyle="1" w:styleId="105">
    <w:name w:val="font71"/>
    <w:basedOn w:val="37"/>
    <w:qFormat/>
    <w:uiPriority w:val="0"/>
    <w:rPr>
      <w:rFonts w:hint="eastAsia" w:ascii="宋体" w:hAnsi="宋体" w:eastAsia="宋体" w:cs="宋体"/>
      <w:color w:val="000000"/>
      <w:sz w:val="20"/>
      <w:szCs w:val="20"/>
      <w:u w:val="none"/>
    </w:rPr>
  </w:style>
  <w:style w:type="character" w:customStyle="1" w:styleId="106">
    <w:name w:val="font61"/>
    <w:basedOn w:val="37"/>
    <w:qFormat/>
    <w:uiPriority w:val="0"/>
    <w:rPr>
      <w:rFonts w:hint="eastAsia" w:ascii="宋体" w:hAnsi="宋体" w:eastAsia="宋体" w:cs="宋体"/>
      <w:color w:val="000000"/>
      <w:sz w:val="22"/>
      <w:szCs w:val="22"/>
      <w:u w:val="none"/>
    </w:rPr>
  </w:style>
  <w:style w:type="character" w:customStyle="1" w:styleId="107">
    <w:name w:val="font11"/>
    <w:basedOn w:val="37"/>
    <w:qFormat/>
    <w:uiPriority w:val="0"/>
    <w:rPr>
      <w:rFonts w:hint="eastAsia" w:ascii="宋体" w:hAnsi="宋体" w:eastAsia="宋体" w:cs="宋体"/>
      <w:b/>
      <w:bCs/>
      <w:color w:val="000000"/>
      <w:sz w:val="22"/>
      <w:szCs w:val="22"/>
      <w:u w:val="none"/>
    </w:rPr>
  </w:style>
  <w:style w:type="character" w:customStyle="1" w:styleId="108">
    <w:name w:val="font51"/>
    <w:basedOn w:val="3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FDDF8-4CB6-45B4-9A35-5D804D7DA38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66</Pages>
  <Words>27310</Words>
  <Characters>28271</Characters>
  <Lines>942</Lines>
  <Paragraphs>265</Paragraphs>
  <TotalTime>4</TotalTime>
  <ScaleCrop>false</ScaleCrop>
  <LinksUpToDate>false</LinksUpToDate>
  <CharactersWithSpaces>32202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2022-10-25T07:14:00Z</dcterms:created>
  <dc:creator>YD-LING</dc:creator>
  <cp:lastModifiedBy>caiwxi</cp:lastModifiedBy>
  <cp:lastPrinted>2024-08-28T03:19:00Z</cp:lastPrinted>
  <dcterms:modified xsi:type="dcterms:W3CDTF">2024-09-06T07:59:39Z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93572525B2334BF9BC9F9C86558467C3_13</vt:lpwstr>
  </property>
</Properties>
</file>