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9D5C0">
      <w:pPr>
        <w:widowControl/>
        <w:spacing w:line="520" w:lineRule="atLeast"/>
        <w:jc w:val="left"/>
        <w:rPr>
          <w:rFonts w:hint="default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：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合同模板</w:t>
      </w:r>
    </w:p>
    <w:p w14:paraId="38C3A75E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废旧</w:t>
      </w:r>
      <w:r>
        <w:rPr>
          <w:rFonts w:hint="eastAsia"/>
          <w:b/>
          <w:bCs/>
          <w:sz w:val="44"/>
          <w:szCs w:val="44"/>
          <w:lang w:val="en-US" w:eastAsia="zh-CN"/>
        </w:rPr>
        <w:t>和闲置固定资产出售</w:t>
      </w:r>
      <w:r>
        <w:rPr>
          <w:rFonts w:hint="eastAsia"/>
          <w:b/>
          <w:bCs/>
          <w:sz w:val="44"/>
          <w:szCs w:val="44"/>
        </w:rPr>
        <w:t>合同</w:t>
      </w:r>
    </w:p>
    <w:p w14:paraId="1675A5D0">
      <w:pPr>
        <w:rPr>
          <w:rFonts w:hint="eastAsia"/>
          <w:lang w:val="en-US" w:eastAsia="zh-CN"/>
        </w:rPr>
      </w:pPr>
    </w:p>
    <w:p w14:paraId="5791E09F"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甲方（处置方）：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南方新闻网    </w:t>
      </w:r>
    </w:p>
    <w:p w14:paraId="483B9BB6"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乙方（收购方）：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</w:p>
    <w:p w14:paraId="6A90E5E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联系人（收购方）：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</w:p>
    <w:p w14:paraId="3BD45E30">
      <w:p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联系方式（收购方）</w:t>
      </w:r>
      <w:r>
        <w:rPr>
          <w:rFonts w:hint="eastAsia"/>
          <w:sz w:val="28"/>
          <w:szCs w:val="28"/>
          <w:u w:val="none"/>
          <w:lang w:val="en-US"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</w:p>
    <w:p w14:paraId="36AD244B">
      <w:pPr>
        <w:rPr>
          <w:rFonts w:hint="eastAsia"/>
          <w:sz w:val="28"/>
          <w:szCs w:val="28"/>
          <w:u w:val="single"/>
          <w:lang w:val="en-US" w:eastAsia="zh-CN"/>
        </w:rPr>
      </w:pPr>
    </w:p>
    <w:p w14:paraId="1B26760B">
      <w:pPr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甲乙双方因生产经营的实际需求，</w:t>
      </w:r>
      <w:r>
        <w:rPr>
          <w:rFonts w:hint="eastAsia"/>
          <w:sz w:val="24"/>
          <w:szCs w:val="24"/>
        </w:rPr>
        <w:t>根据《中华人民共和国</w:t>
      </w:r>
      <w:r>
        <w:rPr>
          <w:rFonts w:hint="eastAsia"/>
          <w:sz w:val="24"/>
          <w:szCs w:val="24"/>
          <w:lang w:eastAsia="zh-CN"/>
        </w:rPr>
        <w:t>民法典</w:t>
      </w:r>
      <w:r>
        <w:rPr>
          <w:rFonts w:hint="eastAsia"/>
          <w:sz w:val="24"/>
          <w:szCs w:val="24"/>
        </w:rPr>
        <w:t>》及有关法律法规，</w:t>
      </w:r>
      <w:r>
        <w:rPr>
          <w:rFonts w:hint="eastAsia"/>
          <w:sz w:val="24"/>
          <w:szCs w:val="24"/>
          <w:lang w:val="en-US" w:eastAsia="zh-CN"/>
        </w:rPr>
        <w:t>就乙方收购甲方的废旧固定资产及相关事宜，</w:t>
      </w:r>
      <w:r>
        <w:rPr>
          <w:rFonts w:hint="eastAsia"/>
          <w:sz w:val="24"/>
          <w:szCs w:val="24"/>
        </w:rPr>
        <w:t>经双方充分协商，特订立本合同，以便共同遵守</w:t>
      </w:r>
      <w:r>
        <w:rPr>
          <w:rFonts w:hint="eastAsia"/>
          <w:sz w:val="24"/>
          <w:szCs w:val="24"/>
          <w:lang w:eastAsia="zh-CN"/>
        </w:rPr>
        <w:t>。</w:t>
      </w:r>
    </w:p>
    <w:p w14:paraId="5D40C0FC">
      <w:pPr>
        <w:ind w:firstLine="420"/>
        <w:rPr>
          <w:rFonts w:hint="eastAsia"/>
          <w:sz w:val="24"/>
          <w:szCs w:val="24"/>
          <w:lang w:eastAsia="zh-CN"/>
        </w:rPr>
      </w:pPr>
    </w:p>
    <w:p w14:paraId="5E5DFD7E">
      <w:pPr>
        <w:numPr>
          <w:ilvl w:val="0"/>
          <w:numId w:val="1"/>
        </w:numPr>
        <w:ind w:firstLine="0" w:firstLineChars="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经双方共同协商：本合同</w:t>
      </w:r>
      <w:r>
        <w:rPr>
          <w:sz w:val="24"/>
          <w:szCs w:val="24"/>
        </w:rPr>
        <w:t>含税总价为人民币</w:t>
      </w:r>
      <w:r>
        <w:rPr>
          <w:rFonts w:hint="eastAsia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元（大写：），含国家规定增值税，在合同履行期间，合同总价不因国家税率的调整而调整。乙方缴纳的履约保证金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￥     </w:t>
      </w:r>
      <w:r>
        <w:rPr>
          <w:rFonts w:hint="eastAsia"/>
          <w:sz w:val="24"/>
          <w:szCs w:val="24"/>
          <w:u w:val="none"/>
          <w:lang w:val="en-US" w:eastAsia="zh-CN"/>
        </w:rPr>
        <w:t>元（人民币大写：）自动转为货款，余款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￥     </w:t>
      </w:r>
      <w:r>
        <w:rPr>
          <w:rFonts w:hint="eastAsia"/>
          <w:sz w:val="24"/>
          <w:szCs w:val="24"/>
          <w:u w:val="none"/>
          <w:lang w:val="en-US" w:eastAsia="zh-CN"/>
        </w:rPr>
        <w:t>元（人民币大写：）需在合同签订之日起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的3个工作日内</w:t>
      </w:r>
      <w:r>
        <w:rPr>
          <w:rFonts w:hint="eastAsia"/>
          <w:sz w:val="24"/>
          <w:szCs w:val="24"/>
          <w:u w:val="none"/>
          <w:lang w:val="en-US" w:eastAsia="zh-CN"/>
        </w:rPr>
        <w:t>付清，逾期未付清款项者，视同乙方违约，乙方无权要求返还履约保证金，甲方有权解除合同，并追究乙方违约责任。</w:t>
      </w:r>
    </w:p>
    <w:p w14:paraId="68BA2B9F">
      <w:pPr>
        <w:numPr>
          <w:ilvl w:val="-1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 w14:paraId="44826DA8">
      <w:pPr>
        <w:numPr>
          <w:ilvl w:val="0"/>
          <w:numId w:val="1"/>
        </w:numPr>
        <w:spacing w:line="240" w:lineRule="auto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甲乙双方按如下信息进行财务往来及结算：</w:t>
      </w:r>
    </w:p>
    <w:tbl>
      <w:tblPr>
        <w:tblStyle w:val="4"/>
        <w:tblpPr w:leftFromText="180" w:rightFromText="180" w:vertAnchor="text" w:horzAnchor="page" w:tblpX="1789" w:tblpY="99"/>
        <w:tblOverlap w:val="never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3120"/>
        <w:gridCol w:w="3345"/>
      </w:tblGrid>
      <w:tr w14:paraId="276E6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5CF3A1AF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3120" w:type="dxa"/>
            <w:noWrap w:val="0"/>
            <w:vAlign w:val="center"/>
          </w:tcPr>
          <w:p w14:paraId="328363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甲方</w:t>
            </w:r>
          </w:p>
        </w:tc>
        <w:tc>
          <w:tcPr>
            <w:tcW w:w="3345" w:type="dxa"/>
            <w:noWrap w:val="0"/>
            <w:vAlign w:val="center"/>
          </w:tcPr>
          <w:p w14:paraId="7FBC22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乙方</w:t>
            </w:r>
          </w:p>
        </w:tc>
      </w:tr>
      <w:tr w14:paraId="3279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3A7FEF58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公司名称</w:t>
            </w:r>
          </w:p>
        </w:tc>
        <w:tc>
          <w:tcPr>
            <w:tcW w:w="3120" w:type="dxa"/>
            <w:noWrap w:val="0"/>
            <w:vAlign w:val="center"/>
          </w:tcPr>
          <w:p w14:paraId="07281801">
            <w:pPr>
              <w:snapToGrid w:val="0"/>
              <w:spacing w:line="360" w:lineRule="auto"/>
              <w:jc w:val="left"/>
              <w:rPr>
                <w:rFonts w:hint="eastAsia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南方新闻网</w:t>
            </w:r>
          </w:p>
        </w:tc>
        <w:tc>
          <w:tcPr>
            <w:tcW w:w="3345" w:type="dxa"/>
            <w:noWrap w:val="0"/>
            <w:vAlign w:val="center"/>
          </w:tcPr>
          <w:p w14:paraId="5AB9CE39">
            <w:pPr>
              <w:snapToGrid w:val="0"/>
              <w:spacing w:line="360" w:lineRule="auto"/>
              <w:jc w:val="left"/>
              <w:rPr>
                <w:rFonts w:hint="eastAsia" w:ascii="宋体" w:hAnsi="宋体" w:eastAsiaTheme="minorEastAsia"/>
                <w:sz w:val="22"/>
                <w:szCs w:val="22"/>
                <w:lang w:eastAsia="zh-CN"/>
              </w:rPr>
            </w:pPr>
          </w:p>
        </w:tc>
      </w:tr>
      <w:tr w14:paraId="30CF2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30D7757E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是否一般纳税人</w:t>
            </w:r>
          </w:p>
        </w:tc>
        <w:tc>
          <w:tcPr>
            <w:tcW w:w="3120" w:type="dxa"/>
            <w:noWrap w:val="0"/>
            <w:vAlign w:val="center"/>
          </w:tcPr>
          <w:p w14:paraId="39F1F931">
            <w:pPr>
              <w:snapToGrid w:val="0"/>
              <w:spacing w:line="36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是           </w:t>
            </w:r>
            <w:r>
              <w:rPr>
                <w:rFonts w:ascii="宋体" w:hAnsi="宋体"/>
                <w:sz w:val="22"/>
                <w:szCs w:val="22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否</w:t>
            </w:r>
          </w:p>
        </w:tc>
        <w:tc>
          <w:tcPr>
            <w:tcW w:w="3345" w:type="dxa"/>
            <w:noWrap w:val="0"/>
            <w:vAlign w:val="center"/>
          </w:tcPr>
          <w:p w14:paraId="221EB031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是           </w:t>
            </w:r>
            <w:r>
              <w:rPr>
                <w:rFonts w:ascii="宋体" w:hAnsi="宋体"/>
                <w:sz w:val="22"/>
                <w:szCs w:val="22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否</w:t>
            </w:r>
          </w:p>
        </w:tc>
      </w:tr>
      <w:tr w14:paraId="2416C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4407F6DE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发票类型</w:t>
            </w:r>
          </w:p>
        </w:tc>
        <w:tc>
          <w:tcPr>
            <w:tcW w:w="3120" w:type="dxa"/>
            <w:noWrap w:val="0"/>
            <w:vAlign w:val="center"/>
          </w:tcPr>
          <w:p w14:paraId="7B91A234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增值税专用发票</w:t>
            </w:r>
          </w:p>
          <w:p w14:paraId="3243E02C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增值税普通发票</w:t>
            </w:r>
          </w:p>
        </w:tc>
        <w:tc>
          <w:tcPr>
            <w:tcW w:w="3345" w:type="dxa"/>
            <w:noWrap w:val="0"/>
            <w:vAlign w:val="center"/>
          </w:tcPr>
          <w:p w14:paraId="48AD7F65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增值税专用发票</w:t>
            </w:r>
          </w:p>
          <w:p w14:paraId="050141E6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/>
                <w:sz w:val="22"/>
                <w:szCs w:val="22"/>
              </w:rPr>
              <w:t>增值税普通发票</w:t>
            </w:r>
          </w:p>
        </w:tc>
      </w:tr>
      <w:tr w14:paraId="3EA29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5959458B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开户行</w:t>
            </w:r>
          </w:p>
        </w:tc>
        <w:tc>
          <w:tcPr>
            <w:tcW w:w="3120" w:type="dxa"/>
            <w:noWrap w:val="0"/>
            <w:vAlign w:val="center"/>
          </w:tcPr>
          <w:p w14:paraId="1AFE3FD0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招商银行股份有限公司广州南方报业支行</w:t>
            </w:r>
          </w:p>
        </w:tc>
        <w:tc>
          <w:tcPr>
            <w:tcW w:w="3345" w:type="dxa"/>
            <w:noWrap w:val="0"/>
            <w:vAlign w:val="center"/>
          </w:tcPr>
          <w:p w14:paraId="0FD0F1F1">
            <w:pPr>
              <w:adjustRightInd w:val="0"/>
              <w:snapToGrid w:val="0"/>
              <w:spacing w:line="360" w:lineRule="auto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</w:tr>
      <w:tr w14:paraId="0C1AE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4A1EC017">
            <w:pPr>
              <w:snapToGrid w:val="0"/>
              <w:spacing w:line="360" w:lineRule="auto"/>
              <w:rPr>
                <w:rFonts w:hint="eastAsia" w:ascii="宋体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账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号</w:t>
            </w:r>
          </w:p>
        </w:tc>
        <w:tc>
          <w:tcPr>
            <w:tcW w:w="3120" w:type="dxa"/>
            <w:noWrap w:val="0"/>
            <w:vAlign w:val="center"/>
          </w:tcPr>
          <w:p w14:paraId="01520A7E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120913434510802</w:t>
            </w:r>
          </w:p>
        </w:tc>
        <w:tc>
          <w:tcPr>
            <w:tcW w:w="3345" w:type="dxa"/>
            <w:noWrap w:val="0"/>
            <w:vAlign w:val="center"/>
          </w:tcPr>
          <w:p w14:paraId="6A7D2D19">
            <w:pPr>
              <w:snapToGrid w:val="0"/>
              <w:spacing w:line="360" w:lineRule="auto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</w:tr>
      <w:tr w14:paraId="144E4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0D8C701D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税号</w:t>
            </w:r>
          </w:p>
        </w:tc>
        <w:tc>
          <w:tcPr>
            <w:tcW w:w="3120" w:type="dxa"/>
            <w:noWrap w:val="0"/>
            <w:vAlign w:val="center"/>
          </w:tcPr>
          <w:p w14:paraId="0D561E55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12440000764931622Q</w:t>
            </w:r>
          </w:p>
        </w:tc>
        <w:tc>
          <w:tcPr>
            <w:tcW w:w="3345" w:type="dxa"/>
            <w:noWrap w:val="0"/>
            <w:vAlign w:val="center"/>
          </w:tcPr>
          <w:p w14:paraId="0109740D">
            <w:pPr>
              <w:adjustRightInd w:val="0"/>
              <w:snapToGrid w:val="0"/>
              <w:spacing w:line="360" w:lineRule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</w:p>
        </w:tc>
      </w:tr>
      <w:tr w14:paraId="4F54E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noWrap w:val="0"/>
            <w:vAlign w:val="center"/>
          </w:tcPr>
          <w:p w14:paraId="07215A90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注册地址</w:t>
            </w:r>
          </w:p>
        </w:tc>
        <w:tc>
          <w:tcPr>
            <w:tcW w:w="3120" w:type="dxa"/>
            <w:noWrap w:val="0"/>
            <w:vAlign w:val="center"/>
          </w:tcPr>
          <w:p w14:paraId="25D870CB">
            <w:pPr>
              <w:snapToGrid w:val="0"/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广州市广州大道中289号南方新闻网</w:t>
            </w:r>
          </w:p>
        </w:tc>
        <w:tc>
          <w:tcPr>
            <w:tcW w:w="3345" w:type="dxa"/>
            <w:noWrap w:val="0"/>
            <w:vAlign w:val="center"/>
          </w:tcPr>
          <w:p w14:paraId="318FC3F5">
            <w:pPr>
              <w:adjustRightInd w:val="0"/>
              <w:snapToGrid w:val="0"/>
              <w:spacing w:line="360" w:lineRule="auto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</w:tr>
    </w:tbl>
    <w:p w14:paraId="444A932E">
      <w:pPr>
        <w:numPr>
          <w:ilvl w:val="-1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 w14:paraId="0F167D81">
      <w:pPr>
        <w:numPr>
          <w:ilvl w:val="0"/>
          <w:numId w:val="1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本合同交付的废旧和闲置固定资产名称及数量如下：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2189"/>
        <w:gridCol w:w="1651"/>
      </w:tblGrid>
      <w:tr w14:paraId="1346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13" w:type="dxa"/>
            <w:vAlign w:val="top"/>
          </w:tcPr>
          <w:p w14:paraId="52FB16EA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2189" w:type="dxa"/>
            <w:vAlign w:val="top"/>
          </w:tcPr>
          <w:p w14:paraId="13D7DA0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废旧和闲置固定资产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</w:p>
        </w:tc>
        <w:tc>
          <w:tcPr>
            <w:tcW w:w="1651" w:type="dxa"/>
            <w:vAlign w:val="top"/>
          </w:tcPr>
          <w:p w14:paraId="6370E9D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台/件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）</w:t>
            </w:r>
          </w:p>
        </w:tc>
      </w:tr>
      <w:tr w14:paraId="00AD9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527049A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89" w:type="dxa"/>
            <w:vAlign w:val="top"/>
          </w:tcPr>
          <w:p w14:paraId="3D854BE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台式电脑、笔记本电脑</w:t>
            </w:r>
          </w:p>
        </w:tc>
        <w:tc>
          <w:tcPr>
            <w:tcW w:w="1651" w:type="dxa"/>
            <w:vAlign w:val="top"/>
          </w:tcPr>
          <w:p w14:paraId="282F029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60</w:t>
            </w:r>
          </w:p>
        </w:tc>
      </w:tr>
      <w:tr w14:paraId="5F2D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2DDBDFB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89" w:type="dxa"/>
            <w:vAlign w:val="top"/>
          </w:tcPr>
          <w:p w14:paraId="6C373CD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显示器</w:t>
            </w:r>
          </w:p>
        </w:tc>
        <w:tc>
          <w:tcPr>
            <w:tcW w:w="1651" w:type="dxa"/>
            <w:vAlign w:val="top"/>
          </w:tcPr>
          <w:p w14:paraId="5713AE9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25</w:t>
            </w:r>
          </w:p>
        </w:tc>
      </w:tr>
      <w:tr w14:paraId="0ACCF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4D643EE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189" w:type="dxa"/>
            <w:vAlign w:val="top"/>
          </w:tcPr>
          <w:p w14:paraId="278CB1D8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电池组</w:t>
            </w:r>
          </w:p>
        </w:tc>
        <w:tc>
          <w:tcPr>
            <w:tcW w:w="1651" w:type="dxa"/>
            <w:vAlign w:val="top"/>
          </w:tcPr>
          <w:p w14:paraId="14B8B59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</w:tr>
      <w:tr w14:paraId="609AA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237C799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189" w:type="dxa"/>
            <w:vAlign w:val="center"/>
          </w:tcPr>
          <w:p w14:paraId="4E1B4F1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办公自动化设备</w:t>
            </w:r>
          </w:p>
        </w:tc>
        <w:tc>
          <w:tcPr>
            <w:tcW w:w="1651" w:type="dxa"/>
            <w:vAlign w:val="center"/>
          </w:tcPr>
          <w:p w14:paraId="3579BE9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</w:tr>
      <w:tr w14:paraId="49FA1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7ED8DF3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189" w:type="dxa"/>
            <w:vAlign w:val="center"/>
          </w:tcPr>
          <w:p w14:paraId="48079F48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数码设备</w:t>
            </w:r>
          </w:p>
        </w:tc>
        <w:tc>
          <w:tcPr>
            <w:tcW w:w="1651" w:type="dxa"/>
            <w:vAlign w:val="center"/>
          </w:tcPr>
          <w:p w14:paraId="58F4036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20</w:t>
            </w:r>
          </w:p>
        </w:tc>
      </w:tr>
      <w:tr w14:paraId="51B0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dxa"/>
            <w:vAlign w:val="center"/>
          </w:tcPr>
          <w:p w14:paraId="5E7059C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189" w:type="dxa"/>
            <w:vAlign w:val="center"/>
          </w:tcPr>
          <w:p w14:paraId="7F882F9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服务器、网络设备</w:t>
            </w:r>
          </w:p>
        </w:tc>
        <w:tc>
          <w:tcPr>
            <w:tcW w:w="1651" w:type="dxa"/>
            <w:vAlign w:val="center"/>
          </w:tcPr>
          <w:p w14:paraId="6A493450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37</w:t>
            </w:r>
          </w:p>
        </w:tc>
      </w:tr>
    </w:tbl>
    <w:p w14:paraId="0AF3F5E7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69A49CE5"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货款交齐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后5个工作日内，</w:t>
      </w:r>
      <w:r>
        <w:rPr>
          <w:rFonts w:hint="eastAsia"/>
          <w:sz w:val="24"/>
          <w:szCs w:val="24"/>
          <w:u w:val="none"/>
          <w:lang w:val="en-US" w:eastAsia="zh-CN"/>
        </w:rPr>
        <w:t>乙方须将上述设备按甲方要求搬离甲方指定地点；逾期未搬迁的，乙方需按500元/天支付仓储费给甲方。交付设备当场清点，设备搬出后如出现数量不对或其他问题等，甲方概不对上述设备承担任何责任。</w:t>
      </w:r>
    </w:p>
    <w:p w14:paraId="66C63038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436C00BD">
      <w:pPr>
        <w:numPr>
          <w:ilvl w:val="0"/>
          <w:numId w:val="1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乙方需到甲方指定地点按时进行回收，乙方自行解决运输工具、搬运人员所产生的费用，甲方不支付费用。</w:t>
      </w:r>
    </w:p>
    <w:p w14:paraId="2A84E5A2">
      <w:pPr>
        <w:numPr>
          <w:ilvl w:val="-1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 w14:paraId="05E88683"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乙方工作人员在甲方场所作业时间，应自觉遵守甲方的规章制度，服从甲方人员的秩序安排，未经许可不得进入甲方办公区域，非因甲方原因造成的乙方人员人身及财产损失，由乙方自行承担。</w:t>
      </w:r>
    </w:p>
    <w:p w14:paraId="6E9D652B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75DDEC00"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乙方承诺及保证其在收购本合同废旧固定资产后，确保按照国家法律的相关规定及工作流程进行处置，不造成环境危害及其他对社会公众的伤害。</w:t>
      </w:r>
    </w:p>
    <w:p w14:paraId="6A7B12A1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58998AE9">
      <w:pPr>
        <w:numPr>
          <w:ilvl w:val="0"/>
          <w:numId w:val="1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本合同在履行过程中发生的争议，由双方当事人协商解决；协商或调解不成的，则提交甲方所在地的人民法院诉讼解决。</w:t>
      </w:r>
    </w:p>
    <w:p w14:paraId="02013B31">
      <w:pPr>
        <w:numPr>
          <w:ilvl w:val="-1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 w14:paraId="5860012B"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本合同壹式陆份，双方各执叁份，具有同等效力。合同经甲乙双方盖章后生效。</w:t>
      </w:r>
    </w:p>
    <w:p w14:paraId="72497D3B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57F4042A"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甲方公告、乙方报价等文件作为本合同附件，与本合同有同等法律效力。</w:t>
      </w:r>
    </w:p>
    <w:p w14:paraId="149332BD">
      <w:pPr>
        <w:numPr>
          <w:ilvl w:val="-1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29E946F6">
      <w:pPr>
        <w:numPr>
          <w:ilvl w:val="0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430"/>
        <w:gridCol w:w="1665"/>
        <w:gridCol w:w="2699"/>
      </w:tblGrid>
      <w:tr w14:paraId="7BF46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728" w:type="dxa"/>
            <w:tcBorders>
              <w:tl2br w:val="nil"/>
              <w:tr2bl w:val="nil"/>
            </w:tcBorders>
            <w:vAlign w:val="top"/>
          </w:tcPr>
          <w:p w14:paraId="24EB2CE7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甲方：</w:t>
            </w:r>
          </w:p>
        </w:tc>
        <w:tc>
          <w:tcPr>
            <w:tcW w:w="2430" w:type="dxa"/>
            <w:tcBorders>
              <w:tl2br w:val="nil"/>
              <w:tr2bl w:val="nil"/>
            </w:tcBorders>
            <w:vAlign w:val="top"/>
          </w:tcPr>
          <w:p w14:paraId="1082FDA5"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南方新闻网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vAlign w:val="top"/>
          </w:tcPr>
          <w:p w14:paraId="6C0EEF84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乙方：</w:t>
            </w:r>
          </w:p>
        </w:tc>
        <w:tc>
          <w:tcPr>
            <w:tcW w:w="2699" w:type="dxa"/>
            <w:tcBorders>
              <w:tl2br w:val="nil"/>
              <w:tr2bl w:val="nil"/>
            </w:tcBorders>
            <w:vAlign w:val="top"/>
          </w:tcPr>
          <w:p w14:paraId="464D0196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7CCA5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728" w:type="dxa"/>
            <w:tcBorders>
              <w:tl2br w:val="nil"/>
              <w:tr2bl w:val="nil"/>
            </w:tcBorders>
            <w:vAlign w:val="top"/>
          </w:tcPr>
          <w:p w14:paraId="1FE3B265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委托代理人：</w:t>
            </w:r>
          </w:p>
        </w:tc>
        <w:tc>
          <w:tcPr>
            <w:tcW w:w="2430" w:type="dxa"/>
            <w:tcBorders>
              <w:tl2br w:val="nil"/>
              <w:tr2bl w:val="nil"/>
            </w:tcBorders>
            <w:vAlign w:val="top"/>
          </w:tcPr>
          <w:p w14:paraId="0A7C34E9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tcBorders>
              <w:tl2br w:val="nil"/>
              <w:tr2bl w:val="nil"/>
            </w:tcBorders>
            <w:vAlign w:val="top"/>
          </w:tcPr>
          <w:p w14:paraId="41334E5B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委托代理人：</w:t>
            </w:r>
          </w:p>
        </w:tc>
        <w:tc>
          <w:tcPr>
            <w:tcW w:w="2699" w:type="dxa"/>
            <w:tcBorders>
              <w:tl2br w:val="nil"/>
              <w:tr2bl w:val="nil"/>
            </w:tcBorders>
            <w:vAlign w:val="top"/>
          </w:tcPr>
          <w:p w14:paraId="5B8D9C67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54B2D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28" w:type="dxa"/>
            <w:tcBorders>
              <w:tl2br w:val="nil"/>
              <w:tr2bl w:val="nil"/>
            </w:tcBorders>
            <w:vAlign w:val="top"/>
          </w:tcPr>
          <w:p w14:paraId="32C5CEA4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签约日期：</w:t>
            </w:r>
          </w:p>
        </w:tc>
        <w:tc>
          <w:tcPr>
            <w:tcW w:w="2430" w:type="dxa"/>
            <w:tcBorders>
              <w:tl2br w:val="nil"/>
              <w:tr2bl w:val="nil"/>
            </w:tcBorders>
            <w:vAlign w:val="top"/>
          </w:tcPr>
          <w:p w14:paraId="1FA23B0E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tcBorders>
              <w:tl2br w:val="nil"/>
              <w:tr2bl w:val="nil"/>
            </w:tcBorders>
            <w:vAlign w:val="top"/>
          </w:tcPr>
          <w:p w14:paraId="52CE3A98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签约日期：</w:t>
            </w:r>
          </w:p>
        </w:tc>
        <w:tc>
          <w:tcPr>
            <w:tcW w:w="2699" w:type="dxa"/>
            <w:tcBorders>
              <w:tl2br w:val="nil"/>
              <w:tr2bl w:val="nil"/>
            </w:tcBorders>
            <w:vAlign w:val="top"/>
          </w:tcPr>
          <w:p w14:paraId="061571D2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65A7F195">
      <w:pPr>
        <w:numPr>
          <w:ilvl w:val="0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</w:p>
    <w:p w14:paraId="335EF5F7"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DB4CC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4">
      <wne:fci wne:fciName="ExpandPasteTex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DA69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A7214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AA7214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ABAF5"/>
    <w:multiLevelType w:val="singleLevel"/>
    <w:tmpl w:val="C56ABAF5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05000"/>
    <w:rsid w:val="7D72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仿宋_GB2312" w:hAnsi="Calibri" w:eastAsia="宋体" w:cs="Times New Roman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2025-02-28T03:12:00Z</dcterms:created>
  <dc:creator>linxnan</dc:creator>
  <cp:lastModifiedBy>林兴南</cp:lastModifiedBy>
  <dcterms:modified xsi:type="dcterms:W3CDTF">2025-12-26T03:29:19Z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AEBD499D00A3429D897E6D37487816B2_12</vt:lpwstr>
  </property>
  <property fmtid="{D5CDD505-2E9C-101B-9397-08002B2CF9AE}" pid="4" name="KSOTemplateDocerSaveRecord">
    <vt:lpwstr>eyJoZGlkIjoiZjA5ODA2YWQ5ZmU3NjkxODEyOTNmMTUxM2E5ZWYxMjUiLCJ1c2VySWQiOiI1OTgyOTE3MTUifQ==</vt:lpwstr>
  </property>
</Properties>
</file>