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ascii="宋体" w:hAnsi="宋体" w:eastAsia="宋体" w:cs="宋体"/>
          <w:b/>
          <w:bCs/>
          <w:color w:val="auto"/>
          <w:sz w:val="52"/>
          <w:szCs w:val="52"/>
          <w:highlight w:val="none"/>
        </w:rPr>
      </w:pPr>
    </w:p>
    <w:p>
      <w:pPr>
        <w:spacing w:line="360" w:lineRule="auto"/>
        <w:jc w:val="center"/>
        <w:rPr>
          <w:rFonts w:hint="eastAsia" w:ascii="宋体" w:hAnsi="宋体" w:eastAsia="宋体" w:cs="宋体"/>
          <w:b/>
          <w:bCs/>
          <w:color w:val="auto"/>
          <w:sz w:val="52"/>
          <w:szCs w:val="52"/>
          <w:highlight w:val="none"/>
        </w:rPr>
      </w:pPr>
    </w:p>
    <w:p>
      <w:pPr>
        <w:spacing w:line="360" w:lineRule="auto"/>
        <w:jc w:val="center"/>
        <w:rPr>
          <w:rFonts w:hint="eastAsia" w:ascii="宋体" w:hAnsi="宋体" w:eastAsia="宋体" w:cs="宋体"/>
          <w:b/>
          <w:bCs/>
          <w:color w:val="auto"/>
          <w:sz w:val="52"/>
          <w:szCs w:val="52"/>
          <w:highlight w:val="none"/>
          <w:lang w:eastAsia="zh-CN"/>
        </w:rPr>
      </w:pPr>
      <w:r>
        <w:rPr>
          <w:rFonts w:hint="eastAsia" w:ascii="宋体" w:hAnsi="宋体" w:eastAsia="宋体" w:cs="宋体"/>
          <w:b/>
          <w:bCs/>
          <w:color w:val="auto"/>
          <w:sz w:val="52"/>
          <w:szCs w:val="52"/>
          <w:highlight w:val="none"/>
          <w:lang w:eastAsia="zh-CN"/>
        </w:rPr>
        <w:t>南方报业传媒集团402报告厅</w:t>
      </w:r>
    </w:p>
    <w:p>
      <w:pPr>
        <w:spacing w:line="360" w:lineRule="auto"/>
        <w:jc w:val="center"/>
        <w:rPr>
          <w:rFonts w:hint="eastAsia" w:ascii="宋体" w:hAnsi="宋体" w:eastAsia="宋体" w:cs="宋体"/>
          <w:color w:val="auto"/>
          <w:sz w:val="30"/>
          <w:highlight w:val="none"/>
        </w:rPr>
      </w:pPr>
      <w:r>
        <w:rPr>
          <w:rFonts w:hint="eastAsia" w:ascii="宋体" w:hAnsi="宋体" w:eastAsia="宋体" w:cs="宋体"/>
          <w:b/>
          <w:bCs/>
          <w:color w:val="auto"/>
          <w:sz w:val="52"/>
          <w:szCs w:val="52"/>
          <w:highlight w:val="none"/>
          <w:lang w:eastAsia="zh-CN"/>
        </w:rPr>
        <w:t>LED显示屏建设项目</w:t>
      </w:r>
    </w:p>
    <w:p>
      <w:pPr>
        <w:spacing w:line="360" w:lineRule="auto"/>
        <w:rPr>
          <w:rFonts w:hint="eastAsia" w:ascii="宋体" w:hAnsi="宋体" w:eastAsia="宋体" w:cs="宋体"/>
          <w:color w:val="auto"/>
          <w:sz w:val="30"/>
          <w:highlight w:val="none"/>
        </w:rPr>
      </w:pPr>
    </w:p>
    <w:p>
      <w:pPr>
        <w:spacing w:line="360" w:lineRule="auto"/>
        <w:rPr>
          <w:rFonts w:hint="eastAsia" w:ascii="宋体" w:hAnsi="宋体" w:eastAsia="宋体" w:cs="宋体"/>
          <w:color w:val="auto"/>
          <w:sz w:val="30"/>
          <w:highlight w:val="none"/>
        </w:rPr>
      </w:pPr>
    </w:p>
    <w:p>
      <w:pPr>
        <w:spacing w:line="360" w:lineRule="auto"/>
        <w:jc w:val="center"/>
        <w:rPr>
          <w:rFonts w:hint="eastAsia" w:ascii="宋体" w:hAnsi="宋体" w:eastAsia="宋体" w:cs="宋体"/>
          <w:b/>
          <w:color w:val="auto"/>
          <w:spacing w:val="20"/>
          <w:kern w:val="10"/>
          <w:sz w:val="84"/>
          <w:szCs w:val="84"/>
          <w:highlight w:val="none"/>
        </w:rPr>
      </w:pPr>
      <w:r>
        <w:rPr>
          <w:rFonts w:hint="eastAsia" w:ascii="宋体" w:hAnsi="宋体" w:eastAsia="宋体" w:cs="宋体"/>
          <w:b/>
          <w:color w:val="auto"/>
          <w:spacing w:val="20"/>
          <w:kern w:val="10"/>
          <w:sz w:val="84"/>
          <w:szCs w:val="84"/>
          <w:highlight w:val="none"/>
        </w:rPr>
        <w:t>招标文件</w:t>
      </w:r>
    </w:p>
    <w:p>
      <w:pPr>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（项目编号：</w:t>
      </w:r>
      <w:r>
        <w:rPr>
          <w:rFonts w:hint="eastAsia" w:ascii="宋体" w:hAnsi="宋体" w:eastAsia="宋体" w:cs="宋体"/>
          <w:color w:val="auto"/>
          <w:sz w:val="36"/>
          <w:szCs w:val="36"/>
          <w:highlight w:val="none"/>
          <w:lang w:eastAsia="zh-CN"/>
        </w:rPr>
        <w:t>M4400000707524426</w:t>
      </w:r>
      <w:r>
        <w:rPr>
          <w:rFonts w:hint="eastAsia" w:ascii="宋体" w:hAnsi="宋体" w:eastAsia="宋体" w:cs="宋体"/>
          <w:color w:val="auto"/>
          <w:sz w:val="36"/>
          <w:szCs w:val="36"/>
          <w:highlight w:val="none"/>
        </w:rPr>
        <w:t>）</w:t>
      </w:r>
    </w:p>
    <w:p>
      <w:pPr>
        <w:tabs>
          <w:tab w:val="left" w:pos="8118"/>
        </w:tabs>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ab/>
      </w:r>
    </w:p>
    <w:p>
      <w:pPr>
        <w:spacing w:line="360" w:lineRule="auto"/>
        <w:jc w:val="center"/>
        <w:rPr>
          <w:rFonts w:hint="eastAsia" w:ascii="宋体" w:hAnsi="宋体" w:eastAsia="宋体" w:cs="宋体"/>
          <w:color w:val="auto"/>
          <w:sz w:val="28"/>
          <w:szCs w:val="28"/>
          <w:highlight w:val="none"/>
        </w:rPr>
      </w:pPr>
    </w:p>
    <w:p>
      <w:pPr>
        <w:spacing w:line="360" w:lineRule="auto"/>
        <w:jc w:val="center"/>
        <w:rPr>
          <w:rFonts w:hint="eastAsia" w:ascii="宋体" w:hAnsi="宋体" w:eastAsia="宋体" w:cs="宋体"/>
          <w:color w:val="auto"/>
          <w:sz w:val="28"/>
          <w:szCs w:val="28"/>
          <w:highlight w:val="none"/>
        </w:rPr>
      </w:pPr>
    </w:p>
    <w:p>
      <w:pPr>
        <w:spacing w:line="360" w:lineRule="auto"/>
        <w:jc w:val="center"/>
        <w:rPr>
          <w:rFonts w:hint="eastAsia" w:ascii="宋体" w:hAnsi="宋体" w:eastAsia="宋体" w:cs="宋体"/>
          <w:color w:val="auto"/>
          <w:sz w:val="28"/>
          <w:szCs w:val="28"/>
          <w:highlight w:val="none"/>
        </w:rPr>
      </w:pPr>
    </w:p>
    <w:p>
      <w:pPr>
        <w:snapToGrid w:val="0"/>
        <w:spacing w:line="600" w:lineRule="atLeast"/>
        <w:rPr>
          <w:rFonts w:hint="eastAsia" w:ascii="宋体" w:hAnsi="宋体" w:eastAsia="宋体" w:cs="宋体"/>
          <w:color w:val="auto"/>
          <w:sz w:val="30"/>
          <w:highlight w:val="none"/>
        </w:rPr>
      </w:pPr>
    </w:p>
    <w:p>
      <w:pPr>
        <w:snapToGrid w:val="0"/>
        <w:spacing w:line="600" w:lineRule="atLeast"/>
        <w:rPr>
          <w:rFonts w:hint="eastAsia" w:ascii="宋体" w:hAnsi="宋体" w:eastAsia="宋体" w:cs="宋体"/>
          <w:color w:val="auto"/>
          <w:sz w:val="30"/>
          <w:highlight w:val="none"/>
        </w:rPr>
      </w:pPr>
    </w:p>
    <w:p>
      <w:pPr>
        <w:snapToGrid w:val="0"/>
        <w:spacing w:line="600" w:lineRule="atLeast"/>
        <w:ind w:firstLine="1200" w:firstLineChars="400"/>
        <w:rPr>
          <w:rFonts w:hint="eastAsia" w:ascii="宋体" w:hAnsi="宋体" w:eastAsia="宋体" w:cs="宋体"/>
          <w:color w:val="auto"/>
          <w:sz w:val="30"/>
          <w:highlight w:val="none"/>
          <w:u w:val="single"/>
          <w:lang w:eastAsia="zh-CN"/>
        </w:rPr>
      </w:pPr>
      <w:r>
        <w:rPr>
          <w:rFonts w:hint="eastAsia" w:ascii="宋体" w:hAnsi="宋体" w:eastAsia="宋体" w:cs="宋体"/>
          <w:color w:val="auto"/>
          <w:sz w:val="30"/>
          <w:highlight w:val="none"/>
        </w:rPr>
        <w:t>招   标   人：</w:t>
      </w:r>
      <w:r>
        <w:rPr>
          <w:rFonts w:hint="eastAsia" w:ascii="宋体" w:hAnsi="宋体" w:eastAsia="宋体" w:cs="宋体"/>
          <w:color w:val="auto"/>
          <w:sz w:val="30"/>
          <w:highlight w:val="none"/>
          <w:u w:val="single"/>
          <w:lang w:eastAsia="zh-CN"/>
        </w:rPr>
        <w:t>广东南方报业传媒集团物业管理有限公司</w:t>
      </w:r>
    </w:p>
    <w:p>
      <w:pPr>
        <w:snapToGrid w:val="0"/>
        <w:spacing w:line="600" w:lineRule="atLeast"/>
        <w:ind w:firstLine="1200" w:firstLineChars="400"/>
        <w:rPr>
          <w:rFonts w:hint="eastAsia" w:ascii="宋体" w:hAnsi="宋体" w:eastAsia="宋体" w:cs="宋体"/>
          <w:color w:val="auto"/>
          <w:sz w:val="30"/>
          <w:highlight w:val="none"/>
        </w:rPr>
      </w:pPr>
      <w:r>
        <w:rPr>
          <w:rFonts w:hint="eastAsia" w:ascii="宋体" w:hAnsi="宋体" w:eastAsia="宋体" w:cs="宋体"/>
          <w:color w:val="auto"/>
          <w:sz w:val="30"/>
          <w:highlight w:val="none"/>
        </w:rPr>
        <w:t>招标代理机构：</w:t>
      </w:r>
      <w:r>
        <w:rPr>
          <w:rFonts w:hint="eastAsia" w:ascii="宋体" w:hAnsi="宋体" w:eastAsia="宋体" w:cs="宋体"/>
          <w:color w:val="auto"/>
          <w:sz w:val="30"/>
          <w:highlight w:val="none"/>
          <w:lang w:eastAsia="zh-CN"/>
        </w:rPr>
        <w:t>，</w:t>
      </w:r>
      <w:r>
        <w:rPr>
          <w:rFonts w:hint="eastAsia" w:ascii="宋体" w:hAnsi="宋体" w:eastAsia="宋体" w:cs="宋体"/>
          <w:color w:val="auto"/>
          <w:sz w:val="30"/>
          <w:highlight w:val="none"/>
          <w:u w:val="single"/>
        </w:rPr>
        <w:t>广东省机电设备招标有限公司</w:t>
      </w:r>
    </w:p>
    <w:p>
      <w:pPr>
        <w:spacing w:line="360" w:lineRule="auto"/>
        <w:jc w:val="center"/>
        <w:rPr>
          <w:rFonts w:hint="eastAsia" w:ascii="宋体" w:hAnsi="宋体" w:eastAsia="宋体" w:cs="宋体"/>
          <w:b/>
          <w:color w:val="auto"/>
          <w:sz w:val="28"/>
          <w:szCs w:val="28"/>
          <w:highlight w:val="none"/>
        </w:rPr>
        <w:sectPr>
          <w:headerReference r:id="rId3" w:type="default"/>
          <w:footerReference r:id="rId4" w:type="default"/>
          <w:pgSz w:w="11906" w:h="16838"/>
          <w:pgMar w:top="1134" w:right="1418" w:bottom="1134" w:left="1418" w:header="851" w:footer="992" w:gutter="0"/>
          <w:pgNumType w:start="1"/>
          <w:cols w:space="720" w:num="1"/>
          <w:docGrid w:type="lines" w:linePitch="312" w:charSpace="0"/>
        </w:sectPr>
      </w:pPr>
      <w:r>
        <w:rPr>
          <w:rFonts w:hint="eastAsia" w:ascii="宋体" w:hAnsi="宋体" w:eastAsia="宋体" w:cs="宋体"/>
          <w:color w:val="auto"/>
          <w:sz w:val="30"/>
          <w:szCs w:val="30"/>
          <w:highlight w:val="none"/>
        </w:rPr>
        <w:t>20</w:t>
      </w:r>
      <w:r>
        <w:rPr>
          <w:rFonts w:hint="eastAsia" w:ascii="宋体" w:hAnsi="宋体" w:eastAsia="宋体" w:cs="宋体"/>
          <w:color w:val="auto"/>
          <w:sz w:val="30"/>
          <w:szCs w:val="30"/>
          <w:highlight w:val="none"/>
          <w:lang w:val="en-US" w:eastAsia="zh-CN"/>
        </w:rPr>
        <w:t>24</w:t>
      </w:r>
      <w:r>
        <w:rPr>
          <w:rFonts w:hint="eastAsia" w:ascii="宋体" w:hAnsi="宋体" w:eastAsia="宋体" w:cs="宋体"/>
          <w:color w:val="auto"/>
          <w:sz w:val="30"/>
          <w:szCs w:val="30"/>
          <w:highlight w:val="none"/>
        </w:rPr>
        <w:t>年</w:t>
      </w:r>
      <w:r>
        <w:rPr>
          <w:rFonts w:hint="eastAsia" w:ascii="宋体" w:hAnsi="宋体" w:cs="宋体"/>
          <w:color w:val="auto"/>
          <w:sz w:val="30"/>
          <w:szCs w:val="30"/>
          <w:highlight w:val="none"/>
          <w:lang w:val="en-US" w:eastAsia="zh-CN"/>
        </w:rPr>
        <w:t>8</w:t>
      </w:r>
      <w:r>
        <w:rPr>
          <w:rFonts w:hint="eastAsia" w:ascii="宋体" w:hAnsi="宋体" w:eastAsia="宋体" w:cs="宋体"/>
          <w:color w:val="auto"/>
          <w:sz w:val="30"/>
          <w:szCs w:val="30"/>
          <w:highlight w:val="none"/>
        </w:rPr>
        <w:t>月</w:t>
      </w:r>
    </w:p>
    <w:p>
      <w:pPr>
        <w:spacing w:line="360" w:lineRule="auto"/>
        <w:jc w:val="center"/>
        <w:outlineLvl w:val="0"/>
        <w:rPr>
          <w:rFonts w:hint="eastAsia" w:ascii="宋体" w:hAnsi="宋体" w:eastAsia="宋体" w:cs="宋体"/>
          <w:b/>
          <w:color w:val="auto"/>
          <w:sz w:val="28"/>
          <w:szCs w:val="28"/>
          <w:highlight w:val="none"/>
        </w:rPr>
      </w:pPr>
      <w:bookmarkStart w:id="0" w:name="_Toc27156"/>
      <w:r>
        <w:rPr>
          <w:rFonts w:hint="eastAsia" w:ascii="宋体" w:hAnsi="宋体" w:eastAsia="宋体" w:cs="宋体"/>
          <w:b/>
          <w:color w:val="auto"/>
          <w:sz w:val="28"/>
          <w:szCs w:val="28"/>
          <w:highlight w:val="none"/>
        </w:rPr>
        <w:t>投标提示</w:t>
      </w:r>
      <w:bookmarkEnd w:id="0"/>
    </w:p>
    <w:p>
      <w:pPr>
        <w:snapToGrid w:val="0"/>
        <w:spacing w:line="360" w:lineRule="auto"/>
        <w:jc w:val="center"/>
        <w:rPr>
          <w:rFonts w:hint="eastAsia" w:ascii="宋体" w:hAnsi="宋体" w:eastAsia="宋体" w:cs="宋体"/>
          <w:color w:val="auto"/>
          <w:highlight w:val="none"/>
        </w:rPr>
      </w:pPr>
      <w:r>
        <w:rPr>
          <w:rFonts w:hint="eastAsia" w:ascii="宋体" w:hAnsi="宋体" w:eastAsia="宋体" w:cs="宋体"/>
          <w:b/>
          <w:color w:val="auto"/>
          <w:highlight w:val="none"/>
        </w:rPr>
        <w:t>（本提示内容非招标文件的组成部分，仅为投标人制作文件提醒。如有不一致，以招标文件为准）</w:t>
      </w:r>
    </w:p>
    <w:p>
      <w:pPr>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1、潜在投标供应商须按招标文件及公告要求登记。</w:t>
      </w:r>
    </w:p>
    <w:p>
      <w:pPr>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2、本公司启用网上登记系统进行供应商登记及购买文件。请登录广咨电子招投标交易平台网站（www.gzebid.cn）进行供应商注册登记。</w:t>
      </w:r>
    </w:p>
    <w:p>
      <w:pPr>
        <w:tabs>
          <w:tab w:val="left" w:pos="851"/>
        </w:tabs>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3、为避免因迟到而失去投标/报价资格，请供应商</w:t>
      </w:r>
      <w:r>
        <w:rPr>
          <w:rFonts w:hint="eastAsia" w:ascii="宋体" w:hAnsi="宋体" w:eastAsia="宋体" w:cs="宋体"/>
          <w:b/>
          <w:color w:val="auto"/>
          <w:highlight w:val="none"/>
          <w:u w:val="single"/>
        </w:rPr>
        <w:t>适当提前到达开标现场</w:t>
      </w:r>
      <w:r>
        <w:rPr>
          <w:rFonts w:hint="eastAsia" w:ascii="宋体" w:hAnsi="宋体" w:eastAsia="宋体" w:cs="宋体"/>
          <w:color w:val="auto"/>
          <w:highlight w:val="none"/>
        </w:rPr>
        <w:t>。</w:t>
      </w:r>
    </w:p>
    <w:p>
      <w:pPr>
        <w:tabs>
          <w:tab w:val="left" w:pos="851"/>
        </w:tabs>
        <w:snapToGrid w:val="0"/>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4、投标/报价文件应按顺序</w:t>
      </w:r>
      <w:r>
        <w:rPr>
          <w:rFonts w:hint="eastAsia" w:ascii="宋体" w:hAnsi="宋体" w:eastAsia="宋体" w:cs="宋体"/>
          <w:b/>
          <w:color w:val="auto"/>
          <w:highlight w:val="none"/>
          <w:u w:val="single"/>
        </w:rPr>
        <w:t>编制页码</w:t>
      </w:r>
      <w:r>
        <w:rPr>
          <w:rFonts w:hint="eastAsia" w:ascii="宋体" w:hAnsi="宋体" w:eastAsia="宋体" w:cs="宋体"/>
          <w:color w:val="auto"/>
          <w:highlight w:val="none"/>
        </w:rPr>
        <w:t>。</w:t>
      </w:r>
    </w:p>
    <w:p>
      <w:pPr>
        <w:tabs>
          <w:tab w:val="left" w:pos="851"/>
        </w:tabs>
        <w:snapToGrid w:val="0"/>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5、请仔细检查投标/报价文件是否已按招标文件要求</w:t>
      </w:r>
      <w:r>
        <w:rPr>
          <w:rFonts w:hint="eastAsia" w:ascii="宋体" w:hAnsi="宋体" w:eastAsia="宋体" w:cs="宋体"/>
          <w:b/>
          <w:color w:val="auto"/>
          <w:highlight w:val="none"/>
          <w:u w:val="single"/>
        </w:rPr>
        <w:t>盖章、签字（签章）、签署日期</w:t>
      </w:r>
      <w:r>
        <w:rPr>
          <w:rFonts w:hint="eastAsia" w:ascii="宋体" w:hAnsi="宋体" w:eastAsia="宋体" w:cs="宋体"/>
          <w:color w:val="auto"/>
          <w:highlight w:val="none"/>
        </w:rPr>
        <w:t>。</w:t>
      </w:r>
    </w:p>
    <w:p>
      <w:pPr>
        <w:tabs>
          <w:tab w:val="left" w:pos="851"/>
        </w:tabs>
        <w:snapToGrid w:val="0"/>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6、请正确填写《开标/报价一览表》。多子包项目请仔细检查子包号，子包号与子包名称必须对应。</w:t>
      </w:r>
    </w:p>
    <w:p>
      <w:pPr>
        <w:tabs>
          <w:tab w:val="left" w:pos="851"/>
        </w:tabs>
        <w:snapToGrid w:val="0"/>
        <w:spacing w:line="360" w:lineRule="auto"/>
        <w:ind w:left="315" w:hanging="315" w:hangingChars="150"/>
        <w:rPr>
          <w:rFonts w:hint="eastAsia" w:ascii="宋体" w:hAnsi="宋体" w:eastAsia="宋体" w:cs="宋体"/>
          <w:color w:val="auto"/>
          <w:highlight w:val="none"/>
        </w:rPr>
      </w:pPr>
      <w:r>
        <w:rPr>
          <w:rFonts w:hint="eastAsia" w:ascii="宋体" w:hAnsi="宋体" w:eastAsia="宋体" w:cs="宋体"/>
          <w:color w:val="auto"/>
          <w:highlight w:val="none"/>
        </w:rPr>
        <w:t>7、单独提交的</w:t>
      </w:r>
      <w:r>
        <w:rPr>
          <w:rFonts w:hint="eastAsia" w:ascii="宋体" w:hAnsi="宋体" w:eastAsia="宋体" w:cs="宋体"/>
          <w:b/>
          <w:color w:val="auto"/>
          <w:highlight w:val="none"/>
          <w:u w:val="single"/>
        </w:rPr>
        <w:t>信封</w:t>
      </w:r>
      <w:r>
        <w:rPr>
          <w:rFonts w:hint="eastAsia" w:ascii="宋体" w:hAnsi="宋体" w:eastAsia="宋体" w:cs="宋体"/>
          <w:color w:val="auto"/>
          <w:highlight w:val="none"/>
        </w:rPr>
        <w:t>内容应包括：</w:t>
      </w:r>
      <w:r>
        <w:rPr>
          <w:rFonts w:hint="eastAsia" w:ascii="宋体" w:hAnsi="宋体" w:eastAsia="宋体" w:cs="宋体"/>
          <w:b/>
          <w:color w:val="auto"/>
          <w:highlight w:val="none"/>
          <w:u w:val="single"/>
        </w:rPr>
        <w:t>投标保证金凭证</w:t>
      </w:r>
      <w:r>
        <w:rPr>
          <w:rFonts w:hint="eastAsia" w:ascii="宋体" w:hAnsi="宋体" w:eastAsia="宋体" w:cs="宋体"/>
          <w:color w:val="auto"/>
          <w:highlight w:val="none"/>
        </w:rPr>
        <w:t>（提供银行支付凭证</w:t>
      </w:r>
      <w:r>
        <w:rPr>
          <w:rFonts w:hint="eastAsia" w:ascii="宋体" w:hAnsi="宋体" w:eastAsia="宋体" w:cs="宋体"/>
          <w:b/>
          <w:color w:val="auto"/>
          <w:highlight w:val="none"/>
          <w:u w:val="single"/>
        </w:rPr>
        <w:t>复印件</w:t>
      </w:r>
      <w:r>
        <w:rPr>
          <w:rFonts w:hint="eastAsia" w:ascii="宋体" w:hAnsi="宋体" w:eastAsia="宋体" w:cs="宋体"/>
          <w:color w:val="auto"/>
          <w:highlight w:val="none"/>
        </w:rPr>
        <w:t>）、</w:t>
      </w:r>
      <w:r>
        <w:rPr>
          <w:rFonts w:hint="eastAsia" w:ascii="宋体" w:hAnsi="宋体" w:eastAsia="宋体" w:cs="宋体"/>
          <w:b/>
          <w:color w:val="auto"/>
          <w:highlight w:val="none"/>
          <w:u w:val="single"/>
        </w:rPr>
        <w:t>退投标保证金说明函原件</w:t>
      </w:r>
      <w:r>
        <w:rPr>
          <w:rFonts w:hint="eastAsia" w:ascii="宋体" w:hAnsi="宋体" w:eastAsia="宋体" w:cs="宋体"/>
          <w:color w:val="auto"/>
          <w:highlight w:val="none"/>
        </w:rPr>
        <w:t>。</w:t>
      </w:r>
    </w:p>
    <w:p>
      <w:pPr>
        <w:tabs>
          <w:tab w:val="left" w:pos="851"/>
        </w:tabs>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8、供应商须通过广咨电子招投标交易平台网站（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"http://www.gzebid.cn）获取子账号的方式递交投标/报价保证金及中标/"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http://www.gzebid.cn）获取子账号的方式递交投标/报价保证金及中标/</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成交服务费。</w:t>
      </w:r>
    </w:p>
    <w:p>
      <w:pPr>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9、每个供应商每个项目的保证金缴纳账户是唯一的，本司将根据唯一保证金缴纳账户的缴纳情况，确认供应商是否已按规定缴纳项目保证金。所以请各供应商缴纳保证金前务必核对正确的缴纳账户，错缴误缴导致未按项目缴纳保证金的情况将由供应商自行负责。</w:t>
      </w:r>
    </w:p>
    <w:p>
      <w:pPr>
        <w:tabs>
          <w:tab w:val="left" w:pos="851"/>
        </w:tabs>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10、投标/报价保证金必须于招标文件递交截止时间前到达广东省机电设备招标有限公司的账户。</w:t>
      </w:r>
    </w:p>
    <w:p>
      <w:pPr>
        <w:tabs>
          <w:tab w:val="left" w:pos="851"/>
        </w:tabs>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11、未中标供应商的投标保证金退款程序：在</w:t>
      </w:r>
      <w:r>
        <w:rPr>
          <w:rFonts w:hint="eastAsia" w:ascii="宋体" w:hAnsi="宋体" w:eastAsia="宋体" w:cs="宋体"/>
          <w:b/>
          <w:color w:val="auto"/>
          <w:highlight w:val="none"/>
          <w:u w:val="single"/>
        </w:rPr>
        <w:t>中标通知书发出后的五个工作日内</w:t>
      </w:r>
      <w:r>
        <w:rPr>
          <w:rFonts w:hint="eastAsia" w:ascii="宋体" w:hAnsi="宋体" w:eastAsia="宋体" w:cs="宋体"/>
          <w:color w:val="auto"/>
          <w:highlight w:val="none"/>
        </w:rPr>
        <w:t>按规定程序原额退还。</w:t>
      </w:r>
    </w:p>
    <w:p>
      <w:pPr>
        <w:tabs>
          <w:tab w:val="left" w:pos="851"/>
        </w:tabs>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12、中标供应商的投标保证金退款程序：在</w:t>
      </w:r>
      <w:r>
        <w:rPr>
          <w:rFonts w:hint="eastAsia" w:ascii="宋体" w:hAnsi="宋体" w:eastAsia="宋体" w:cs="宋体"/>
          <w:b/>
          <w:color w:val="auto"/>
          <w:highlight w:val="none"/>
          <w:u w:val="single"/>
        </w:rPr>
        <w:t>收到</w:t>
      </w:r>
      <w:r>
        <w:rPr>
          <w:rFonts w:hint="eastAsia" w:ascii="宋体" w:hAnsi="宋体" w:eastAsia="宋体" w:cs="宋体"/>
          <w:color w:val="auto"/>
          <w:highlight w:val="none"/>
        </w:rPr>
        <w:t>中标供应商提交的</w:t>
      </w:r>
      <w:r>
        <w:rPr>
          <w:rFonts w:hint="eastAsia" w:ascii="宋体" w:hAnsi="宋体" w:eastAsia="宋体" w:cs="宋体"/>
          <w:b/>
          <w:color w:val="auto"/>
          <w:highlight w:val="none"/>
          <w:u w:val="single"/>
        </w:rPr>
        <w:t>合同原件或复印件后五个工作日内</w:t>
      </w:r>
      <w:r>
        <w:rPr>
          <w:rFonts w:hint="eastAsia" w:ascii="宋体" w:hAnsi="宋体" w:eastAsia="宋体" w:cs="宋体"/>
          <w:color w:val="auto"/>
          <w:highlight w:val="none"/>
        </w:rPr>
        <w:t>原额退还。</w:t>
      </w:r>
    </w:p>
    <w:p>
      <w:pPr>
        <w:tabs>
          <w:tab w:val="left" w:pos="851"/>
        </w:tabs>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13、如招标文件有澄清、修改或者延期的，我司会在相关媒体上发布公告，并</w:t>
      </w:r>
      <w:r>
        <w:rPr>
          <w:rFonts w:hint="eastAsia" w:ascii="宋体" w:hAnsi="宋体" w:eastAsia="宋体" w:cs="宋体"/>
          <w:b/>
          <w:color w:val="auto"/>
          <w:highlight w:val="none"/>
          <w:u w:val="single"/>
        </w:rPr>
        <w:t>以电子邮件的形式</w:t>
      </w:r>
      <w:r>
        <w:rPr>
          <w:rFonts w:hint="eastAsia" w:ascii="宋体" w:hAnsi="宋体" w:eastAsia="宋体" w:cs="宋体"/>
          <w:color w:val="auto"/>
          <w:highlight w:val="none"/>
        </w:rPr>
        <w:t>通知所有登记及购买招标文件的供应商。</w:t>
      </w:r>
    </w:p>
    <w:p>
      <w:pPr>
        <w:tabs>
          <w:tab w:val="left" w:pos="851"/>
        </w:tabs>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14、如投标/报价产品属于许可证管理范围内的，须提交相应的许可证复印件。</w:t>
      </w:r>
    </w:p>
    <w:p>
      <w:pPr>
        <w:tabs>
          <w:tab w:val="left" w:pos="851"/>
        </w:tabs>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15、如供应商以非独立法人注册的分公司名义代表总公司盖章和签署文件的，须提供总公司的营业执照副本复印件及总公司针对本项目投标/报价的授权书原件。</w:t>
      </w:r>
    </w:p>
    <w:p>
      <w:pPr>
        <w:tabs>
          <w:tab w:val="left" w:pos="851"/>
        </w:tabs>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16、以联合体形式投标/报价的，请提交《联合体共同投标协议书》。</w:t>
      </w:r>
    </w:p>
    <w:p>
      <w:pPr>
        <w:tabs>
          <w:tab w:val="left" w:pos="851"/>
        </w:tabs>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17、为了提高采购效率，节约社会交易成本与时间，本司希望购买了招标文件而决定不参加本次投标的供应商，在投标/报价文件递交截止时间的3日前，按《投标/报价邀请函》中的联系方式，以书面形式告知招标代理机构。对您的支持与配合，谨此致谢。</w:t>
      </w:r>
    </w:p>
    <w:p>
      <w:pPr>
        <w:tabs>
          <w:tab w:val="left" w:pos="851"/>
        </w:tabs>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w:t>18、因场地有限，本公司无法提供停车位，不便之处敬请谅解</w:t>
      </w:r>
      <w:r>
        <w:rPr>
          <w:rFonts w:hint="eastAsia" w:ascii="宋体" w:hAnsi="宋体" w:eastAsia="宋体" w:cs="宋体"/>
          <w:color w:val="auto"/>
          <w:szCs w:val="21"/>
          <w:highlight w:val="none"/>
        </w:rPr>
        <w:t>。</w:t>
      </w:r>
    </w:p>
    <w:p>
      <w:pPr>
        <w:tabs>
          <w:tab w:val="left" w:pos="851"/>
        </w:tabs>
        <w:snapToGrid w:val="0"/>
        <w:spacing w:line="360" w:lineRule="auto"/>
        <w:jc w:val="center"/>
        <w:rPr>
          <w:rFonts w:hint="eastAsia" w:ascii="宋体" w:hAnsi="宋体" w:eastAsia="宋体" w:cs="宋体"/>
          <w:b/>
          <w:color w:val="auto"/>
          <w:sz w:val="44"/>
          <w:szCs w:val="32"/>
          <w:highlight w:val="none"/>
        </w:rPr>
        <w:sectPr>
          <w:footerReference r:id="rId5" w:type="default"/>
          <w:pgSz w:w="11906" w:h="16838"/>
          <w:pgMar w:top="1134" w:right="1418" w:bottom="1134" w:left="1418" w:header="851" w:footer="992" w:gutter="0"/>
          <w:pgNumType w:start="1"/>
          <w:cols w:space="720" w:num="1"/>
          <w:docGrid w:type="lines" w:linePitch="312" w:charSpace="0"/>
        </w:sectPr>
      </w:pPr>
    </w:p>
    <w:p>
      <w:pPr>
        <w:pStyle w:val="28"/>
        <w:rPr>
          <w:rFonts w:hint="eastAsia" w:ascii="宋体" w:hAnsi="宋体" w:eastAsia="宋体" w:cs="宋体"/>
          <w:color w:val="auto"/>
          <w:highlight w:val="none"/>
        </w:rPr>
      </w:pPr>
    </w:p>
    <w:p>
      <w:pPr>
        <w:tabs>
          <w:tab w:val="left" w:pos="851"/>
        </w:tabs>
        <w:snapToGrid w:val="0"/>
        <w:spacing w:line="360" w:lineRule="auto"/>
        <w:jc w:val="center"/>
        <w:rPr>
          <w:rFonts w:hint="eastAsia" w:ascii="宋体" w:hAnsi="宋体" w:eastAsia="宋体" w:cs="宋体"/>
          <w:b/>
          <w:color w:val="auto"/>
          <w:sz w:val="44"/>
          <w:szCs w:val="32"/>
          <w:highlight w:val="none"/>
        </w:rPr>
      </w:pPr>
      <w:r>
        <w:rPr>
          <w:rFonts w:hint="eastAsia" w:ascii="宋体" w:hAnsi="宋体" w:eastAsia="宋体" w:cs="宋体"/>
          <w:b/>
          <w:color w:val="auto"/>
          <w:sz w:val="44"/>
          <w:szCs w:val="32"/>
          <w:highlight w:val="none"/>
        </w:rPr>
        <w:t>目 录</w:t>
      </w:r>
    </w:p>
    <w:p>
      <w:pPr>
        <w:pStyle w:val="290"/>
        <w:tabs>
          <w:tab w:val="right" w:leader="dot" w:pos="9070"/>
        </w:tabs>
        <w:rPr>
          <w:rFonts w:hint="eastAsia" w:ascii="宋体" w:hAnsi="宋体" w:eastAsia="宋体" w:cs="宋体"/>
          <w:color w:val="auto"/>
          <w:highlight w:val="none"/>
        </w:rPr>
      </w:pPr>
      <w:r>
        <w:rPr>
          <w:rFonts w:hint="eastAsia" w:ascii="宋体" w:hAnsi="宋体" w:eastAsia="宋体" w:cs="宋体"/>
          <w:color w:val="auto"/>
          <w:sz w:val="30"/>
          <w:szCs w:val="30"/>
          <w:highlight w:val="none"/>
        </w:rPr>
        <w:fldChar w:fldCharType="begin"/>
      </w:r>
      <w:r>
        <w:rPr>
          <w:rFonts w:hint="eastAsia" w:ascii="宋体" w:hAnsi="宋体" w:eastAsia="宋体" w:cs="宋体"/>
          <w:color w:val="auto"/>
          <w:sz w:val="30"/>
          <w:szCs w:val="30"/>
          <w:highlight w:val="none"/>
        </w:rPr>
        <w:instrText xml:space="preserve">TOC \o "1-1" \h \u </w:instrText>
      </w:r>
      <w:r>
        <w:rPr>
          <w:rFonts w:hint="eastAsia" w:ascii="宋体" w:hAnsi="宋体" w:eastAsia="宋体" w:cs="宋体"/>
          <w:color w:val="auto"/>
          <w:sz w:val="30"/>
          <w:szCs w:val="30"/>
          <w:highlight w:val="none"/>
        </w:rPr>
        <w:fldChar w:fldCharType="separate"/>
      </w:r>
    </w:p>
    <w:p>
      <w:pPr>
        <w:pStyle w:val="290"/>
        <w:tabs>
          <w:tab w:val="right" w:leader="dot" w:pos="9070"/>
        </w:tabs>
        <w:spacing w:line="48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_Toc12054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第一章  投标邀请函</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_Toc12054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1</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pPr>
        <w:pStyle w:val="290"/>
        <w:tabs>
          <w:tab w:val="right" w:leader="dot" w:pos="9070"/>
        </w:tabs>
        <w:spacing w:line="48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_Toc9976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第二章  投标人须知</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_Toc9976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7</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pPr>
        <w:pStyle w:val="290"/>
        <w:tabs>
          <w:tab w:val="right" w:leader="dot" w:pos="9070"/>
        </w:tabs>
        <w:spacing w:line="48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_Toc5009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第三章  用户需求书</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_Toc5009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20</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pPr>
        <w:pStyle w:val="290"/>
        <w:tabs>
          <w:tab w:val="right" w:leader="dot" w:pos="9070"/>
        </w:tabs>
        <w:spacing w:line="48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_Toc30591 </w:instrText>
      </w:r>
      <w:r>
        <w:rPr>
          <w:rFonts w:hint="eastAsia" w:ascii="宋体" w:hAnsi="宋体" w:eastAsia="宋体" w:cs="宋体"/>
          <w:color w:val="auto"/>
          <w:sz w:val="32"/>
          <w:szCs w:val="32"/>
          <w:highlight w:val="none"/>
        </w:rPr>
        <w:fldChar w:fldCharType="separate"/>
      </w:r>
      <w:r>
        <w:rPr>
          <w:rFonts w:hint="eastAsia" w:ascii="宋体" w:hAnsi="宋体" w:eastAsia="宋体" w:cs="宋体"/>
          <w:bCs/>
          <w:color w:val="auto"/>
          <w:sz w:val="32"/>
          <w:szCs w:val="32"/>
          <w:highlight w:val="none"/>
        </w:rPr>
        <w:t>第四章  合同格式（参考）</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_Toc30591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31</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pPr>
        <w:pStyle w:val="290"/>
        <w:tabs>
          <w:tab w:val="right" w:leader="dot" w:pos="9070"/>
        </w:tabs>
        <w:spacing w:line="48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_Toc31761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第五章  投标文件格式</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_Toc31761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40</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pPr>
        <w:pStyle w:val="290"/>
        <w:tabs>
          <w:tab w:val="right" w:leader="dot" w:pos="9070"/>
        </w:tabs>
        <w:spacing w:line="480" w:lineRule="auto"/>
        <w:rPr>
          <w:rFonts w:hint="eastAsia" w:ascii="宋体" w:hAnsi="宋体" w:eastAsia="宋体" w:cs="宋体"/>
          <w:color w:val="auto"/>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_Toc5715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第六章  评标办法</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_Toc5715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68</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pPr>
        <w:pStyle w:val="290"/>
        <w:tabs>
          <w:tab w:val="right" w:leader="dot" w:pos="9070"/>
        </w:tabs>
        <w:rPr>
          <w:rFonts w:hint="eastAsia" w:ascii="宋体" w:hAnsi="宋体" w:eastAsia="宋体" w:cs="宋体"/>
          <w:color w:val="auto"/>
          <w:highlight w:val="none"/>
        </w:rPr>
      </w:pPr>
    </w:p>
    <w:p>
      <w:pPr>
        <w:rPr>
          <w:rFonts w:hint="eastAsia" w:ascii="宋体" w:hAnsi="宋体" w:eastAsia="宋体" w:cs="宋体"/>
          <w:color w:val="auto"/>
          <w:sz w:val="30"/>
          <w:szCs w:val="30"/>
          <w:highlight w:val="none"/>
        </w:rPr>
        <w:sectPr>
          <w:footerReference r:id="rId6" w:type="default"/>
          <w:pgSz w:w="11906" w:h="16838"/>
          <w:pgMar w:top="1134" w:right="1418" w:bottom="1134" w:left="1418" w:header="851" w:footer="992" w:gutter="0"/>
          <w:cols w:space="720" w:num="1"/>
          <w:docGrid w:type="lines" w:linePitch="312" w:charSpace="0"/>
        </w:sectPr>
      </w:pPr>
      <w:r>
        <w:rPr>
          <w:rFonts w:hint="eastAsia" w:ascii="宋体" w:hAnsi="宋体" w:eastAsia="宋体" w:cs="宋体"/>
          <w:color w:val="auto"/>
          <w:szCs w:val="30"/>
          <w:highlight w:val="none"/>
        </w:rPr>
        <w:fldChar w:fldCharType="end"/>
      </w:r>
    </w:p>
    <w:p>
      <w:pPr>
        <w:pStyle w:val="28"/>
        <w:rPr>
          <w:rFonts w:hint="eastAsia" w:ascii="宋体" w:hAnsi="宋体" w:eastAsia="宋体" w:cs="宋体"/>
          <w:color w:val="auto"/>
          <w:highlight w:val="none"/>
        </w:rPr>
      </w:pPr>
    </w:p>
    <w:p>
      <w:pPr>
        <w:spacing w:before="312" w:beforeLines="100" w:after="312" w:afterLines="100"/>
        <w:jc w:val="center"/>
        <w:rPr>
          <w:rFonts w:hint="eastAsia" w:ascii="宋体" w:hAnsi="宋体" w:eastAsia="宋体" w:cs="宋体"/>
          <w:b/>
          <w:color w:val="auto"/>
          <w:sz w:val="44"/>
          <w:highlight w:val="none"/>
        </w:rPr>
      </w:pPr>
    </w:p>
    <w:p>
      <w:pPr>
        <w:spacing w:line="360" w:lineRule="auto"/>
        <w:jc w:val="center"/>
        <w:rPr>
          <w:rFonts w:hint="eastAsia" w:ascii="宋体" w:hAnsi="宋体" w:eastAsia="宋体" w:cs="宋体"/>
          <w:b/>
          <w:color w:val="auto"/>
          <w:sz w:val="44"/>
          <w:highlight w:val="none"/>
        </w:rPr>
      </w:pPr>
    </w:p>
    <w:p>
      <w:pPr>
        <w:spacing w:line="360" w:lineRule="auto"/>
        <w:jc w:val="center"/>
        <w:rPr>
          <w:rFonts w:hint="eastAsia" w:ascii="宋体" w:hAnsi="宋体" w:eastAsia="宋体" w:cs="宋体"/>
          <w:b/>
          <w:color w:val="auto"/>
          <w:sz w:val="44"/>
          <w:highlight w:val="none"/>
        </w:rPr>
      </w:pPr>
    </w:p>
    <w:p>
      <w:pPr>
        <w:spacing w:line="360" w:lineRule="auto"/>
        <w:jc w:val="center"/>
        <w:rPr>
          <w:rFonts w:hint="eastAsia" w:ascii="宋体" w:hAnsi="宋体" w:eastAsia="宋体" w:cs="宋体"/>
          <w:b/>
          <w:color w:val="auto"/>
          <w:sz w:val="44"/>
          <w:highlight w:val="none"/>
        </w:rPr>
      </w:pPr>
    </w:p>
    <w:p>
      <w:pPr>
        <w:spacing w:line="360" w:lineRule="auto"/>
        <w:jc w:val="center"/>
        <w:rPr>
          <w:rFonts w:hint="eastAsia" w:ascii="宋体" w:hAnsi="宋体" w:eastAsia="宋体" w:cs="宋体"/>
          <w:b/>
          <w:color w:val="auto"/>
          <w:sz w:val="44"/>
          <w:highlight w:val="none"/>
        </w:rPr>
      </w:pPr>
    </w:p>
    <w:p>
      <w:pPr>
        <w:spacing w:line="360" w:lineRule="auto"/>
        <w:jc w:val="center"/>
        <w:rPr>
          <w:rFonts w:hint="eastAsia" w:ascii="宋体" w:hAnsi="宋体" w:eastAsia="宋体" w:cs="宋体"/>
          <w:b/>
          <w:color w:val="auto"/>
          <w:sz w:val="44"/>
          <w:highlight w:val="none"/>
        </w:rPr>
      </w:pPr>
    </w:p>
    <w:p>
      <w:pPr>
        <w:spacing w:line="360" w:lineRule="auto"/>
        <w:jc w:val="center"/>
        <w:rPr>
          <w:rFonts w:hint="eastAsia" w:ascii="宋体" w:hAnsi="宋体" w:eastAsia="宋体" w:cs="宋体"/>
          <w:b/>
          <w:color w:val="auto"/>
          <w:sz w:val="44"/>
          <w:highlight w:val="none"/>
        </w:rPr>
      </w:pPr>
    </w:p>
    <w:p>
      <w:pPr>
        <w:spacing w:line="360" w:lineRule="auto"/>
        <w:jc w:val="center"/>
        <w:rPr>
          <w:rFonts w:hint="eastAsia" w:ascii="宋体" w:hAnsi="宋体" w:eastAsia="宋体" w:cs="宋体"/>
          <w:b/>
          <w:color w:val="auto"/>
          <w:sz w:val="44"/>
          <w:highlight w:val="none"/>
        </w:rPr>
      </w:pPr>
    </w:p>
    <w:p>
      <w:pPr>
        <w:jc w:val="center"/>
        <w:outlineLvl w:val="0"/>
        <w:rPr>
          <w:rFonts w:hint="eastAsia" w:ascii="宋体" w:hAnsi="宋体" w:eastAsia="宋体" w:cs="宋体"/>
          <w:b/>
          <w:color w:val="auto"/>
          <w:sz w:val="44"/>
          <w:szCs w:val="44"/>
          <w:highlight w:val="none"/>
        </w:rPr>
      </w:pPr>
      <w:bookmarkStart w:id="1" w:name="_Toc12054"/>
      <w:r>
        <w:rPr>
          <w:rFonts w:hint="eastAsia" w:ascii="宋体" w:hAnsi="宋体" w:eastAsia="宋体" w:cs="宋体"/>
          <w:b/>
          <w:color w:val="auto"/>
          <w:sz w:val="44"/>
          <w:szCs w:val="44"/>
          <w:highlight w:val="none"/>
        </w:rPr>
        <w:t>第一章</w:t>
      </w:r>
      <w:bookmarkStart w:id="2" w:name="_Toc477186208"/>
      <w:r>
        <w:rPr>
          <w:rFonts w:hint="eastAsia" w:ascii="宋体" w:hAnsi="宋体" w:eastAsia="宋体" w:cs="宋体"/>
          <w:b/>
          <w:color w:val="auto"/>
          <w:sz w:val="44"/>
          <w:szCs w:val="44"/>
          <w:highlight w:val="none"/>
        </w:rPr>
        <w:t xml:space="preserve">  投标邀请函</w:t>
      </w:r>
      <w:bookmarkEnd w:id="1"/>
      <w:bookmarkEnd w:id="2"/>
    </w:p>
    <w:p>
      <w:pPr>
        <w:tabs>
          <w:tab w:val="left" w:pos="6420"/>
        </w:tabs>
        <w:adjustRightInd w:val="0"/>
        <w:snapToGrid w:val="0"/>
        <w:spacing w:line="360" w:lineRule="auto"/>
        <w:jc w:val="center"/>
        <w:rPr>
          <w:rFonts w:hint="eastAsia" w:ascii="宋体" w:hAnsi="宋体" w:eastAsia="宋体" w:cs="宋体"/>
          <w:b/>
          <w:color w:val="auto"/>
          <w:kern w:val="28"/>
          <w:sz w:val="32"/>
          <w:highlight w:val="none"/>
        </w:rPr>
      </w:pPr>
      <w:r>
        <w:rPr>
          <w:rFonts w:hint="eastAsia" w:ascii="宋体" w:hAnsi="宋体" w:eastAsia="宋体" w:cs="宋体"/>
          <w:color w:val="auto"/>
          <w:sz w:val="24"/>
          <w:highlight w:val="none"/>
        </w:rPr>
        <w:br w:type="page"/>
      </w:r>
      <w:r>
        <w:rPr>
          <w:rFonts w:hint="eastAsia" w:ascii="宋体" w:hAnsi="宋体" w:eastAsia="宋体" w:cs="宋体"/>
          <w:b/>
          <w:color w:val="auto"/>
          <w:kern w:val="28"/>
          <w:sz w:val="32"/>
          <w:highlight w:val="none"/>
        </w:rPr>
        <w:t>投 标 邀 请 函</w:t>
      </w:r>
    </w:p>
    <w:p>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[项目编号：</w:t>
      </w:r>
      <w:r>
        <w:rPr>
          <w:rFonts w:hint="eastAsia" w:ascii="宋体" w:hAnsi="宋体" w:eastAsia="宋体" w:cs="宋体"/>
          <w:color w:val="auto"/>
          <w:szCs w:val="24"/>
          <w:highlight w:val="none"/>
          <w:lang w:eastAsia="zh-CN"/>
        </w:rPr>
        <w:t>M4400000707524426</w:t>
      </w:r>
      <w:r>
        <w:rPr>
          <w:rFonts w:hint="eastAsia" w:ascii="宋体" w:hAnsi="宋体" w:eastAsia="宋体" w:cs="宋体"/>
          <w:color w:val="auto"/>
          <w:szCs w:val="24"/>
          <w:highlight w:val="none"/>
        </w:rPr>
        <w:t>]</w:t>
      </w:r>
    </w:p>
    <w:p>
      <w:pPr>
        <w:spacing w:line="360" w:lineRule="auto"/>
        <w:ind w:left="-359" w:leftChars="-171" w:firstLine="464" w:firstLineChars="220"/>
        <w:rPr>
          <w:rFonts w:hint="eastAsia" w:ascii="宋体" w:hAnsi="宋体" w:eastAsia="宋体" w:cs="宋体"/>
          <w:b/>
          <w:color w:val="auto"/>
          <w:kern w:val="28"/>
          <w:sz w:val="32"/>
          <w:highlight w:val="none"/>
        </w:rPr>
      </w:pPr>
      <w:r>
        <w:rPr>
          <w:rFonts w:hint="eastAsia" w:ascii="宋体" w:hAnsi="宋体" w:eastAsia="宋体" w:cs="宋体"/>
          <w:b/>
          <w:color w:val="auto"/>
          <w:kern w:val="28"/>
          <w:highlight w:val="none"/>
        </w:rPr>
        <w:t>广东省机电设备招标有限公司</w:t>
      </w:r>
      <w:r>
        <w:rPr>
          <w:rFonts w:hint="eastAsia" w:ascii="宋体" w:hAnsi="宋体" w:eastAsia="宋体" w:cs="宋体"/>
          <w:color w:val="auto"/>
          <w:kern w:val="28"/>
          <w:highlight w:val="none"/>
        </w:rPr>
        <w:t>（以下称“招标代理机构”）受</w:t>
      </w:r>
      <w:r>
        <w:rPr>
          <w:rFonts w:hint="eastAsia" w:ascii="宋体" w:hAnsi="宋体" w:eastAsia="宋体" w:cs="宋体"/>
          <w:b/>
          <w:bCs/>
          <w:color w:val="auto"/>
          <w:highlight w:val="none"/>
          <w:lang w:eastAsia="zh-CN"/>
        </w:rPr>
        <w:t>广东南方报业传媒集团物业管理有限公司</w:t>
      </w:r>
      <w:r>
        <w:rPr>
          <w:rFonts w:hint="eastAsia" w:ascii="宋体" w:hAnsi="宋体" w:eastAsia="宋体" w:cs="宋体"/>
          <w:color w:val="auto"/>
          <w:kern w:val="28"/>
          <w:highlight w:val="none"/>
        </w:rPr>
        <w:t>（以下称“招标人”）的委托，就</w:t>
      </w:r>
      <w:r>
        <w:rPr>
          <w:rFonts w:hint="eastAsia" w:ascii="宋体" w:hAnsi="宋体" w:eastAsia="宋体" w:cs="宋体"/>
          <w:b/>
          <w:bCs/>
          <w:color w:val="auto"/>
          <w:highlight w:val="none"/>
          <w:lang w:eastAsia="zh-CN"/>
        </w:rPr>
        <w:t>南方报业传媒集团402报告厅LED显示屏建设项目</w:t>
      </w:r>
      <w:r>
        <w:rPr>
          <w:rFonts w:hint="eastAsia" w:ascii="宋体" w:hAnsi="宋体" w:eastAsia="宋体" w:cs="宋体"/>
          <w:color w:val="auto"/>
          <w:kern w:val="28"/>
          <w:highlight w:val="none"/>
        </w:rPr>
        <w:t>进行国内公开招标。</w:t>
      </w:r>
      <w:r>
        <w:rPr>
          <w:rFonts w:hint="eastAsia" w:ascii="宋体" w:hAnsi="宋体" w:eastAsia="宋体" w:cs="宋体"/>
          <w:color w:val="auto"/>
          <w:highlight w:val="none"/>
        </w:rPr>
        <w:t xml:space="preserve">有关事项如下： </w:t>
      </w:r>
    </w:p>
    <w:p>
      <w:pPr>
        <w:tabs>
          <w:tab w:val="left" w:pos="0"/>
        </w:tabs>
        <w:spacing w:line="360" w:lineRule="auto"/>
        <w:outlineLvl w:val="0"/>
        <w:rPr>
          <w:rFonts w:hint="eastAsia" w:ascii="宋体" w:hAnsi="宋体" w:eastAsia="宋体" w:cs="宋体"/>
          <w:b/>
          <w:color w:val="auto"/>
          <w:highlight w:val="none"/>
        </w:rPr>
      </w:pPr>
      <w:bookmarkStart w:id="3" w:name="_Toc19867"/>
      <w:bookmarkStart w:id="4" w:name="_Toc476177879"/>
      <w:bookmarkStart w:id="5" w:name="_Toc476177325"/>
      <w:bookmarkStart w:id="6" w:name="_Toc477185848"/>
      <w:bookmarkStart w:id="7" w:name="_Toc477186209"/>
      <w:r>
        <w:rPr>
          <w:rFonts w:hint="eastAsia" w:ascii="宋体" w:hAnsi="宋体" w:eastAsia="宋体" w:cs="宋体"/>
          <w:b/>
          <w:color w:val="auto"/>
          <w:highlight w:val="none"/>
        </w:rPr>
        <w:t>一、项目概况</w:t>
      </w:r>
      <w:bookmarkEnd w:id="3"/>
      <w:bookmarkEnd w:id="4"/>
      <w:bookmarkEnd w:id="5"/>
      <w:bookmarkEnd w:id="6"/>
      <w:bookmarkEnd w:id="7"/>
    </w:p>
    <w:p>
      <w:pPr>
        <w:spacing w:line="360" w:lineRule="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4"/>
          <w:highlight w:val="none"/>
        </w:rPr>
        <w:t>项目编号：</w:t>
      </w:r>
      <w:r>
        <w:rPr>
          <w:rFonts w:hint="eastAsia" w:ascii="宋体" w:hAnsi="宋体" w:eastAsia="宋体" w:cs="宋体"/>
          <w:color w:val="auto"/>
          <w:szCs w:val="24"/>
          <w:highlight w:val="none"/>
          <w:lang w:eastAsia="zh-CN"/>
        </w:rPr>
        <w:t>M4400000707524426</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项目名称：</w:t>
      </w:r>
      <w:r>
        <w:rPr>
          <w:rFonts w:hint="eastAsia" w:ascii="宋体" w:hAnsi="宋体" w:eastAsia="宋体" w:cs="宋体"/>
          <w:b/>
          <w:color w:val="auto"/>
          <w:szCs w:val="21"/>
          <w:highlight w:val="none"/>
          <w:lang w:eastAsia="zh-CN"/>
        </w:rPr>
        <w:t>南方报业传媒集团402报告厅LED显示屏建设项目</w:t>
      </w:r>
      <w:r>
        <w:rPr>
          <w:rFonts w:hint="eastAsia" w:ascii="宋体" w:hAnsi="宋体" w:eastAsia="宋体" w:cs="宋体"/>
          <w:b/>
          <w:color w:val="auto"/>
          <w:szCs w:val="21"/>
          <w:highlight w:val="none"/>
        </w:rPr>
        <w:t>。</w:t>
      </w:r>
    </w:p>
    <w:p>
      <w:pPr>
        <w:tabs>
          <w:tab w:val="left" w:pos="540"/>
        </w:tabs>
        <w:spacing w:line="360" w:lineRule="auto"/>
        <w:outlineLvl w:val="0"/>
        <w:rPr>
          <w:rFonts w:hint="eastAsia" w:ascii="宋体" w:hAnsi="宋体" w:eastAsia="宋体" w:cs="宋体"/>
          <w:color w:val="auto"/>
          <w:szCs w:val="21"/>
          <w:highlight w:val="none"/>
          <w:lang w:val="en-US" w:eastAsia="zh-CN"/>
        </w:rPr>
      </w:pPr>
      <w:bookmarkStart w:id="8" w:name="_Toc17501"/>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项目预算金额</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含税</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本</w:t>
      </w: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lang w:val="en-US" w:eastAsia="zh-CN"/>
        </w:rPr>
        <w:t>招标价设最高限价，最高限价为157万。</w:t>
      </w:r>
    </w:p>
    <w:p>
      <w:pPr>
        <w:tabs>
          <w:tab w:val="left" w:pos="540"/>
        </w:tabs>
        <w:spacing w:line="360" w:lineRule="auto"/>
        <w:outlineLvl w:val="0"/>
        <w:rPr>
          <w:rFonts w:hint="eastAsia" w:ascii="宋体" w:hAnsi="宋体" w:eastAsia="宋体" w:cs="宋体"/>
          <w:b/>
          <w:color w:val="auto"/>
          <w:highlight w:val="none"/>
        </w:rPr>
      </w:pPr>
      <w:r>
        <w:rPr>
          <w:rFonts w:hint="eastAsia" w:ascii="宋体" w:hAnsi="宋体" w:eastAsia="宋体" w:cs="宋体"/>
          <w:b/>
          <w:color w:val="auto"/>
          <w:highlight w:val="none"/>
          <w:lang w:val="zh-CN"/>
        </w:rPr>
        <w:t>注：</w:t>
      </w:r>
      <w:r>
        <w:rPr>
          <w:rFonts w:hint="eastAsia" w:ascii="宋体" w:hAnsi="宋体" w:eastAsia="宋体" w:cs="宋体"/>
          <w:b/>
          <w:color w:val="auto"/>
          <w:highlight w:val="none"/>
        </w:rPr>
        <w:t>如投标报价超过最高限价，则其投标文件作无效投标处理。</w:t>
      </w:r>
      <w:bookmarkEnd w:id="8"/>
    </w:p>
    <w:p>
      <w:pPr>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采购数量：1项</w:t>
      </w:r>
    </w:p>
    <w:p>
      <w:pPr>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项目内容及要求：</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noWrap w:val="0"/>
            <w:vAlign w:val="center"/>
          </w:tcPr>
          <w:p>
            <w:pPr>
              <w:spacing w:line="360" w:lineRule="auto"/>
              <w:jc w:val="center"/>
              <w:rPr>
                <w:rFonts w:hint="eastAsia" w:ascii="宋体" w:hAnsi="宋体" w:eastAsia="宋体" w:cs="宋体"/>
                <w:color w:val="auto"/>
                <w:szCs w:val="21"/>
                <w:highlight w:val="none"/>
              </w:rPr>
            </w:pPr>
            <w:bookmarkStart w:id="9" w:name="_Toc477186210"/>
            <w:bookmarkStart w:id="10" w:name="_Toc476177326"/>
            <w:bookmarkStart w:id="11" w:name="_Toc476177880"/>
            <w:bookmarkStart w:id="12" w:name="_Toc477185849"/>
            <w:r>
              <w:rPr>
                <w:rFonts w:hint="eastAsia" w:ascii="宋体" w:hAnsi="宋体" w:eastAsia="宋体" w:cs="宋体"/>
                <w:color w:val="auto"/>
                <w:szCs w:val="21"/>
                <w:highlight w:val="none"/>
              </w:rPr>
              <w:t>序号</w:t>
            </w:r>
          </w:p>
        </w:tc>
        <w:tc>
          <w:tcPr>
            <w:tcW w:w="4974"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采购内容/用途</w:t>
            </w:r>
          </w:p>
        </w:tc>
        <w:tc>
          <w:tcPr>
            <w:tcW w:w="3151"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详细设备清单及规格说明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noWrap w:val="0"/>
            <w:vAlign w:val="center"/>
          </w:tcPr>
          <w:p>
            <w:pPr>
              <w:shd w:val="clear" w:color="auto" w:fill="auto"/>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4974" w:type="dxa"/>
            <w:noWrap w:val="0"/>
            <w:vAlign w:val="center"/>
          </w:tcPr>
          <w:p>
            <w:pPr>
              <w:shd w:val="clear" w:color="auto" w:fill="auto"/>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南方报业传媒集团402报告厅LED显示屏建设项目</w:t>
            </w:r>
          </w:p>
        </w:tc>
        <w:tc>
          <w:tcPr>
            <w:tcW w:w="3151" w:type="dxa"/>
            <w:noWrap w:val="0"/>
            <w:vAlign w:val="center"/>
          </w:tcPr>
          <w:p>
            <w:pPr>
              <w:shd w:val="clear" w:color="auto" w:fill="auto"/>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详见用户需求</w:t>
            </w:r>
          </w:p>
        </w:tc>
      </w:tr>
    </w:tbl>
    <w:p>
      <w:pPr>
        <w:shd w:val="clear" w:color="auto" w:fill="auto"/>
        <w:tabs>
          <w:tab w:val="left" w:pos="540"/>
        </w:tabs>
        <w:spacing w:line="360" w:lineRule="auto"/>
        <w:outlineLvl w:val="0"/>
        <w:rPr>
          <w:rFonts w:hint="eastAsia" w:ascii="宋体" w:hAnsi="宋体" w:eastAsia="宋体" w:cs="宋体"/>
          <w:b/>
          <w:color w:val="auto"/>
          <w:highlight w:val="none"/>
        </w:rPr>
      </w:pPr>
      <w:bookmarkStart w:id="13" w:name="_Toc22610"/>
      <w:r>
        <w:rPr>
          <w:rFonts w:hint="eastAsia" w:ascii="宋体" w:hAnsi="宋体" w:eastAsia="宋体" w:cs="宋体"/>
          <w:b/>
          <w:color w:val="auto"/>
          <w:highlight w:val="none"/>
          <w:lang w:val="zh-CN"/>
        </w:rPr>
        <w:t>注：投标人应对项目所有的内容进行投标，不允许只对其中部分内容进行投标</w:t>
      </w:r>
      <w:r>
        <w:rPr>
          <w:rFonts w:hint="eastAsia" w:ascii="宋体" w:hAnsi="宋体" w:eastAsia="宋体" w:cs="宋体"/>
          <w:b/>
          <w:color w:val="auto"/>
          <w:highlight w:val="none"/>
        </w:rPr>
        <w:t>。</w:t>
      </w:r>
      <w:bookmarkEnd w:id="13"/>
    </w:p>
    <w:p>
      <w:pPr>
        <w:shd w:val="clear" w:color="auto" w:fill="auto"/>
        <w:tabs>
          <w:tab w:val="left" w:pos="540"/>
        </w:tabs>
        <w:spacing w:line="360" w:lineRule="auto"/>
        <w:outlineLvl w:val="0"/>
        <w:rPr>
          <w:color w:val="auto"/>
          <w:highlight w:val="none"/>
        </w:rPr>
      </w:pPr>
      <w:bookmarkStart w:id="14" w:name="_Toc9782"/>
      <w:r>
        <w:rPr>
          <w:rFonts w:hint="eastAsia" w:ascii="宋体" w:hAnsi="宋体" w:eastAsia="宋体" w:cs="宋体"/>
          <w:b/>
          <w:color w:val="auto"/>
          <w:highlight w:val="none"/>
        </w:rPr>
        <w:t>二、合格投标人资格条件</w:t>
      </w:r>
      <w:bookmarkEnd w:id="9"/>
      <w:bookmarkEnd w:id="10"/>
      <w:bookmarkEnd w:id="11"/>
      <w:bookmarkEnd w:id="12"/>
      <w:bookmarkEnd w:id="14"/>
    </w:p>
    <w:p>
      <w:pPr>
        <w:shd w:val="clear" w:color="auto" w:fill="auto"/>
        <w:spacing w:line="360" w:lineRule="auto"/>
        <w:ind w:left="-359" w:leftChars="-171" w:firstLine="462" w:firstLineChars="220"/>
        <w:rPr>
          <w:rFonts w:hint="eastAsia" w:ascii="宋体" w:hAnsi="宋体" w:eastAsia="宋体" w:cs="宋体"/>
          <w:bCs/>
          <w:color w:val="auto"/>
          <w:kern w:val="28"/>
          <w:szCs w:val="22"/>
          <w:highlight w:val="none"/>
        </w:rPr>
      </w:pPr>
      <w:bookmarkStart w:id="15" w:name="_Toc477186211"/>
      <w:bookmarkStart w:id="16" w:name="_Toc476177327"/>
      <w:bookmarkStart w:id="17" w:name="_Toc477185850"/>
      <w:bookmarkStart w:id="18" w:name="_Toc476177881"/>
      <w:r>
        <w:rPr>
          <w:rFonts w:hint="eastAsia" w:ascii="宋体" w:hAnsi="宋体" w:eastAsia="宋体" w:cs="宋体"/>
          <w:bCs/>
          <w:color w:val="auto"/>
          <w:kern w:val="28"/>
          <w:szCs w:val="22"/>
          <w:highlight w:val="none"/>
        </w:rPr>
        <w:t>2.1投标人必须是在中华人民共和国范围内注册的独立法人，持有工商行政管理部门核发的有效的营业执照(若持有“一照一码”版本营业执照，则无需提交组织机构代码证及税务登记证）。</w:t>
      </w:r>
    </w:p>
    <w:p>
      <w:pPr>
        <w:shd w:val="clear" w:color="auto" w:fill="auto"/>
        <w:spacing w:line="360" w:lineRule="auto"/>
        <w:ind w:left="-359" w:leftChars="-171" w:firstLine="462" w:firstLineChars="220"/>
        <w:rPr>
          <w:rFonts w:hint="eastAsia" w:ascii="宋体" w:hAnsi="宋体" w:eastAsia="宋体" w:cs="宋体"/>
          <w:bCs/>
          <w:color w:val="auto"/>
          <w:kern w:val="28"/>
          <w:szCs w:val="22"/>
          <w:highlight w:val="none"/>
        </w:rPr>
      </w:pPr>
      <w:r>
        <w:rPr>
          <w:rFonts w:hint="eastAsia" w:ascii="宋体" w:hAnsi="宋体" w:eastAsia="宋体" w:cs="宋体"/>
          <w:bCs/>
          <w:color w:val="auto"/>
          <w:kern w:val="28"/>
          <w:szCs w:val="22"/>
          <w:highlight w:val="none"/>
        </w:rPr>
        <w:t>2.</w:t>
      </w:r>
      <w:r>
        <w:rPr>
          <w:rFonts w:hint="eastAsia" w:ascii="宋体" w:hAnsi="宋体" w:eastAsia="宋体" w:cs="宋体"/>
          <w:bCs/>
          <w:color w:val="auto"/>
          <w:kern w:val="28"/>
          <w:szCs w:val="22"/>
          <w:highlight w:val="none"/>
          <w:lang w:val="en-US" w:eastAsia="zh-CN"/>
        </w:rPr>
        <w:t>2</w:t>
      </w:r>
      <w:r>
        <w:rPr>
          <w:rFonts w:hint="eastAsia" w:ascii="宋体" w:hAnsi="宋体" w:eastAsia="宋体" w:cs="宋体"/>
          <w:bCs/>
          <w:color w:val="auto"/>
          <w:kern w:val="28"/>
          <w:szCs w:val="22"/>
          <w:highlight w:val="none"/>
        </w:rPr>
        <w:t>投标人所属的单位负责人为同一人或者存在控股、管理等关联关系的不同供应商，不得参加同一合同项下的采购活动，投标人应提交书面声明</w:t>
      </w:r>
      <w:r>
        <w:rPr>
          <w:rFonts w:hint="eastAsia" w:ascii="宋体" w:hAnsi="宋体" w:cs="宋体"/>
          <w:bCs/>
          <w:color w:val="auto"/>
          <w:kern w:val="28"/>
          <w:szCs w:val="22"/>
          <w:highlight w:val="none"/>
          <w:lang w:eastAsia="zh-CN"/>
        </w:rPr>
        <w:t>（</w:t>
      </w:r>
      <w:r>
        <w:rPr>
          <w:rFonts w:hint="eastAsia" w:ascii="宋体" w:hAnsi="宋体" w:cs="宋体"/>
          <w:bCs/>
          <w:color w:val="auto"/>
          <w:kern w:val="28"/>
          <w:szCs w:val="22"/>
          <w:highlight w:val="none"/>
          <w:lang w:val="en-US" w:eastAsia="zh-CN"/>
        </w:rPr>
        <w:t>格式自拟，须加盖公章</w:t>
      </w:r>
      <w:r>
        <w:rPr>
          <w:rFonts w:hint="eastAsia" w:ascii="宋体" w:hAnsi="宋体" w:cs="宋体"/>
          <w:bCs/>
          <w:color w:val="auto"/>
          <w:kern w:val="28"/>
          <w:szCs w:val="22"/>
          <w:highlight w:val="none"/>
          <w:lang w:eastAsia="zh-CN"/>
        </w:rPr>
        <w:t>）</w:t>
      </w:r>
      <w:r>
        <w:rPr>
          <w:rFonts w:hint="eastAsia" w:ascii="宋体" w:hAnsi="宋体" w:eastAsia="宋体" w:cs="宋体"/>
          <w:bCs/>
          <w:color w:val="auto"/>
          <w:kern w:val="28"/>
          <w:szCs w:val="22"/>
          <w:highlight w:val="none"/>
        </w:rPr>
        <w:t>。</w:t>
      </w:r>
    </w:p>
    <w:p>
      <w:pPr>
        <w:shd w:val="clear" w:color="auto" w:fill="auto"/>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rPr>
        <w:t>2.</w:t>
      </w:r>
      <w:r>
        <w:rPr>
          <w:rFonts w:hint="eastAsia" w:ascii="宋体" w:hAnsi="宋体" w:cs="宋体"/>
          <w:bCs/>
          <w:color w:val="auto"/>
          <w:kern w:val="28"/>
          <w:szCs w:val="22"/>
          <w:highlight w:val="none"/>
          <w:lang w:val="en-US" w:eastAsia="zh-CN"/>
        </w:rPr>
        <w:t>3投标人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hint="eastAsia" w:ascii="宋体" w:hAnsi="宋体" w:cs="宋体"/>
          <w:bCs/>
          <w:color w:val="auto"/>
          <w:kern w:val="28"/>
          <w:szCs w:val="22"/>
          <w:highlight w:val="none"/>
          <w:lang w:eastAsia="zh-CN"/>
        </w:rPr>
        <w:t>（</w:t>
      </w:r>
      <w:r>
        <w:rPr>
          <w:rFonts w:hint="eastAsia" w:ascii="宋体" w:hAnsi="宋体" w:cs="宋体"/>
          <w:bCs/>
          <w:color w:val="auto"/>
          <w:kern w:val="28"/>
          <w:szCs w:val="22"/>
          <w:highlight w:val="none"/>
          <w:lang w:val="en-US" w:eastAsia="zh-CN"/>
        </w:rPr>
        <w:t>格式自拟，须加盖公章</w:t>
      </w:r>
      <w:r>
        <w:rPr>
          <w:rFonts w:hint="eastAsia" w:ascii="宋体" w:hAnsi="宋体" w:cs="宋体"/>
          <w:bCs/>
          <w:color w:val="auto"/>
          <w:kern w:val="28"/>
          <w:szCs w:val="22"/>
          <w:highlight w:val="none"/>
          <w:lang w:eastAsia="zh-CN"/>
        </w:rPr>
        <w:t>）</w:t>
      </w:r>
    </w:p>
    <w:p>
      <w:pPr>
        <w:shd w:val="clear" w:color="auto" w:fill="auto"/>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lang w:val="en-US" w:eastAsia="zh-CN"/>
        </w:rPr>
        <w:t>2.4</w:t>
      </w:r>
      <w:r>
        <w:rPr>
          <w:rFonts w:hint="eastAsia" w:ascii="宋体" w:hAnsi="宋体" w:cs="宋体"/>
          <w:bCs/>
          <w:color w:val="auto"/>
          <w:kern w:val="28"/>
          <w:szCs w:val="22"/>
          <w:highlight w:val="none"/>
        </w:rPr>
        <w:t>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p>
    <w:p>
      <w:pPr>
        <w:shd w:val="clear" w:color="auto" w:fill="auto"/>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rPr>
        <w:t>2.</w:t>
      </w:r>
      <w:r>
        <w:rPr>
          <w:rFonts w:hint="eastAsia" w:ascii="宋体" w:hAnsi="宋体" w:cs="宋体"/>
          <w:bCs/>
          <w:color w:val="auto"/>
          <w:kern w:val="28"/>
          <w:szCs w:val="22"/>
          <w:highlight w:val="none"/>
          <w:lang w:val="en-US" w:eastAsia="zh-CN"/>
        </w:rPr>
        <w:t>5</w:t>
      </w:r>
      <w:r>
        <w:rPr>
          <w:rFonts w:hint="eastAsia" w:ascii="宋体" w:hAnsi="宋体" w:cs="宋体"/>
          <w:bCs/>
          <w:color w:val="auto"/>
          <w:kern w:val="28"/>
          <w:szCs w:val="22"/>
          <w:highlight w:val="none"/>
        </w:rPr>
        <w:t>投标人提供的</w:t>
      </w:r>
      <w:r>
        <w:rPr>
          <w:rFonts w:hint="eastAsia" w:ascii="宋体" w:hAnsi="宋体" w:cs="宋体"/>
          <w:bCs/>
          <w:color w:val="auto"/>
          <w:kern w:val="28"/>
          <w:szCs w:val="22"/>
          <w:highlight w:val="none"/>
          <w:lang w:val="en-US" w:eastAsia="zh-CN"/>
        </w:rPr>
        <w:t>LED</w:t>
      </w:r>
      <w:r>
        <w:rPr>
          <w:rFonts w:hint="eastAsia" w:ascii="宋体" w:hAnsi="宋体" w:cs="宋体"/>
          <w:color w:val="auto"/>
          <w:szCs w:val="21"/>
          <w:highlight w:val="none"/>
        </w:rPr>
        <w:t>大屏</w:t>
      </w:r>
      <w:r>
        <w:rPr>
          <w:rFonts w:hint="eastAsia" w:ascii="宋体" w:hAnsi="宋体" w:cs="宋体"/>
          <w:bCs/>
          <w:color w:val="auto"/>
          <w:kern w:val="28"/>
          <w:szCs w:val="22"/>
          <w:highlight w:val="none"/>
        </w:rPr>
        <w:t>设备采用COB全倒装封装工艺的全彩显示屏，像素间距：≤1.57mm（提供拟投设备的相关佐证材料）。</w:t>
      </w:r>
    </w:p>
    <w:p>
      <w:pPr>
        <w:pStyle w:val="53"/>
        <w:rPr>
          <w:rFonts w:hint="default" w:eastAsia="宋体"/>
          <w:color w:val="auto"/>
          <w:highlight w:val="none"/>
          <w:lang w:val="en-US" w:eastAsia="zh-CN"/>
        </w:rPr>
      </w:pPr>
      <w:r>
        <w:rPr>
          <w:rFonts w:hint="eastAsia" w:ascii="宋体" w:hAnsi="宋体" w:cs="宋体"/>
          <w:bCs/>
          <w:color w:val="auto"/>
          <w:kern w:val="28"/>
          <w:szCs w:val="22"/>
          <w:highlight w:val="none"/>
          <w:lang w:val="en-US" w:eastAsia="zh-CN"/>
        </w:rPr>
        <w:t xml:space="preserve">2.6 </w:t>
      </w:r>
      <w:r>
        <w:rPr>
          <w:rFonts w:hint="eastAsia" w:ascii="宋体" w:hAnsi="宋体" w:cs="宋体"/>
          <w:bCs/>
          <w:color w:val="auto"/>
          <w:kern w:val="28"/>
          <w:szCs w:val="22"/>
          <w:highlight w:val="none"/>
        </w:rPr>
        <w:t>本项目不接受备选方案，</w:t>
      </w:r>
      <w:r>
        <w:rPr>
          <w:rFonts w:hint="eastAsia" w:ascii="宋体" w:hAnsi="宋体" w:cs="宋体"/>
          <w:bCs/>
          <w:color w:val="auto"/>
          <w:kern w:val="28"/>
          <w:szCs w:val="22"/>
          <w:highlight w:val="none"/>
          <w:lang w:val="en-US" w:eastAsia="zh-CN"/>
        </w:rPr>
        <w:t>不允许违法分包或转包，</w:t>
      </w:r>
      <w:r>
        <w:rPr>
          <w:rFonts w:hint="eastAsia" w:ascii="宋体" w:hAnsi="宋体" w:cs="宋体"/>
          <w:bCs/>
          <w:color w:val="auto"/>
          <w:kern w:val="28"/>
          <w:szCs w:val="22"/>
          <w:highlight w:val="none"/>
        </w:rPr>
        <w:t>不接受联合体投标。</w:t>
      </w:r>
    </w:p>
    <w:p>
      <w:pPr>
        <w:pStyle w:val="53"/>
        <w:rPr>
          <w:rFonts w:hint="eastAsia" w:ascii="宋体" w:hAnsi="宋体" w:eastAsia="宋体" w:cs="宋体"/>
          <w:color w:val="auto"/>
          <w:highlight w:val="none"/>
          <w:lang w:val="en-US" w:eastAsia="zh-CN"/>
        </w:rPr>
      </w:pPr>
    </w:p>
    <w:p>
      <w:pPr>
        <w:shd w:val="clear" w:color="auto" w:fill="auto"/>
        <w:tabs>
          <w:tab w:val="left" w:pos="540"/>
        </w:tabs>
        <w:spacing w:line="360" w:lineRule="auto"/>
        <w:outlineLvl w:val="0"/>
        <w:rPr>
          <w:rFonts w:hint="eastAsia" w:ascii="宋体" w:hAnsi="宋体" w:eastAsia="宋体" w:cs="宋体"/>
          <w:b/>
          <w:color w:val="auto"/>
          <w:highlight w:val="none"/>
        </w:rPr>
      </w:pPr>
      <w:bookmarkStart w:id="19" w:name="_Toc2035"/>
      <w:r>
        <w:rPr>
          <w:rFonts w:hint="eastAsia" w:ascii="宋体" w:hAnsi="宋体" w:eastAsia="宋体" w:cs="宋体"/>
          <w:b/>
          <w:color w:val="auto"/>
          <w:highlight w:val="none"/>
        </w:rPr>
        <w:t>三、获取招标文件的</w:t>
      </w:r>
      <w:bookmarkEnd w:id="15"/>
      <w:bookmarkEnd w:id="16"/>
      <w:bookmarkEnd w:id="17"/>
      <w:bookmarkEnd w:id="18"/>
      <w:r>
        <w:rPr>
          <w:rFonts w:hint="eastAsia" w:ascii="宋体" w:hAnsi="宋体" w:eastAsia="宋体" w:cs="宋体"/>
          <w:b/>
          <w:color w:val="auto"/>
          <w:highlight w:val="none"/>
        </w:rPr>
        <w:t>方式</w:t>
      </w:r>
      <w:bookmarkEnd w:id="19"/>
    </w:p>
    <w:p>
      <w:pPr>
        <w:spacing w:line="360" w:lineRule="auto"/>
        <w:ind w:left="-359" w:leftChars="-171" w:firstLine="462" w:firstLineChars="220"/>
        <w:rPr>
          <w:rFonts w:hint="eastAsia" w:ascii="宋体" w:hAnsi="宋体" w:eastAsia="宋体" w:cs="宋体"/>
          <w:bCs/>
          <w:color w:val="auto"/>
          <w:kern w:val="28"/>
          <w:szCs w:val="22"/>
          <w:highlight w:val="none"/>
        </w:rPr>
      </w:pPr>
      <w:r>
        <w:rPr>
          <w:rFonts w:hint="eastAsia" w:ascii="宋体" w:hAnsi="宋体" w:eastAsia="宋体" w:cs="宋体"/>
          <w:bCs/>
          <w:color w:val="auto"/>
          <w:kern w:val="28"/>
          <w:szCs w:val="22"/>
          <w:highlight w:val="none"/>
        </w:rPr>
        <w:t>3.1符合资格的投标人应当在202</w:t>
      </w:r>
      <w:r>
        <w:rPr>
          <w:rFonts w:hint="eastAsia" w:ascii="宋体" w:hAnsi="宋体" w:eastAsia="宋体" w:cs="宋体"/>
          <w:bCs/>
          <w:color w:val="auto"/>
          <w:kern w:val="28"/>
          <w:szCs w:val="22"/>
          <w:highlight w:val="none"/>
          <w:lang w:val="en-US" w:eastAsia="zh-CN"/>
        </w:rPr>
        <w:t>4</w:t>
      </w:r>
      <w:r>
        <w:rPr>
          <w:rFonts w:hint="eastAsia" w:ascii="宋体" w:hAnsi="宋体" w:eastAsia="宋体" w:cs="宋体"/>
          <w:bCs/>
          <w:color w:val="auto"/>
          <w:kern w:val="28"/>
          <w:szCs w:val="22"/>
          <w:highlight w:val="none"/>
        </w:rPr>
        <w:t>年</w:t>
      </w:r>
      <w:r>
        <w:rPr>
          <w:rFonts w:hint="eastAsia" w:ascii="宋体" w:hAnsi="宋体" w:cs="宋体"/>
          <w:bCs/>
          <w:color w:val="auto"/>
          <w:kern w:val="28"/>
          <w:szCs w:val="22"/>
          <w:highlight w:val="none"/>
          <w:lang w:val="en-US" w:eastAsia="zh-CN"/>
        </w:rPr>
        <w:t>8</w:t>
      </w:r>
      <w:r>
        <w:rPr>
          <w:rFonts w:hint="eastAsia" w:ascii="宋体" w:hAnsi="宋体" w:eastAsia="宋体" w:cs="宋体"/>
          <w:bCs/>
          <w:color w:val="auto"/>
          <w:kern w:val="28"/>
          <w:szCs w:val="22"/>
          <w:highlight w:val="none"/>
        </w:rPr>
        <w:t>月</w:t>
      </w:r>
      <w:r>
        <w:rPr>
          <w:rFonts w:hint="eastAsia" w:ascii="宋体" w:hAnsi="宋体" w:cs="宋体"/>
          <w:bCs/>
          <w:color w:val="auto"/>
          <w:kern w:val="28"/>
          <w:szCs w:val="22"/>
          <w:highlight w:val="none"/>
          <w:lang w:val="en-US" w:eastAsia="zh-CN"/>
        </w:rPr>
        <w:t>6</w:t>
      </w:r>
      <w:r>
        <w:rPr>
          <w:rFonts w:hint="eastAsia" w:ascii="宋体" w:hAnsi="宋体" w:eastAsia="宋体" w:cs="宋体"/>
          <w:bCs/>
          <w:color w:val="auto"/>
          <w:kern w:val="28"/>
          <w:szCs w:val="22"/>
          <w:highlight w:val="none"/>
        </w:rPr>
        <w:t>日起至202</w:t>
      </w:r>
      <w:r>
        <w:rPr>
          <w:rFonts w:hint="eastAsia" w:ascii="宋体" w:hAnsi="宋体" w:eastAsia="宋体" w:cs="宋体"/>
          <w:bCs/>
          <w:color w:val="auto"/>
          <w:kern w:val="28"/>
          <w:szCs w:val="22"/>
          <w:highlight w:val="none"/>
          <w:lang w:val="en-US" w:eastAsia="zh-CN"/>
        </w:rPr>
        <w:t>4</w:t>
      </w:r>
      <w:r>
        <w:rPr>
          <w:rFonts w:hint="eastAsia" w:ascii="宋体" w:hAnsi="宋体" w:eastAsia="宋体" w:cs="宋体"/>
          <w:bCs/>
          <w:color w:val="auto"/>
          <w:kern w:val="28"/>
          <w:szCs w:val="22"/>
          <w:highlight w:val="none"/>
        </w:rPr>
        <w:t>年</w:t>
      </w:r>
      <w:r>
        <w:rPr>
          <w:rFonts w:hint="eastAsia" w:ascii="宋体" w:hAnsi="宋体" w:cs="宋体"/>
          <w:bCs/>
          <w:color w:val="auto"/>
          <w:kern w:val="28"/>
          <w:szCs w:val="22"/>
          <w:highlight w:val="none"/>
          <w:lang w:val="en-US" w:eastAsia="zh-CN"/>
        </w:rPr>
        <w:t>8</w:t>
      </w:r>
      <w:r>
        <w:rPr>
          <w:rFonts w:hint="eastAsia" w:ascii="宋体" w:hAnsi="宋体" w:eastAsia="宋体" w:cs="宋体"/>
          <w:bCs/>
          <w:color w:val="auto"/>
          <w:kern w:val="28"/>
          <w:szCs w:val="22"/>
          <w:highlight w:val="none"/>
        </w:rPr>
        <w:t>月</w:t>
      </w:r>
      <w:r>
        <w:rPr>
          <w:rFonts w:hint="eastAsia" w:ascii="宋体" w:hAnsi="宋体" w:cs="宋体"/>
          <w:bCs/>
          <w:color w:val="auto"/>
          <w:kern w:val="28"/>
          <w:szCs w:val="22"/>
          <w:highlight w:val="none"/>
          <w:lang w:val="en-US" w:eastAsia="zh-CN"/>
        </w:rPr>
        <w:t>12</w:t>
      </w:r>
      <w:r>
        <w:rPr>
          <w:rFonts w:hint="eastAsia" w:ascii="宋体" w:hAnsi="宋体" w:eastAsia="宋体" w:cs="宋体"/>
          <w:bCs/>
          <w:color w:val="auto"/>
          <w:kern w:val="28"/>
          <w:szCs w:val="22"/>
          <w:highlight w:val="none"/>
        </w:rPr>
        <w:t>日期间（9:00～12:00，14:00～17:30，法定节假日除外）按以下方式登记并获取招标文件。</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color w:val="auto"/>
          <w:highlight w:val="none"/>
        </w:rPr>
        <w:t>本项目只接受网上登记，</w:t>
      </w:r>
      <w:r>
        <w:rPr>
          <w:rFonts w:hint="eastAsia" w:ascii="宋体" w:hAnsi="宋体" w:eastAsia="宋体" w:cs="宋体"/>
          <w:bCs/>
          <w:color w:val="auto"/>
          <w:szCs w:val="21"/>
          <w:highlight w:val="none"/>
        </w:rPr>
        <w:t>投标人首先访问广咨电子招投标交易平台网站（www.gzebid.cn）进行网上注册及项目在线登记。如投标人尚未注册，请根据网站指引进行办理，具体流程操作见网站“平台服务—办事指南—操作手册”的对应栏目。招标文件购买支持微信、支付宝两种方式，支付成功后我司会为您开具增值税普通电子发票，投标人可以登录系统选择对应项目下载电子发票（有关网上注册、在线登记及招标文件发票等事宜，请联系客服。热线电话：400-150-3001，网站客服(QQ)：3151435402）。具体登记及发售步骤如下：</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步骤一：</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项目网上登记递交申请登记资料：投标人登记时须提交以下申请登记资料一套电子版（加盖公章）上传至广咨电子招投标交易平台网站对应项目登记端口，登记资料要求如下：</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①投标人营业执照；</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②投标登记表（须加盖投标人公章）（见附件）</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步骤二：</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对于已按要求提交登记资料的申请人，请务必在提交了合格的登记申请资料，和接到招标代理机构的审核通知后，才能网上购买招标文件（包括支付招标文件费用）。</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步骤三：</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对于已成功办理购买招标文件的投标人，招标代理机构将按投标人提供的联系方式发出招标文件。</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3.2招标文件售价人民币</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00元，售后不退。</w:t>
      </w:r>
    </w:p>
    <w:p>
      <w:pPr>
        <w:spacing w:line="360" w:lineRule="auto"/>
        <w:ind w:left="-359" w:leftChars="-171" w:firstLine="462" w:firstLineChars="220"/>
        <w:rPr>
          <w:rFonts w:hint="eastAsia" w:ascii="宋体" w:hAnsi="宋体" w:eastAsia="宋体" w:cs="宋体"/>
          <w:color w:val="auto"/>
          <w:highlight w:val="none"/>
        </w:rPr>
      </w:pPr>
      <w:r>
        <w:rPr>
          <w:rFonts w:hint="eastAsia" w:ascii="宋体" w:hAnsi="宋体" w:eastAsia="宋体" w:cs="宋体"/>
          <w:bCs/>
          <w:color w:val="auto"/>
          <w:szCs w:val="21"/>
          <w:highlight w:val="none"/>
        </w:rPr>
        <w:t>3.3发布</w:t>
      </w:r>
      <w:r>
        <w:rPr>
          <w:rFonts w:hint="eastAsia" w:ascii="宋体" w:hAnsi="宋体" w:eastAsia="宋体" w:cs="宋体"/>
          <w:color w:val="auto"/>
          <w:highlight w:val="none"/>
        </w:rPr>
        <w:t>公告的媒介：本项目招标公告同时在中国招标投标公共服务平台、广咨电子招投</w:t>
      </w:r>
      <w:r>
        <w:rPr>
          <w:rFonts w:hint="eastAsia" w:ascii="宋体" w:hAnsi="宋体" w:eastAsia="宋体" w:cs="宋体"/>
          <w:bCs/>
          <w:color w:val="auto"/>
          <w:kern w:val="28"/>
          <w:szCs w:val="22"/>
          <w:highlight w:val="none"/>
        </w:rPr>
        <w:t>标交易平台</w:t>
      </w:r>
      <w:r>
        <w:rPr>
          <w:rFonts w:hint="eastAsia" w:ascii="宋体" w:hAnsi="宋体" w:eastAsia="宋体" w:cs="宋体"/>
          <w:color w:val="auto"/>
          <w:highlight w:val="none"/>
        </w:rPr>
        <w:t>（广东省机电设备招标有限公司网）</w:t>
      </w:r>
      <w:r>
        <w:rPr>
          <w:rFonts w:hint="eastAsia" w:ascii="宋体" w:hAnsi="宋体" w:eastAsia="宋体" w:cs="宋体"/>
          <w:bCs/>
          <w:color w:val="auto"/>
          <w:kern w:val="28"/>
          <w:szCs w:val="22"/>
          <w:highlight w:val="none"/>
          <w:lang w:eastAsia="zh-CN"/>
        </w:rPr>
        <w:t>、</w:t>
      </w:r>
      <w:r>
        <w:rPr>
          <w:rFonts w:hint="eastAsia" w:ascii="宋体" w:hAnsi="宋体" w:eastAsia="宋体" w:cs="宋体"/>
          <w:color w:val="auto"/>
          <w:highlight w:val="none"/>
          <w:lang w:eastAsia="zh-CN"/>
        </w:rPr>
        <w:t>南方网、《南方日报》</w:t>
      </w:r>
      <w:r>
        <w:rPr>
          <w:rFonts w:hint="eastAsia" w:ascii="宋体" w:hAnsi="宋体" w:eastAsia="宋体" w:cs="宋体"/>
          <w:bCs/>
          <w:color w:val="auto"/>
          <w:kern w:val="28"/>
          <w:szCs w:val="22"/>
          <w:highlight w:val="none"/>
        </w:rPr>
        <w:t>发布。</w:t>
      </w:r>
    </w:p>
    <w:p>
      <w:pPr>
        <w:tabs>
          <w:tab w:val="left" w:pos="540"/>
        </w:tabs>
        <w:spacing w:line="360" w:lineRule="auto"/>
        <w:outlineLvl w:val="0"/>
        <w:rPr>
          <w:rFonts w:hint="eastAsia" w:ascii="宋体" w:hAnsi="宋体" w:eastAsia="宋体" w:cs="宋体"/>
          <w:b/>
          <w:color w:val="auto"/>
          <w:highlight w:val="none"/>
        </w:rPr>
      </w:pPr>
      <w:bookmarkStart w:id="20" w:name="_Toc476177328"/>
      <w:bookmarkStart w:id="21" w:name="_Toc477185851"/>
      <w:bookmarkStart w:id="22" w:name="_Toc477186212"/>
      <w:bookmarkStart w:id="23" w:name="_Toc1650"/>
      <w:bookmarkStart w:id="24" w:name="_Toc476177882"/>
      <w:r>
        <w:rPr>
          <w:rFonts w:hint="eastAsia" w:ascii="宋体" w:hAnsi="宋体" w:eastAsia="宋体" w:cs="宋体"/>
          <w:b/>
          <w:color w:val="auto"/>
          <w:highlight w:val="none"/>
        </w:rPr>
        <w:t>四、投标文件的递交时间和递交地点</w:t>
      </w:r>
      <w:bookmarkEnd w:id="20"/>
      <w:bookmarkEnd w:id="21"/>
      <w:bookmarkEnd w:id="22"/>
      <w:bookmarkEnd w:id="23"/>
      <w:bookmarkEnd w:id="24"/>
    </w:p>
    <w:p>
      <w:pPr>
        <w:spacing w:line="360" w:lineRule="auto"/>
        <w:ind w:left="-359" w:leftChars="-171" w:firstLine="359" w:firstLineChars="171"/>
        <w:rPr>
          <w:rFonts w:hint="eastAsia" w:ascii="宋体" w:hAnsi="宋体" w:eastAsia="宋体" w:cs="宋体"/>
          <w:b/>
          <w:bCs/>
          <w:color w:val="auto"/>
          <w:szCs w:val="21"/>
          <w:highlight w:val="none"/>
        </w:rPr>
      </w:pPr>
      <w:bookmarkStart w:id="25" w:name="_Toc477186213"/>
      <w:bookmarkStart w:id="26" w:name="_Toc477185852"/>
      <w:bookmarkStart w:id="27" w:name="_Toc476177883"/>
      <w:bookmarkStart w:id="28" w:name="_Toc476177329"/>
      <w:r>
        <w:rPr>
          <w:rFonts w:hint="eastAsia" w:ascii="宋体" w:hAnsi="宋体" w:eastAsia="宋体" w:cs="宋体"/>
          <w:bCs/>
          <w:color w:val="auto"/>
          <w:kern w:val="28"/>
          <w:szCs w:val="22"/>
          <w:highlight w:val="none"/>
        </w:rPr>
        <w:t>4.1、递交投标文件时间：202</w:t>
      </w:r>
      <w:r>
        <w:rPr>
          <w:rFonts w:hint="eastAsia" w:ascii="宋体" w:hAnsi="宋体" w:eastAsia="宋体" w:cs="宋体"/>
          <w:bCs/>
          <w:color w:val="auto"/>
          <w:kern w:val="28"/>
          <w:szCs w:val="22"/>
          <w:highlight w:val="none"/>
          <w:lang w:val="en-US" w:eastAsia="zh-CN"/>
        </w:rPr>
        <w:t>4</w:t>
      </w:r>
      <w:r>
        <w:rPr>
          <w:rFonts w:hint="eastAsia" w:ascii="宋体" w:hAnsi="宋体" w:eastAsia="宋体" w:cs="宋体"/>
          <w:bCs/>
          <w:color w:val="auto"/>
          <w:kern w:val="28"/>
          <w:szCs w:val="22"/>
          <w:highlight w:val="none"/>
        </w:rPr>
        <w:t>年</w:t>
      </w:r>
      <w:r>
        <w:rPr>
          <w:rFonts w:hint="eastAsia" w:ascii="宋体" w:hAnsi="宋体" w:cs="宋体"/>
          <w:bCs/>
          <w:color w:val="auto"/>
          <w:kern w:val="28"/>
          <w:szCs w:val="22"/>
          <w:highlight w:val="none"/>
          <w:lang w:val="en-US" w:eastAsia="zh-CN"/>
        </w:rPr>
        <w:t>8</w:t>
      </w:r>
      <w:r>
        <w:rPr>
          <w:rFonts w:hint="eastAsia" w:ascii="宋体" w:hAnsi="宋体" w:eastAsia="宋体" w:cs="宋体"/>
          <w:bCs/>
          <w:color w:val="auto"/>
          <w:kern w:val="28"/>
          <w:szCs w:val="22"/>
          <w:highlight w:val="none"/>
        </w:rPr>
        <w:t>月</w:t>
      </w:r>
      <w:r>
        <w:rPr>
          <w:rFonts w:hint="eastAsia" w:ascii="宋体" w:hAnsi="宋体" w:cs="宋体"/>
          <w:bCs/>
          <w:color w:val="auto"/>
          <w:kern w:val="28"/>
          <w:szCs w:val="22"/>
          <w:highlight w:val="none"/>
          <w:lang w:val="en-US" w:eastAsia="zh-CN"/>
        </w:rPr>
        <w:t>26</w:t>
      </w:r>
      <w:r>
        <w:rPr>
          <w:rFonts w:hint="eastAsia" w:ascii="宋体" w:hAnsi="宋体" w:eastAsia="宋体" w:cs="宋体"/>
          <w:bCs/>
          <w:color w:val="auto"/>
          <w:kern w:val="28"/>
          <w:szCs w:val="22"/>
          <w:highlight w:val="none"/>
        </w:rPr>
        <w:t>日</w:t>
      </w:r>
      <w:r>
        <w:rPr>
          <w:rFonts w:hint="eastAsia" w:ascii="宋体" w:hAnsi="宋体" w:cs="宋体"/>
          <w:bCs/>
          <w:color w:val="auto"/>
          <w:kern w:val="28"/>
          <w:szCs w:val="22"/>
          <w:highlight w:val="none"/>
          <w:lang w:val="en-US" w:eastAsia="zh-CN"/>
        </w:rPr>
        <w:t>14</w:t>
      </w:r>
      <w:r>
        <w:rPr>
          <w:rFonts w:hint="eastAsia" w:ascii="宋体" w:hAnsi="宋体" w:eastAsia="宋体" w:cs="宋体"/>
          <w:bCs/>
          <w:color w:val="auto"/>
          <w:kern w:val="28"/>
          <w:szCs w:val="22"/>
          <w:highlight w:val="none"/>
        </w:rPr>
        <w:t>:00-</w:t>
      </w:r>
      <w:r>
        <w:rPr>
          <w:rFonts w:hint="eastAsia" w:ascii="宋体" w:hAnsi="宋体" w:cs="宋体"/>
          <w:bCs/>
          <w:color w:val="auto"/>
          <w:kern w:val="28"/>
          <w:szCs w:val="22"/>
          <w:highlight w:val="none"/>
          <w:lang w:val="en-US" w:eastAsia="zh-CN"/>
        </w:rPr>
        <w:t>14</w:t>
      </w:r>
      <w:r>
        <w:rPr>
          <w:rFonts w:hint="eastAsia" w:ascii="宋体" w:hAnsi="宋体" w:eastAsia="宋体" w:cs="宋体"/>
          <w:bCs/>
          <w:color w:val="auto"/>
          <w:kern w:val="28"/>
          <w:szCs w:val="22"/>
          <w:highlight w:val="none"/>
        </w:rPr>
        <w:t>:30（北京时间）</w:t>
      </w:r>
      <w:r>
        <w:rPr>
          <w:rFonts w:hint="eastAsia" w:ascii="宋体" w:hAnsi="宋体" w:eastAsia="宋体" w:cs="宋体"/>
          <w:b/>
          <w:bCs/>
          <w:color w:val="auto"/>
          <w:szCs w:val="21"/>
          <w:highlight w:val="none"/>
        </w:rPr>
        <w:t>，迟于此时间递交的投标文件将被拒绝。</w:t>
      </w:r>
    </w:p>
    <w:p>
      <w:pPr>
        <w:spacing w:line="360" w:lineRule="auto"/>
        <w:ind w:left="-359" w:leftChars="-171" w:firstLine="462" w:firstLineChars="220"/>
        <w:rPr>
          <w:rFonts w:hint="eastAsia" w:ascii="宋体" w:hAnsi="宋体" w:eastAsia="宋体" w:cs="宋体"/>
          <w:bCs/>
          <w:color w:val="auto"/>
          <w:kern w:val="28"/>
          <w:szCs w:val="22"/>
          <w:highlight w:val="none"/>
        </w:rPr>
      </w:pPr>
      <w:r>
        <w:rPr>
          <w:rFonts w:hint="eastAsia" w:ascii="宋体" w:hAnsi="宋体" w:eastAsia="宋体" w:cs="宋体"/>
          <w:bCs/>
          <w:color w:val="auto"/>
          <w:kern w:val="28"/>
          <w:szCs w:val="22"/>
          <w:highlight w:val="none"/>
        </w:rPr>
        <w:t>4.2、递交投标文件地点：</w:t>
      </w:r>
      <w:r>
        <w:rPr>
          <w:rFonts w:hint="eastAsia" w:ascii="宋体" w:hAnsi="宋体" w:eastAsia="宋体" w:cs="宋体"/>
          <w:color w:val="auto"/>
          <w:szCs w:val="21"/>
          <w:highlight w:val="none"/>
          <w:lang w:eastAsia="zh-CN"/>
        </w:rPr>
        <w:t>南方报业传媒集团</w:t>
      </w:r>
      <w:r>
        <w:rPr>
          <w:rFonts w:hint="eastAsia" w:ascii="宋体" w:hAnsi="宋体" w:cs="宋体"/>
          <w:color w:val="auto"/>
          <w:szCs w:val="21"/>
          <w:highlight w:val="none"/>
          <w:lang w:val="en-US" w:eastAsia="zh-CN"/>
        </w:rPr>
        <w:t>1号楼</w:t>
      </w:r>
      <w:r>
        <w:rPr>
          <w:rFonts w:hint="eastAsia" w:ascii="宋体" w:hAnsi="宋体" w:cs="宋体"/>
          <w:bCs/>
          <w:color w:val="auto"/>
          <w:kern w:val="28"/>
          <w:szCs w:val="22"/>
          <w:highlight w:val="none"/>
          <w:lang w:val="en-US" w:eastAsia="zh-CN"/>
        </w:rPr>
        <w:t>4层405</w:t>
      </w:r>
      <w:r>
        <w:rPr>
          <w:rFonts w:hint="eastAsia" w:ascii="宋体" w:hAnsi="宋体" w:eastAsia="宋体" w:cs="宋体"/>
          <w:bCs/>
          <w:color w:val="auto"/>
          <w:kern w:val="28"/>
          <w:szCs w:val="22"/>
          <w:highlight w:val="none"/>
        </w:rPr>
        <w:t>会议室（地址：</w:t>
      </w:r>
      <w:r>
        <w:rPr>
          <w:rFonts w:hint="eastAsia" w:ascii="宋体" w:hAnsi="宋体" w:eastAsia="宋体" w:cs="宋体"/>
          <w:color w:val="auto"/>
          <w:szCs w:val="21"/>
          <w:highlight w:val="none"/>
          <w:lang w:val="en-US" w:eastAsia="zh-CN"/>
        </w:rPr>
        <w:t>广东省广州市越秀区广州大道中289号</w:t>
      </w:r>
      <w:r>
        <w:rPr>
          <w:rFonts w:hint="eastAsia" w:ascii="宋体" w:hAnsi="宋体" w:cs="宋体"/>
          <w:color w:val="auto"/>
          <w:szCs w:val="21"/>
          <w:highlight w:val="none"/>
          <w:lang w:val="en-US" w:eastAsia="zh-CN"/>
        </w:rPr>
        <w:t>1号楼</w:t>
      </w:r>
      <w:r>
        <w:rPr>
          <w:rFonts w:hint="eastAsia" w:ascii="宋体" w:hAnsi="宋体" w:cs="宋体"/>
          <w:bCs/>
          <w:color w:val="auto"/>
          <w:kern w:val="28"/>
          <w:szCs w:val="22"/>
          <w:highlight w:val="none"/>
          <w:lang w:val="en-US" w:eastAsia="zh-CN"/>
        </w:rPr>
        <w:t>4层405会议室</w:t>
      </w:r>
      <w:r>
        <w:rPr>
          <w:rFonts w:hint="eastAsia" w:ascii="宋体" w:hAnsi="宋体" w:eastAsia="宋体" w:cs="宋体"/>
          <w:bCs/>
          <w:color w:val="auto"/>
          <w:kern w:val="28"/>
          <w:szCs w:val="22"/>
          <w:highlight w:val="none"/>
        </w:rPr>
        <w:t>）。</w:t>
      </w:r>
    </w:p>
    <w:bookmarkEnd w:id="25"/>
    <w:bookmarkEnd w:id="26"/>
    <w:bookmarkEnd w:id="27"/>
    <w:bookmarkEnd w:id="28"/>
    <w:p>
      <w:pPr>
        <w:tabs>
          <w:tab w:val="left" w:pos="540"/>
        </w:tabs>
        <w:spacing w:line="360" w:lineRule="auto"/>
        <w:outlineLvl w:val="0"/>
        <w:rPr>
          <w:rFonts w:hint="eastAsia" w:ascii="宋体" w:hAnsi="宋体" w:eastAsia="宋体" w:cs="宋体"/>
          <w:b/>
          <w:color w:val="auto"/>
          <w:highlight w:val="none"/>
        </w:rPr>
      </w:pPr>
      <w:bookmarkStart w:id="29" w:name="_Toc477185853"/>
      <w:bookmarkStart w:id="30" w:name="_Toc476177330"/>
      <w:bookmarkStart w:id="31" w:name="_Toc19972"/>
      <w:bookmarkStart w:id="32" w:name="_Toc476177884"/>
      <w:bookmarkStart w:id="33" w:name="_Toc477186214"/>
      <w:r>
        <w:rPr>
          <w:rFonts w:hint="eastAsia" w:ascii="宋体" w:hAnsi="宋体" w:eastAsia="宋体" w:cs="宋体"/>
          <w:b/>
          <w:color w:val="auto"/>
          <w:highlight w:val="none"/>
        </w:rPr>
        <w:t>五、兹定于下列时间和地点公开开标</w:t>
      </w:r>
      <w:bookmarkEnd w:id="29"/>
      <w:bookmarkEnd w:id="30"/>
      <w:bookmarkEnd w:id="31"/>
      <w:bookmarkEnd w:id="32"/>
      <w:bookmarkEnd w:id="33"/>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6.1、投标截止时间和开标时间：202</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年</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rPr>
        <w:t>月</w:t>
      </w:r>
      <w:r>
        <w:rPr>
          <w:rFonts w:hint="eastAsia" w:ascii="宋体" w:hAnsi="宋体" w:cs="宋体"/>
          <w:color w:val="auto"/>
          <w:szCs w:val="21"/>
          <w:highlight w:val="none"/>
          <w:lang w:val="en-US" w:eastAsia="zh-CN"/>
        </w:rPr>
        <w:t>26</w:t>
      </w:r>
      <w:r>
        <w:rPr>
          <w:rFonts w:hint="eastAsia" w:ascii="宋体" w:hAnsi="宋体" w:eastAsia="宋体" w:cs="宋体"/>
          <w:color w:val="auto"/>
          <w:szCs w:val="21"/>
          <w:highlight w:val="none"/>
        </w:rPr>
        <w:t>日</w:t>
      </w:r>
      <w:r>
        <w:rPr>
          <w:rFonts w:hint="eastAsia" w:ascii="宋体" w:hAnsi="宋体" w:cs="宋体"/>
          <w:color w:val="auto"/>
          <w:szCs w:val="21"/>
          <w:highlight w:val="none"/>
          <w:lang w:val="en-US" w:eastAsia="zh-CN"/>
        </w:rPr>
        <w:t>14</w:t>
      </w:r>
      <w:r>
        <w:rPr>
          <w:rFonts w:hint="eastAsia" w:ascii="宋体" w:hAnsi="宋体" w:eastAsia="宋体" w:cs="宋体"/>
          <w:color w:val="auto"/>
          <w:szCs w:val="21"/>
          <w:highlight w:val="none"/>
        </w:rPr>
        <w:t>:30（北京时间）</w:t>
      </w:r>
    </w:p>
    <w:p>
      <w:pPr>
        <w:spacing w:line="360" w:lineRule="auto"/>
        <w:ind w:left="-359" w:leftChars="-171" w:firstLine="359" w:firstLineChars="171"/>
        <w:rPr>
          <w:rFonts w:hint="eastAsia" w:ascii="宋体" w:hAnsi="宋体" w:eastAsia="宋体" w:cs="宋体"/>
          <w:bCs/>
          <w:color w:val="auto"/>
          <w:kern w:val="28"/>
          <w:szCs w:val="22"/>
          <w:highlight w:val="none"/>
        </w:rPr>
      </w:pPr>
      <w:r>
        <w:rPr>
          <w:rFonts w:hint="eastAsia" w:ascii="宋体" w:hAnsi="宋体" w:eastAsia="宋体" w:cs="宋体"/>
          <w:bCs/>
          <w:color w:val="auto"/>
          <w:szCs w:val="21"/>
          <w:highlight w:val="none"/>
        </w:rPr>
        <w:t>6.</w:t>
      </w:r>
      <w:r>
        <w:rPr>
          <w:rFonts w:hint="eastAsia" w:ascii="宋体" w:hAnsi="宋体" w:eastAsia="宋体" w:cs="宋体"/>
          <w:color w:val="auto"/>
          <w:szCs w:val="21"/>
          <w:highlight w:val="none"/>
        </w:rPr>
        <w:t>2</w:t>
      </w:r>
      <w:r>
        <w:rPr>
          <w:rFonts w:hint="eastAsia" w:ascii="宋体" w:hAnsi="宋体" w:eastAsia="宋体" w:cs="宋体"/>
          <w:bCs/>
          <w:color w:val="auto"/>
          <w:kern w:val="28"/>
          <w:szCs w:val="22"/>
          <w:highlight w:val="none"/>
        </w:rPr>
        <w:t>、开标地点：</w:t>
      </w:r>
      <w:r>
        <w:rPr>
          <w:rFonts w:hint="eastAsia" w:ascii="宋体" w:hAnsi="宋体" w:eastAsia="宋体" w:cs="宋体"/>
          <w:color w:val="auto"/>
          <w:szCs w:val="21"/>
          <w:highlight w:val="none"/>
          <w:lang w:eastAsia="zh-CN"/>
        </w:rPr>
        <w:t>南方报业传媒集团</w:t>
      </w:r>
      <w:r>
        <w:rPr>
          <w:rFonts w:hint="eastAsia" w:ascii="宋体" w:hAnsi="宋体" w:cs="宋体"/>
          <w:color w:val="auto"/>
          <w:szCs w:val="21"/>
          <w:highlight w:val="none"/>
          <w:lang w:val="en-US" w:eastAsia="zh-CN"/>
        </w:rPr>
        <w:t>1号楼</w:t>
      </w:r>
      <w:r>
        <w:rPr>
          <w:rFonts w:hint="eastAsia" w:ascii="宋体" w:hAnsi="宋体" w:cs="宋体"/>
          <w:bCs/>
          <w:color w:val="auto"/>
          <w:kern w:val="28"/>
          <w:szCs w:val="22"/>
          <w:highlight w:val="none"/>
          <w:lang w:val="en-US" w:eastAsia="zh-CN"/>
        </w:rPr>
        <w:t>4层405</w:t>
      </w:r>
      <w:r>
        <w:rPr>
          <w:rFonts w:hint="eastAsia" w:ascii="宋体" w:hAnsi="宋体" w:eastAsia="宋体" w:cs="宋体"/>
          <w:bCs/>
          <w:color w:val="auto"/>
          <w:kern w:val="28"/>
          <w:szCs w:val="22"/>
          <w:highlight w:val="none"/>
        </w:rPr>
        <w:t>会议室（地址：</w:t>
      </w:r>
      <w:r>
        <w:rPr>
          <w:rFonts w:hint="eastAsia" w:ascii="宋体" w:hAnsi="宋体" w:eastAsia="宋体" w:cs="宋体"/>
          <w:color w:val="auto"/>
          <w:szCs w:val="21"/>
          <w:highlight w:val="none"/>
          <w:lang w:val="en-US" w:eastAsia="zh-CN"/>
        </w:rPr>
        <w:t>广东省广州市越秀区广州大道中289号</w:t>
      </w:r>
      <w:r>
        <w:rPr>
          <w:rFonts w:hint="eastAsia" w:ascii="宋体" w:hAnsi="宋体" w:cs="宋体"/>
          <w:color w:val="auto"/>
          <w:szCs w:val="21"/>
          <w:highlight w:val="none"/>
          <w:lang w:val="en-US" w:eastAsia="zh-CN"/>
        </w:rPr>
        <w:t>1号楼</w:t>
      </w:r>
      <w:r>
        <w:rPr>
          <w:rFonts w:hint="eastAsia" w:ascii="宋体" w:hAnsi="宋体" w:cs="宋体"/>
          <w:bCs/>
          <w:color w:val="auto"/>
          <w:kern w:val="28"/>
          <w:szCs w:val="22"/>
          <w:highlight w:val="none"/>
          <w:lang w:val="en-US" w:eastAsia="zh-CN"/>
        </w:rPr>
        <w:t>4层405会议室</w:t>
      </w:r>
      <w:r>
        <w:rPr>
          <w:rFonts w:hint="eastAsia" w:ascii="宋体" w:hAnsi="宋体" w:eastAsia="宋体" w:cs="宋体"/>
          <w:bCs/>
          <w:color w:val="auto"/>
          <w:kern w:val="28"/>
          <w:szCs w:val="22"/>
          <w:highlight w:val="none"/>
        </w:rPr>
        <w:t>）</w:t>
      </w:r>
    </w:p>
    <w:p>
      <w:pPr>
        <w:spacing w:line="360" w:lineRule="auto"/>
        <w:ind w:left="-359" w:leftChars="-171" w:firstLine="359" w:firstLineChars="171"/>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6.3、投标人应按招标文件的要求准时参加开标会议。投标人代表未出席开标会，不影响开标，且不得对开标程序、结果等提出任何异议。</w:t>
      </w:r>
    </w:p>
    <w:p>
      <w:pPr>
        <w:tabs>
          <w:tab w:val="left" w:pos="540"/>
        </w:tabs>
        <w:spacing w:line="360" w:lineRule="auto"/>
        <w:outlineLvl w:val="0"/>
        <w:rPr>
          <w:rFonts w:hint="eastAsia" w:ascii="宋体" w:hAnsi="宋体" w:eastAsia="宋体" w:cs="宋体"/>
          <w:b/>
          <w:color w:val="auto"/>
          <w:highlight w:val="none"/>
        </w:rPr>
      </w:pPr>
      <w:bookmarkStart w:id="34" w:name="_Toc477185854"/>
      <w:bookmarkStart w:id="35" w:name="_Toc477186215"/>
      <w:bookmarkStart w:id="36" w:name="_Toc25490"/>
      <w:bookmarkStart w:id="37" w:name="_Toc476177331"/>
      <w:bookmarkStart w:id="38" w:name="_Toc476177885"/>
      <w:r>
        <w:rPr>
          <w:rFonts w:hint="eastAsia" w:ascii="宋体" w:hAnsi="宋体" w:eastAsia="宋体" w:cs="宋体"/>
          <w:b/>
          <w:color w:val="auto"/>
          <w:highlight w:val="none"/>
        </w:rPr>
        <w:t>六、其他说明</w:t>
      </w:r>
      <w:bookmarkEnd w:id="34"/>
      <w:bookmarkEnd w:id="35"/>
      <w:bookmarkEnd w:id="36"/>
      <w:bookmarkEnd w:id="37"/>
      <w:bookmarkEnd w:id="38"/>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1、各投标人的资料复印件应加盖单位公章保证所提供资料的真实性，如发现有虚假、隐瞒情况者，招标人将取消其投标资格。</w:t>
      </w:r>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 </w:t>
      </w:r>
      <w:r>
        <w:rPr>
          <w:rFonts w:hint="eastAsia" w:ascii="宋体" w:hAnsi="宋体" w:eastAsia="宋体" w:cs="宋体"/>
          <w:bCs/>
          <w:color w:val="auto"/>
          <w:highlight w:val="none"/>
        </w:rPr>
        <w:t>购买了招标文件，而不参加投标的投标人，请在开标前3日以书面或邮件形式通知招标代理机构。</w:t>
      </w:r>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3、招标代理机构和招标人将不负责投标人准备投标文件和递交投标文件所发生的任何成本或费用。</w:t>
      </w:r>
    </w:p>
    <w:p>
      <w:pPr>
        <w:tabs>
          <w:tab w:val="left" w:pos="540"/>
        </w:tabs>
        <w:spacing w:line="360" w:lineRule="auto"/>
        <w:outlineLvl w:val="0"/>
        <w:rPr>
          <w:rFonts w:hint="eastAsia" w:ascii="宋体" w:hAnsi="宋体" w:eastAsia="宋体" w:cs="宋体"/>
          <w:b/>
          <w:color w:val="auto"/>
          <w:highlight w:val="none"/>
        </w:rPr>
      </w:pPr>
      <w:bookmarkStart w:id="39" w:name="_Toc476177886"/>
      <w:bookmarkStart w:id="40" w:name="_Toc476177332"/>
      <w:bookmarkStart w:id="41" w:name="_Toc32203"/>
      <w:bookmarkStart w:id="42" w:name="_Toc477186216"/>
      <w:bookmarkStart w:id="43" w:name="_Toc477185855"/>
      <w:r>
        <w:rPr>
          <w:rFonts w:hint="eastAsia" w:ascii="宋体" w:hAnsi="宋体" w:eastAsia="宋体" w:cs="宋体"/>
          <w:b/>
          <w:color w:val="auto"/>
          <w:highlight w:val="none"/>
        </w:rPr>
        <w:t>七、招标代理机构所在地和</w:t>
      </w:r>
      <w:bookmarkEnd w:id="39"/>
      <w:bookmarkEnd w:id="40"/>
      <w:bookmarkEnd w:id="41"/>
      <w:bookmarkEnd w:id="42"/>
      <w:bookmarkEnd w:id="43"/>
      <w:r>
        <w:rPr>
          <w:rFonts w:hint="eastAsia" w:ascii="宋体" w:hAnsi="宋体" w:eastAsia="宋体" w:cs="宋体"/>
          <w:b/>
          <w:color w:val="auto"/>
          <w:highlight w:val="none"/>
        </w:rPr>
        <w:t>联系方式</w:t>
      </w:r>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1、招标人联系方式</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招 标 人：</w:t>
      </w:r>
      <w:r>
        <w:rPr>
          <w:rFonts w:hint="eastAsia" w:ascii="宋体" w:hAnsi="宋体" w:eastAsia="宋体" w:cs="宋体"/>
          <w:color w:val="auto"/>
          <w:szCs w:val="21"/>
          <w:highlight w:val="none"/>
          <w:lang w:eastAsia="zh-CN"/>
        </w:rPr>
        <w:t>广东南方报业传媒集团物业管理有限公司</w:t>
      </w:r>
    </w:p>
    <w:p>
      <w:pPr>
        <w:spacing w:line="360" w:lineRule="auto"/>
        <w:ind w:left="-359" w:leftChars="-171" w:firstLine="359" w:firstLineChars="171"/>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lang w:val="en-US" w:eastAsia="zh-CN"/>
        </w:rPr>
        <w:t>广东省广州市越秀区广州大道中289号</w:t>
      </w:r>
    </w:p>
    <w:p>
      <w:pPr>
        <w:spacing w:line="360" w:lineRule="auto"/>
        <w:ind w:left="-359" w:leftChars="-171" w:firstLine="359" w:firstLineChars="171"/>
        <w:rPr>
          <w:rFonts w:hint="eastAsia" w:ascii="宋体" w:hAnsi="宋体" w:eastAsia="宋体" w:cs="宋体"/>
          <w:color w:val="auto"/>
          <w:highlight w:val="none"/>
          <w:lang w:val="en-US" w:eastAsia="zh-CN"/>
        </w:rPr>
      </w:pPr>
      <w:r>
        <w:rPr>
          <w:rFonts w:hint="eastAsia" w:ascii="宋体" w:hAnsi="宋体" w:eastAsia="宋体" w:cs="宋体"/>
          <w:color w:val="auto"/>
          <w:szCs w:val="21"/>
          <w:highlight w:val="none"/>
        </w:rPr>
        <w:t>联 系 人：廖先生</w:t>
      </w:r>
    </w:p>
    <w:p>
      <w:pPr>
        <w:pStyle w:val="24"/>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  话：020-83003381</w:t>
      </w:r>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2、招标代理机构联系方式</w:t>
      </w:r>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招标代理机构名称：广东省机电设备招标有限公司</w:t>
      </w:r>
    </w:p>
    <w:p>
      <w:pPr>
        <w:spacing w:line="360" w:lineRule="auto"/>
        <w:ind w:left="-359" w:leftChars="-171" w:firstLine="359" w:firstLineChars="171"/>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val="en-US" w:eastAsia="zh-CN"/>
        </w:rPr>
        <w:t>刘</w:t>
      </w:r>
      <w:r>
        <w:rPr>
          <w:rFonts w:hint="eastAsia" w:ascii="宋体" w:hAnsi="宋体" w:eastAsia="宋体" w:cs="宋体"/>
          <w:color w:val="auto"/>
          <w:szCs w:val="21"/>
          <w:highlight w:val="none"/>
        </w:rPr>
        <w:t>先生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胡小姐、王小姐</w:t>
      </w:r>
    </w:p>
    <w:p>
      <w:pPr>
        <w:spacing w:line="360" w:lineRule="auto"/>
        <w:ind w:left="-359" w:leftChars="-171" w:firstLine="359" w:firstLineChars="171"/>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电  话：020-83544117</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83541795</w:t>
      </w:r>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真：020-83565537</w:t>
      </w:r>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电子邮件：</w:t>
      </w:r>
      <w:r>
        <w:rPr>
          <w:rFonts w:hint="eastAsia" w:ascii="宋体" w:hAnsi="宋体" w:eastAsia="宋体" w:cs="宋体"/>
          <w:color w:val="auto"/>
          <w:szCs w:val="21"/>
          <w:highlight w:val="none"/>
          <w:lang w:val="en-US" w:eastAsia="zh-CN"/>
        </w:rPr>
        <w:t>gdjdsbzbcg@163.com</w:t>
      </w:r>
    </w:p>
    <w:p>
      <w:pPr>
        <w:wordWrap w:val="0"/>
        <w:spacing w:line="360" w:lineRule="auto"/>
        <w:ind w:firstLine="420" w:firstLineChars="200"/>
        <w:jc w:val="right"/>
        <w:rPr>
          <w:rFonts w:hint="eastAsia" w:ascii="宋体" w:hAnsi="宋体" w:eastAsia="宋体" w:cs="宋体"/>
          <w:color w:val="auto"/>
          <w:highlight w:val="none"/>
          <w:lang w:eastAsia="zh-CN"/>
        </w:rPr>
      </w:pPr>
      <w:r>
        <w:rPr>
          <w:rFonts w:hint="eastAsia" w:ascii="宋体" w:hAnsi="宋体" w:eastAsia="宋体" w:cs="宋体"/>
          <w:color w:val="auto"/>
          <w:highlight w:val="none"/>
        </w:rPr>
        <w:t xml:space="preserve">  招标人：</w:t>
      </w:r>
      <w:r>
        <w:rPr>
          <w:rFonts w:hint="eastAsia" w:ascii="宋体" w:hAnsi="宋体" w:eastAsia="宋体" w:cs="宋体"/>
          <w:bCs/>
          <w:color w:val="auto"/>
          <w:highlight w:val="none"/>
          <w:lang w:eastAsia="zh-CN"/>
        </w:rPr>
        <w:t>广东南方报业传媒集团物业管理有限公司</w:t>
      </w:r>
    </w:p>
    <w:p>
      <w:pPr>
        <w:spacing w:line="360" w:lineRule="auto"/>
        <w:jc w:val="right"/>
        <w:rPr>
          <w:rFonts w:hint="eastAsia" w:ascii="宋体" w:hAnsi="宋体" w:eastAsia="宋体" w:cs="宋体"/>
          <w:color w:val="auto"/>
          <w:highlight w:val="none"/>
        </w:rPr>
      </w:pPr>
      <w:r>
        <w:rPr>
          <w:rFonts w:hint="eastAsia" w:ascii="宋体" w:hAnsi="宋体" w:eastAsia="宋体" w:cs="宋体"/>
          <w:color w:val="auto"/>
          <w:highlight w:val="none"/>
        </w:rPr>
        <w:t xml:space="preserve">招标代理：广东省机电设备招标有限公司 </w:t>
      </w:r>
    </w:p>
    <w:p>
      <w:pPr>
        <w:wordWrap w:val="0"/>
        <w:spacing w:line="360" w:lineRule="auto"/>
        <w:ind w:firstLine="420" w:firstLineChars="200"/>
        <w:jc w:val="right"/>
        <w:rPr>
          <w:rFonts w:hint="eastAsia" w:ascii="宋体" w:hAnsi="宋体" w:eastAsia="宋体" w:cs="宋体"/>
          <w:color w:val="auto"/>
          <w:highlight w:val="none"/>
        </w:rPr>
        <w:sectPr>
          <w:footerReference r:id="rId7" w:type="default"/>
          <w:pgSz w:w="11906" w:h="16838"/>
          <w:pgMar w:top="1134" w:right="1418" w:bottom="1134" w:left="1418" w:header="851" w:footer="992" w:gutter="0"/>
          <w:pgNumType w:start="1"/>
          <w:cols w:space="720" w:num="1"/>
          <w:docGrid w:type="lines" w:linePitch="312" w:charSpace="0"/>
        </w:sectPr>
      </w:pPr>
      <w:r>
        <w:rPr>
          <w:rFonts w:hint="eastAsia" w:ascii="宋体" w:hAnsi="宋体" w:eastAsia="宋体" w:cs="宋体"/>
          <w:color w:val="auto"/>
          <w:highlight w:val="none"/>
        </w:rPr>
        <w:t>20</w:t>
      </w:r>
      <w:r>
        <w:rPr>
          <w:rFonts w:hint="eastAsia" w:ascii="宋体" w:hAnsi="宋体" w:eastAsia="宋体" w:cs="宋体"/>
          <w:color w:val="auto"/>
          <w:highlight w:val="none"/>
          <w:lang w:val="en-US" w:eastAsia="zh-CN"/>
        </w:rPr>
        <w:t>24</w:t>
      </w:r>
      <w:r>
        <w:rPr>
          <w:rFonts w:hint="eastAsia" w:ascii="宋体" w:hAnsi="宋体" w:eastAsia="宋体" w:cs="宋体"/>
          <w:color w:val="auto"/>
          <w:highlight w:val="none"/>
        </w:rPr>
        <w:t>年</w:t>
      </w:r>
      <w:r>
        <w:rPr>
          <w:rFonts w:hint="eastAsia" w:ascii="宋体" w:hAnsi="宋体" w:cs="宋体"/>
          <w:color w:val="auto"/>
          <w:highlight w:val="none"/>
          <w:lang w:val="en-US" w:eastAsia="zh-CN"/>
        </w:rPr>
        <w:t>8</w:t>
      </w:r>
      <w:r>
        <w:rPr>
          <w:rFonts w:hint="eastAsia" w:ascii="宋体" w:hAnsi="宋体" w:eastAsia="宋体" w:cs="宋体"/>
          <w:color w:val="auto"/>
          <w:highlight w:val="none"/>
        </w:rPr>
        <w:t>月</w:t>
      </w:r>
      <w:r>
        <w:rPr>
          <w:rFonts w:hint="eastAsia" w:ascii="宋体" w:hAnsi="宋体" w:cs="宋体"/>
          <w:color w:val="auto"/>
          <w:highlight w:val="none"/>
          <w:lang w:val="en-US" w:eastAsia="zh-CN"/>
        </w:rPr>
        <w:t>5</w:t>
      </w:r>
      <w:r>
        <w:rPr>
          <w:rFonts w:hint="eastAsia" w:ascii="宋体" w:hAnsi="宋体" w:eastAsia="宋体" w:cs="宋体"/>
          <w:color w:val="auto"/>
          <w:highlight w:val="none"/>
        </w:rPr>
        <w:t>日</w:t>
      </w:r>
    </w:p>
    <w:p>
      <w:pPr>
        <w:spacing w:line="360" w:lineRule="auto"/>
        <w:ind w:left="337" w:hanging="337" w:hangingChars="14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附件：                     </w:t>
      </w:r>
    </w:p>
    <w:p>
      <w:pPr>
        <w:spacing w:line="360" w:lineRule="auto"/>
        <w:ind w:left="337" w:hanging="337" w:hangingChars="140"/>
        <w:jc w:val="center"/>
        <w:outlineLvl w:val="0"/>
        <w:rPr>
          <w:rFonts w:hint="eastAsia" w:ascii="宋体" w:hAnsi="宋体" w:eastAsia="宋体" w:cs="宋体"/>
          <w:b/>
          <w:bCs/>
          <w:color w:val="auto"/>
          <w:sz w:val="24"/>
          <w:szCs w:val="24"/>
          <w:highlight w:val="none"/>
        </w:rPr>
      </w:pPr>
      <w:bookmarkStart w:id="44" w:name="_Toc32613"/>
      <w:r>
        <w:rPr>
          <w:rFonts w:hint="eastAsia" w:ascii="宋体" w:hAnsi="宋体" w:eastAsia="宋体" w:cs="宋体"/>
          <w:b/>
          <w:bCs/>
          <w:color w:val="auto"/>
          <w:kern w:val="0"/>
          <w:sz w:val="24"/>
          <w:szCs w:val="24"/>
          <w:highlight w:val="none"/>
        </w:rPr>
        <w:t>投标登记表</w:t>
      </w:r>
      <w:bookmarkEnd w:id="44"/>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0"/>
        <w:gridCol w:w="1733"/>
        <w:gridCol w:w="2190"/>
        <w:gridCol w:w="3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2090" w:type="dxa"/>
            <w:noWrap w:val="0"/>
            <w:vAlign w:val="center"/>
          </w:tcPr>
          <w:p>
            <w:pPr>
              <w:spacing w:line="360" w:lineRule="auto"/>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项目编号</w:t>
            </w:r>
          </w:p>
        </w:tc>
        <w:tc>
          <w:tcPr>
            <w:tcW w:w="7111" w:type="dxa"/>
            <w:gridSpan w:val="3"/>
            <w:noWrap w:val="0"/>
            <w:vAlign w:val="center"/>
          </w:tcPr>
          <w:p>
            <w:pPr>
              <w:spacing w:line="360" w:lineRule="auto"/>
              <w:jc w:val="center"/>
              <w:rPr>
                <w:rFonts w:hint="eastAsia" w:ascii="宋体" w:hAnsi="宋体" w:eastAsia="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2090" w:type="dxa"/>
            <w:noWrap w:val="0"/>
            <w:vAlign w:val="center"/>
          </w:tcPr>
          <w:p>
            <w:pPr>
              <w:spacing w:line="360" w:lineRule="auto"/>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项目名称</w:t>
            </w:r>
          </w:p>
        </w:tc>
        <w:tc>
          <w:tcPr>
            <w:tcW w:w="7111" w:type="dxa"/>
            <w:gridSpan w:val="3"/>
            <w:noWrap w:val="0"/>
            <w:vAlign w:val="center"/>
          </w:tcPr>
          <w:p>
            <w:pPr>
              <w:spacing w:line="360" w:lineRule="auto"/>
              <w:jc w:val="center"/>
              <w:rPr>
                <w:rFonts w:hint="eastAsia" w:ascii="宋体" w:hAnsi="宋体" w:eastAsia="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090" w:type="dxa"/>
            <w:noWrap w:val="0"/>
            <w:vAlign w:val="center"/>
          </w:tcPr>
          <w:p>
            <w:pPr>
              <w:spacing w:line="360" w:lineRule="auto"/>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购买招标文件单位名称</w:t>
            </w:r>
          </w:p>
        </w:tc>
        <w:tc>
          <w:tcPr>
            <w:tcW w:w="7111" w:type="dxa"/>
            <w:gridSpan w:val="3"/>
            <w:noWrap w:val="0"/>
            <w:vAlign w:val="center"/>
          </w:tcPr>
          <w:p>
            <w:pPr>
              <w:spacing w:line="360" w:lineRule="auto"/>
              <w:rPr>
                <w:rFonts w:hint="eastAsia" w:ascii="宋体" w:hAnsi="宋体" w:eastAsia="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2090" w:type="dxa"/>
            <w:noWrap w:val="0"/>
            <w:vAlign w:val="center"/>
          </w:tcPr>
          <w:p>
            <w:pPr>
              <w:spacing w:line="360" w:lineRule="auto"/>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单位地址</w:t>
            </w:r>
          </w:p>
        </w:tc>
        <w:tc>
          <w:tcPr>
            <w:tcW w:w="7111" w:type="dxa"/>
            <w:gridSpan w:val="3"/>
            <w:noWrap w:val="0"/>
            <w:vAlign w:val="center"/>
          </w:tcPr>
          <w:p>
            <w:pPr>
              <w:spacing w:line="360" w:lineRule="auto"/>
              <w:rPr>
                <w:rFonts w:hint="eastAsia" w:ascii="宋体" w:hAnsi="宋体" w:eastAsia="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2090"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7111" w:type="dxa"/>
            <w:gridSpan w:val="3"/>
            <w:noWrap w:val="0"/>
            <w:vAlign w:val="center"/>
          </w:tcPr>
          <w:p>
            <w:pPr>
              <w:spacing w:line="360" w:lineRule="auto"/>
              <w:rPr>
                <w:rFonts w:hint="eastAsia" w:ascii="宋体" w:hAnsi="宋体" w:eastAsia="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9201" w:type="dxa"/>
            <w:gridSpan w:val="4"/>
            <w:noWrap w:val="0"/>
            <w:vAlign w:val="center"/>
          </w:tcPr>
          <w:p>
            <w:pPr>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购买招标文件代表信息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jc w:val="center"/>
        </w:trPr>
        <w:tc>
          <w:tcPr>
            <w:tcW w:w="2090" w:type="dxa"/>
            <w:noWrap w:val="0"/>
            <w:vAlign w:val="center"/>
          </w:tcPr>
          <w:p>
            <w:pPr>
              <w:spacing w:line="360" w:lineRule="auto"/>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姓名</w:t>
            </w:r>
          </w:p>
        </w:tc>
        <w:tc>
          <w:tcPr>
            <w:tcW w:w="1733" w:type="dxa"/>
            <w:noWrap w:val="0"/>
            <w:vAlign w:val="center"/>
          </w:tcPr>
          <w:p>
            <w:pPr>
              <w:spacing w:line="360" w:lineRule="auto"/>
              <w:jc w:val="center"/>
              <w:rPr>
                <w:rFonts w:hint="eastAsia" w:ascii="宋体" w:hAnsi="宋体" w:eastAsia="宋体" w:cs="宋体"/>
                <w:bCs/>
                <w:color w:val="auto"/>
                <w:szCs w:val="21"/>
                <w:highlight w:val="none"/>
              </w:rPr>
            </w:pPr>
          </w:p>
        </w:tc>
        <w:tc>
          <w:tcPr>
            <w:tcW w:w="2190"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办公电话</w:t>
            </w:r>
          </w:p>
        </w:tc>
        <w:tc>
          <w:tcPr>
            <w:tcW w:w="3188" w:type="dxa"/>
            <w:noWrap w:val="0"/>
            <w:vAlign w:val="center"/>
          </w:tcPr>
          <w:p>
            <w:pPr>
              <w:spacing w:line="360" w:lineRule="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2090" w:type="dxa"/>
            <w:noWrap w:val="0"/>
            <w:vAlign w:val="center"/>
          </w:tcPr>
          <w:p>
            <w:pPr>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手机</w:t>
            </w:r>
          </w:p>
        </w:tc>
        <w:tc>
          <w:tcPr>
            <w:tcW w:w="1733" w:type="dxa"/>
            <w:noWrap w:val="0"/>
            <w:vAlign w:val="center"/>
          </w:tcPr>
          <w:p>
            <w:pPr>
              <w:spacing w:line="360" w:lineRule="auto"/>
              <w:jc w:val="center"/>
              <w:rPr>
                <w:rFonts w:hint="eastAsia" w:ascii="宋体" w:hAnsi="宋体" w:eastAsia="宋体" w:cs="宋体"/>
                <w:bCs/>
                <w:color w:val="auto"/>
                <w:szCs w:val="21"/>
                <w:highlight w:val="none"/>
              </w:rPr>
            </w:pPr>
          </w:p>
        </w:tc>
        <w:tc>
          <w:tcPr>
            <w:tcW w:w="2190" w:type="dxa"/>
            <w:noWrap w:val="0"/>
            <w:vAlign w:val="center"/>
          </w:tcPr>
          <w:p>
            <w:pPr>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电子邮箱（QQ邮箱）</w:t>
            </w:r>
          </w:p>
        </w:tc>
        <w:tc>
          <w:tcPr>
            <w:tcW w:w="3188" w:type="dxa"/>
            <w:noWrap w:val="0"/>
            <w:vAlign w:val="center"/>
          </w:tcPr>
          <w:p>
            <w:pPr>
              <w:spacing w:line="360" w:lineRule="auto"/>
              <w:jc w:val="center"/>
              <w:rPr>
                <w:rFonts w:hint="eastAsia" w:ascii="宋体" w:hAnsi="宋体" w:eastAsia="宋体" w:cs="宋体"/>
                <w:bCs/>
                <w:color w:val="auto"/>
                <w:szCs w:val="21"/>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br w:type="page"/>
      </w: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snapToGrid w:val="0"/>
        <w:spacing w:line="360" w:lineRule="auto"/>
        <w:jc w:val="center"/>
        <w:rPr>
          <w:rFonts w:hint="eastAsia" w:ascii="宋体" w:hAnsi="宋体" w:eastAsia="宋体" w:cs="宋体"/>
          <w:b/>
          <w:color w:val="auto"/>
          <w:sz w:val="44"/>
          <w:highlight w:val="none"/>
        </w:rPr>
      </w:pPr>
    </w:p>
    <w:p>
      <w:pPr>
        <w:snapToGrid w:val="0"/>
        <w:spacing w:line="360" w:lineRule="auto"/>
        <w:jc w:val="center"/>
        <w:rPr>
          <w:rFonts w:hint="eastAsia" w:ascii="宋体" w:hAnsi="宋体" w:eastAsia="宋体" w:cs="宋体"/>
          <w:b/>
          <w:color w:val="auto"/>
          <w:sz w:val="44"/>
          <w:highlight w:val="none"/>
        </w:rPr>
      </w:pPr>
    </w:p>
    <w:p>
      <w:pPr>
        <w:jc w:val="center"/>
        <w:outlineLvl w:val="0"/>
        <w:rPr>
          <w:rFonts w:hint="eastAsia" w:ascii="宋体" w:hAnsi="宋体" w:eastAsia="宋体" w:cs="宋体"/>
          <w:b/>
          <w:color w:val="auto"/>
          <w:sz w:val="44"/>
          <w:szCs w:val="44"/>
          <w:highlight w:val="none"/>
        </w:rPr>
      </w:pPr>
      <w:bookmarkStart w:id="45" w:name="_Toc9976"/>
      <w:r>
        <w:rPr>
          <w:rFonts w:hint="eastAsia" w:ascii="宋体" w:hAnsi="宋体" w:eastAsia="宋体" w:cs="宋体"/>
          <w:b/>
          <w:color w:val="auto"/>
          <w:sz w:val="44"/>
          <w:szCs w:val="44"/>
          <w:highlight w:val="none"/>
        </w:rPr>
        <w:t>第二章</w:t>
      </w:r>
      <w:bookmarkStart w:id="46" w:name="_Toc477186217"/>
      <w:r>
        <w:rPr>
          <w:rFonts w:hint="eastAsia" w:ascii="宋体" w:hAnsi="宋体" w:eastAsia="宋体" w:cs="宋体"/>
          <w:b/>
          <w:color w:val="auto"/>
          <w:sz w:val="44"/>
          <w:szCs w:val="44"/>
          <w:highlight w:val="none"/>
        </w:rPr>
        <w:t xml:space="preserve">  投标人须知</w:t>
      </w:r>
      <w:bookmarkEnd w:id="45"/>
      <w:bookmarkEnd w:id="46"/>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投标人须知前附表</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noWrap w:val="0"/>
            <w:vAlign w:val="center"/>
          </w:tcPr>
          <w:p>
            <w:pPr>
              <w:pStyle w:val="43"/>
              <w:ind w:left="1265" w:right="42" w:rightChars="20" w:hanging="1265"/>
              <w:jc w:val="center"/>
              <w:rPr>
                <w:rFonts w:hint="eastAsia" w:ascii="宋体" w:hAnsi="宋体" w:eastAsia="宋体" w:cs="宋体"/>
                <w:b/>
                <w:bCs/>
                <w:color w:val="auto"/>
                <w:highlight w:val="none"/>
              </w:rPr>
            </w:pPr>
            <w:bookmarkStart w:id="47" w:name="_Toc476177333"/>
            <w:bookmarkStart w:id="48" w:name="_Toc119753876"/>
            <w:bookmarkStart w:id="49" w:name="_Toc476177888"/>
            <w:bookmarkStart w:id="50" w:name="_Toc30250"/>
            <w:r>
              <w:rPr>
                <w:rFonts w:hint="eastAsia" w:ascii="宋体" w:hAnsi="宋体" w:eastAsia="宋体" w:cs="宋体"/>
                <w:b/>
                <w:bCs/>
                <w:color w:val="auto"/>
                <w:highlight w:val="none"/>
              </w:rPr>
              <w:t>项号</w:t>
            </w:r>
          </w:p>
        </w:tc>
        <w:tc>
          <w:tcPr>
            <w:tcW w:w="8443" w:type="dxa"/>
            <w:noWrap w:val="0"/>
            <w:vAlign w:val="center"/>
          </w:tcPr>
          <w:p>
            <w:pPr>
              <w:pStyle w:val="43"/>
              <w:ind w:left="252" w:leftChars="120" w:firstLine="2509" w:firstLineChars="1190"/>
              <w:rPr>
                <w:rFonts w:hint="eastAsia" w:ascii="宋体" w:hAnsi="宋体" w:eastAsia="宋体" w:cs="宋体"/>
                <w:b/>
                <w:bCs/>
                <w:color w:val="auto"/>
                <w:highlight w:val="none"/>
              </w:rPr>
            </w:pPr>
            <w:r>
              <w:rPr>
                <w:rFonts w:hint="eastAsia" w:ascii="宋体" w:hAnsi="宋体" w:eastAsia="宋体" w:cs="宋体"/>
                <w:b/>
                <w:bCs/>
                <w:color w:val="auto"/>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noWrap w:val="0"/>
            <w:vAlign w:val="center"/>
          </w:tcPr>
          <w:p>
            <w:pPr>
              <w:pStyle w:val="43"/>
              <w:ind w:left="-2394" w:leftChars="-1140" w:right="-107" w:rightChars="-51" w:firstLine="2284" w:firstLineChars="1088"/>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8443" w:type="dxa"/>
            <w:noWrap w:val="0"/>
            <w:vAlign w:val="top"/>
          </w:tcPr>
          <w:p>
            <w:pPr>
              <w:pStyle w:val="43"/>
              <w:ind w:left="1" w:firstLine="0"/>
              <w:rPr>
                <w:rFonts w:hint="eastAsia" w:ascii="宋体" w:hAnsi="宋体" w:eastAsia="宋体" w:cs="宋体"/>
                <w:b/>
                <w:color w:val="auto"/>
                <w:highlight w:val="none"/>
                <w:lang w:eastAsia="zh-CN"/>
              </w:rPr>
            </w:pPr>
            <w:r>
              <w:rPr>
                <w:rFonts w:hint="eastAsia" w:ascii="宋体" w:hAnsi="宋体" w:eastAsia="宋体" w:cs="宋体"/>
                <w:b/>
                <w:color w:val="auto"/>
                <w:highlight w:val="none"/>
              </w:rPr>
              <w:t>项目名称：</w:t>
            </w:r>
            <w:r>
              <w:rPr>
                <w:rFonts w:hint="eastAsia" w:hAnsi="宋体" w:eastAsia="宋体" w:cs="宋体"/>
                <w:b/>
                <w:color w:val="auto"/>
                <w:highlight w:val="none"/>
                <w:lang w:eastAsia="zh-CN"/>
              </w:rPr>
              <w:t>南方报业传媒集团402报告厅LED显示屏建设项目</w:t>
            </w:r>
          </w:p>
          <w:p>
            <w:pPr>
              <w:pStyle w:val="43"/>
              <w:ind w:left="1265" w:hanging="1265"/>
              <w:rPr>
                <w:rFonts w:hint="eastAsia" w:ascii="宋体" w:hAnsi="宋体" w:eastAsia="宋体" w:cs="宋体"/>
                <w:color w:val="auto"/>
                <w:highlight w:val="none"/>
                <w:lang w:eastAsia="zh-CN"/>
              </w:rPr>
            </w:pPr>
            <w:r>
              <w:rPr>
                <w:rFonts w:hint="eastAsia" w:ascii="宋体" w:hAnsi="宋体" w:eastAsia="宋体" w:cs="宋体"/>
                <w:b/>
                <w:bCs/>
                <w:color w:val="auto"/>
                <w:highlight w:val="none"/>
              </w:rPr>
              <w:t>招标人名称：</w:t>
            </w:r>
            <w:r>
              <w:rPr>
                <w:rFonts w:hint="eastAsia" w:hAnsi="宋体" w:eastAsia="宋体" w:cs="宋体"/>
                <w:b/>
                <w:color w:val="auto"/>
                <w:highlight w:val="none"/>
                <w:lang w:eastAsia="zh-CN"/>
              </w:rPr>
              <w:t>广东南方报业传媒集团物业管理有限公司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3"/>
              <w:ind w:left="-466" w:leftChars="-222" w:right="42" w:rightChars="20" w:firstLine="464" w:firstLineChars="221"/>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8443" w:type="dxa"/>
            <w:noWrap w:val="0"/>
            <w:vAlign w:val="center"/>
          </w:tcPr>
          <w:p>
            <w:pPr>
              <w:pStyle w:val="43"/>
              <w:ind w:left="1103" w:hanging="1103" w:hangingChars="523"/>
              <w:rPr>
                <w:rFonts w:hint="eastAsia" w:ascii="宋体" w:hAnsi="宋体" w:eastAsia="宋体" w:cs="宋体"/>
                <w:b/>
                <w:color w:val="auto"/>
                <w:highlight w:val="none"/>
                <w:u w:val="single"/>
              </w:rPr>
            </w:pPr>
            <w:r>
              <w:rPr>
                <w:rFonts w:hint="eastAsia" w:ascii="宋体" w:hAnsi="宋体" w:eastAsia="宋体" w:cs="宋体"/>
                <w:b/>
                <w:bCs/>
                <w:color w:val="auto"/>
                <w:highlight w:val="none"/>
              </w:rPr>
              <w:t>资金来源：</w:t>
            </w:r>
            <w:r>
              <w:rPr>
                <w:rFonts w:hint="eastAsia" w:ascii="宋体" w:hAnsi="宋体" w:eastAsia="宋体" w:cs="宋体"/>
                <w:color w:val="auto"/>
                <w:highlight w:val="none"/>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3"/>
              <w:ind w:left="-466" w:leftChars="-222" w:right="42" w:rightChars="20" w:firstLine="464" w:firstLineChars="221"/>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8443" w:type="dxa"/>
            <w:noWrap w:val="0"/>
            <w:vAlign w:val="center"/>
          </w:tcPr>
          <w:p>
            <w:pPr>
              <w:pStyle w:val="43"/>
              <w:ind w:left="1265" w:hanging="1265"/>
              <w:rPr>
                <w:rFonts w:hint="eastAsia" w:ascii="宋体" w:hAnsi="宋体" w:eastAsia="宋体" w:cs="宋体"/>
                <w:color w:val="auto"/>
                <w:highlight w:val="none"/>
              </w:rPr>
            </w:pPr>
            <w:r>
              <w:rPr>
                <w:rFonts w:hint="eastAsia" w:ascii="宋体" w:hAnsi="宋体" w:eastAsia="宋体" w:cs="宋体"/>
                <w:b/>
                <w:bCs/>
                <w:color w:val="auto"/>
                <w:highlight w:val="none"/>
              </w:rPr>
              <w:t>招标方式：</w:t>
            </w:r>
            <w:r>
              <w:rPr>
                <w:rFonts w:hint="eastAsia" w:ascii="宋体" w:hAnsi="宋体" w:eastAsia="宋体" w:cs="宋体"/>
                <w:color w:val="auto"/>
                <w:highlight w:val="none"/>
              </w:rPr>
              <w:t>国内公开招标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3"/>
              <w:ind w:left="-466" w:leftChars="-222" w:right="42" w:rightChars="20" w:firstLine="464" w:firstLineChars="221"/>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8443" w:type="dxa"/>
            <w:noWrap w:val="0"/>
            <w:vAlign w:val="center"/>
          </w:tcPr>
          <w:p>
            <w:pPr>
              <w:pStyle w:val="43"/>
              <w:ind w:left="1" w:firstLine="0"/>
              <w:jc w:val="left"/>
              <w:rPr>
                <w:rFonts w:hint="eastAsia" w:ascii="宋体" w:hAnsi="宋体" w:eastAsia="宋体" w:cs="宋体"/>
                <w:b/>
                <w:bCs/>
                <w:color w:val="auto"/>
                <w:highlight w:val="none"/>
                <w:lang w:eastAsia="zh-CN"/>
              </w:rPr>
            </w:pPr>
            <w:r>
              <w:rPr>
                <w:rFonts w:hint="eastAsia" w:ascii="宋体" w:hAnsi="宋体" w:eastAsia="宋体" w:cs="宋体"/>
                <w:b/>
                <w:color w:val="auto"/>
                <w:highlight w:val="none"/>
              </w:rPr>
              <w:t>招标信息发布：</w:t>
            </w:r>
            <w:r>
              <w:rPr>
                <w:rFonts w:hint="eastAsia" w:ascii="宋体" w:hAnsi="宋体" w:eastAsia="宋体" w:cs="宋体"/>
                <w:bCs/>
                <w:color w:val="auto"/>
                <w:highlight w:val="none"/>
              </w:rPr>
              <w:t>中</w:t>
            </w:r>
            <w:r>
              <w:rPr>
                <w:rFonts w:hint="eastAsia" w:ascii="宋体" w:hAnsi="宋体" w:eastAsia="宋体" w:cs="宋体"/>
                <w:color w:val="auto"/>
                <w:highlight w:val="none"/>
              </w:rPr>
              <w:t>国招标投标公共服务平台、广咨电子招投标交易平台网站（广东省机电设备招标有限公司网）</w:t>
            </w:r>
            <w:r>
              <w:rPr>
                <w:rFonts w:hint="eastAsia" w:ascii="宋体" w:hAnsi="宋体" w:eastAsia="宋体" w:cs="宋体"/>
                <w:color w:val="auto"/>
                <w:highlight w:val="none"/>
                <w:lang w:eastAsia="zh-CN"/>
              </w:rPr>
              <w:t>、南方网、《南方日报》。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3"/>
              <w:ind w:left="-466" w:leftChars="-222" w:right="42" w:rightChars="20" w:firstLine="464" w:firstLineChars="221"/>
              <w:jc w:val="center"/>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8443" w:type="dxa"/>
            <w:noWrap w:val="0"/>
            <w:vAlign w:val="center"/>
          </w:tcPr>
          <w:p>
            <w:pPr>
              <w:pStyle w:val="43"/>
              <w:ind w:left="1265" w:hanging="1265"/>
              <w:rPr>
                <w:rFonts w:hint="eastAsia" w:ascii="宋体" w:hAnsi="宋体" w:eastAsia="宋体" w:cs="宋体"/>
                <w:color w:val="auto"/>
                <w:highlight w:val="none"/>
              </w:rPr>
            </w:pPr>
            <w:r>
              <w:rPr>
                <w:rFonts w:hint="eastAsia" w:ascii="宋体" w:hAnsi="宋体" w:eastAsia="宋体" w:cs="宋体"/>
                <w:b/>
                <w:bCs/>
                <w:color w:val="auto"/>
                <w:highlight w:val="none"/>
              </w:rPr>
              <w:t>招标范围：</w:t>
            </w:r>
            <w:r>
              <w:rPr>
                <w:rFonts w:hint="eastAsia" w:ascii="宋体" w:hAnsi="宋体" w:eastAsia="宋体" w:cs="宋体"/>
                <w:color w:val="auto"/>
                <w:highlight w:val="none"/>
              </w:rPr>
              <w:t>详见投标人须知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3"/>
              <w:ind w:left="-466" w:leftChars="-222" w:right="42" w:rightChars="20" w:firstLine="464" w:firstLineChars="221"/>
              <w:jc w:val="center"/>
              <w:rPr>
                <w:rFonts w:hint="eastAsia" w:ascii="宋体" w:hAnsi="宋体" w:eastAsia="宋体" w:cs="宋体"/>
                <w:color w:val="auto"/>
                <w:highlight w:val="none"/>
                <w:lang w:val="en-US" w:eastAsia="zh-CN"/>
              </w:rPr>
            </w:pPr>
            <w:r>
              <w:rPr>
                <w:rFonts w:hint="eastAsia" w:hAnsi="宋体" w:eastAsia="宋体" w:cs="宋体"/>
                <w:color w:val="auto"/>
                <w:highlight w:val="none"/>
                <w:lang w:val="en-US" w:eastAsia="zh-CN"/>
              </w:rPr>
              <w:t>6</w:t>
            </w:r>
          </w:p>
        </w:tc>
        <w:tc>
          <w:tcPr>
            <w:tcW w:w="8443" w:type="dxa"/>
            <w:noWrap w:val="0"/>
            <w:vAlign w:val="center"/>
          </w:tcPr>
          <w:p>
            <w:pPr>
              <w:pStyle w:val="43"/>
              <w:ind w:left="1265" w:hanging="1265"/>
              <w:rPr>
                <w:rFonts w:hint="eastAsia" w:hAnsi="宋体" w:eastAsia="宋体" w:cs="宋体"/>
                <w:b w:val="0"/>
                <w:bCs w:val="0"/>
                <w:color w:val="auto"/>
                <w:highlight w:val="none"/>
                <w:lang w:val="en-US" w:eastAsia="zh-CN"/>
              </w:rPr>
            </w:pPr>
            <w:r>
              <w:rPr>
                <w:rFonts w:hint="eastAsia" w:hAnsi="宋体" w:eastAsia="宋体" w:cs="宋体"/>
                <w:b/>
                <w:bCs/>
                <w:color w:val="auto"/>
                <w:highlight w:val="none"/>
                <w:lang w:val="en-US" w:eastAsia="zh-CN"/>
              </w:rPr>
              <w:t>踏勘现场：</w:t>
            </w:r>
            <w:r>
              <w:rPr>
                <w:rFonts w:hint="eastAsia" w:ascii="宋体" w:hAnsi="宋体" w:eastAsia="宋体" w:cs="宋体"/>
                <w:b w:val="0"/>
                <w:bCs w:val="0"/>
                <w:color w:val="auto"/>
                <w:highlight w:val="none"/>
                <w:lang w:val="en-US" w:eastAsia="zh-CN"/>
              </w:rPr>
              <w:t>各投标人如有意愿可在探勘时间内自行前往踏勘，踏勘现</w:t>
            </w:r>
            <w:r>
              <w:rPr>
                <w:rFonts w:hint="eastAsia" w:hAnsi="宋体" w:eastAsia="宋体" w:cs="宋体"/>
                <w:b w:val="0"/>
                <w:bCs w:val="0"/>
                <w:color w:val="auto"/>
                <w:highlight w:val="none"/>
                <w:lang w:val="en-US" w:eastAsia="zh-CN"/>
              </w:rPr>
              <w:t>场发生的费用自理。</w:t>
            </w:r>
          </w:p>
          <w:p>
            <w:pPr>
              <w:pStyle w:val="43"/>
              <w:ind w:left="1265" w:hanging="1265"/>
              <w:rPr>
                <w:rFonts w:hint="default" w:hAnsi="宋体" w:eastAsia="宋体" w:cs="宋体"/>
                <w:b w:val="0"/>
                <w:bCs w:val="0"/>
                <w:color w:val="auto"/>
                <w:highlight w:val="none"/>
                <w:lang w:val="en-US" w:eastAsia="zh-CN"/>
              </w:rPr>
            </w:pPr>
            <w:r>
              <w:rPr>
                <w:rFonts w:hint="eastAsia" w:hAnsi="宋体" w:eastAsia="宋体" w:cs="宋体"/>
                <w:b/>
                <w:bCs/>
                <w:color w:val="auto"/>
                <w:highlight w:val="none"/>
                <w:lang w:val="en-US" w:eastAsia="zh-CN"/>
              </w:rPr>
              <w:t>踏勘时间：</w:t>
            </w:r>
            <w:r>
              <w:rPr>
                <w:rFonts w:hint="default" w:hAnsi="宋体" w:eastAsia="宋体" w:cs="宋体"/>
                <w:b w:val="0"/>
                <w:bCs w:val="0"/>
                <w:color w:val="auto"/>
                <w:highlight w:val="none"/>
                <w:lang w:val="en-US" w:eastAsia="zh-CN"/>
              </w:rPr>
              <w:t>2024年</w:t>
            </w:r>
            <w:r>
              <w:rPr>
                <w:rFonts w:hint="eastAsia" w:hAnsi="宋体" w:cs="宋体"/>
                <w:b w:val="0"/>
                <w:bCs w:val="0"/>
                <w:color w:val="auto"/>
                <w:highlight w:val="none"/>
                <w:lang w:val="en-US" w:eastAsia="zh-CN"/>
              </w:rPr>
              <w:t>8</w:t>
            </w:r>
            <w:r>
              <w:rPr>
                <w:rFonts w:hint="default" w:hAnsi="宋体" w:eastAsia="宋体" w:cs="宋体"/>
                <w:b w:val="0"/>
                <w:bCs w:val="0"/>
                <w:color w:val="auto"/>
                <w:highlight w:val="none"/>
                <w:lang w:val="en-US" w:eastAsia="zh-CN"/>
              </w:rPr>
              <w:t>月</w:t>
            </w:r>
            <w:r>
              <w:rPr>
                <w:rFonts w:hint="eastAsia" w:hAnsi="宋体" w:cs="宋体"/>
                <w:b w:val="0"/>
                <w:bCs w:val="0"/>
                <w:color w:val="auto"/>
                <w:highlight w:val="none"/>
                <w:lang w:val="en-US" w:eastAsia="zh-CN"/>
              </w:rPr>
              <w:t>13</w:t>
            </w:r>
            <w:r>
              <w:rPr>
                <w:rFonts w:hint="default" w:hAnsi="宋体" w:eastAsia="宋体" w:cs="宋体"/>
                <w:b w:val="0"/>
                <w:bCs w:val="0"/>
                <w:color w:val="auto"/>
                <w:highlight w:val="none"/>
                <w:lang w:val="en-US" w:eastAsia="zh-CN"/>
              </w:rPr>
              <w:t>日上午9:00-12:00；下午2:30-5:</w:t>
            </w:r>
            <w:r>
              <w:rPr>
                <w:rFonts w:hint="eastAsia" w:hAnsi="宋体" w:eastAsia="宋体" w:cs="宋体"/>
                <w:b w:val="0"/>
                <w:bCs w:val="0"/>
                <w:color w:val="auto"/>
                <w:highlight w:val="none"/>
                <w:lang w:val="en-US" w:eastAsia="zh-CN"/>
              </w:rPr>
              <w:t>3</w:t>
            </w:r>
            <w:r>
              <w:rPr>
                <w:rFonts w:hint="default" w:hAnsi="宋体" w:eastAsia="宋体" w:cs="宋体"/>
                <w:b w:val="0"/>
                <w:bCs w:val="0"/>
                <w:color w:val="auto"/>
                <w:highlight w:val="none"/>
                <w:lang w:val="en-US" w:eastAsia="zh-CN"/>
              </w:rPr>
              <w:t>0。</w:t>
            </w:r>
          </w:p>
          <w:p>
            <w:pPr>
              <w:pStyle w:val="43"/>
              <w:ind w:left="1265" w:hanging="1265"/>
              <w:rPr>
                <w:rFonts w:hint="eastAsia" w:hAnsi="宋体" w:eastAsia="宋体" w:cs="宋体"/>
                <w:b w:val="0"/>
                <w:bCs w:val="0"/>
                <w:color w:val="auto"/>
                <w:highlight w:val="none"/>
                <w:lang w:val="en-US" w:eastAsia="zh-CN"/>
              </w:rPr>
            </w:pPr>
            <w:r>
              <w:rPr>
                <w:rFonts w:hint="eastAsia" w:hAnsi="宋体" w:eastAsia="宋体" w:cs="宋体"/>
                <w:b/>
                <w:bCs/>
                <w:color w:val="auto"/>
                <w:highlight w:val="none"/>
                <w:lang w:val="en-US" w:eastAsia="zh-CN"/>
              </w:rPr>
              <w:t>踏勘地点</w:t>
            </w:r>
            <w:r>
              <w:rPr>
                <w:rFonts w:hint="eastAsia" w:ascii="宋体" w:hAnsi="宋体" w:eastAsia="宋体" w:cs="宋体"/>
                <w:b/>
                <w:bCs/>
                <w:color w:val="auto"/>
                <w:szCs w:val="24"/>
                <w:highlight w:val="none"/>
                <w:lang w:val="en-US" w:eastAsia="zh-CN"/>
              </w:rPr>
              <w:t>：</w:t>
            </w:r>
            <w:r>
              <w:rPr>
                <w:rFonts w:hint="eastAsia" w:ascii="宋体" w:hAnsi="宋体" w:eastAsia="宋体" w:cs="宋体"/>
                <w:b w:val="0"/>
                <w:bCs w:val="0"/>
                <w:color w:val="auto"/>
                <w:szCs w:val="24"/>
                <w:highlight w:val="none"/>
                <w:lang w:val="en-US" w:eastAsia="zh-CN"/>
              </w:rPr>
              <w:t>广东省广州市越秀区广州大道中289号招标人指定地点。</w:t>
            </w:r>
          </w:p>
          <w:p>
            <w:pPr>
              <w:pStyle w:val="43"/>
              <w:ind w:left="1265" w:hanging="1265"/>
              <w:rPr>
                <w:rFonts w:hint="default" w:ascii="宋体" w:hAnsi="宋体" w:eastAsia="宋体" w:cs="宋体"/>
                <w:b w:val="0"/>
                <w:bCs w:val="0"/>
                <w:color w:val="auto"/>
                <w:highlight w:val="none"/>
                <w:lang w:val="en-US" w:eastAsia="zh-CN"/>
              </w:rPr>
            </w:pPr>
            <w:r>
              <w:rPr>
                <w:rFonts w:hint="eastAsia" w:hAnsi="宋体" w:eastAsia="宋体" w:cs="宋体"/>
                <w:b/>
                <w:bCs/>
                <w:color w:val="auto"/>
                <w:highlight w:val="none"/>
                <w:lang w:val="en-US" w:eastAsia="zh-CN"/>
              </w:rPr>
              <w:t>联</w:t>
            </w:r>
            <w:r>
              <w:rPr>
                <w:rFonts w:hint="eastAsia" w:ascii="宋体" w:hAnsi="宋体" w:eastAsia="宋体" w:cs="宋体"/>
                <w:b/>
                <w:bCs/>
                <w:color w:val="auto"/>
                <w:highlight w:val="none"/>
                <w:lang w:val="en-US" w:eastAsia="zh-CN"/>
              </w:rPr>
              <w:t>系人：</w:t>
            </w:r>
            <w:r>
              <w:rPr>
                <w:rFonts w:hint="eastAsia"/>
                <w:color w:val="auto"/>
                <w:highlight w:val="none"/>
                <w:lang w:val="en-US" w:eastAsia="zh-CN"/>
              </w:rPr>
              <w:t>廖先生</w:t>
            </w:r>
          </w:p>
          <w:p>
            <w:pPr>
              <w:pStyle w:val="43"/>
              <w:ind w:left="1265" w:hanging="1265"/>
              <w:rPr>
                <w:rFonts w:hint="default"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联系方式：</w:t>
            </w:r>
            <w:r>
              <w:rPr>
                <w:rFonts w:hint="eastAsia" w:hAnsi="宋体" w:eastAsia="宋体" w:cs="宋体"/>
                <w:b w:val="0"/>
                <w:bCs w:val="0"/>
                <w:color w:val="auto"/>
                <w:highlight w:val="none"/>
                <w:lang w:val="en-US" w:eastAsia="zh-CN"/>
              </w:rPr>
              <w:t>020-83003381（工作时间</w:t>
            </w:r>
            <w:r>
              <w:rPr>
                <w:rFonts w:hint="default" w:hAnsi="宋体" w:eastAsia="宋体" w:cs="宋体"/>
                <w:b w:val="0"/>
                <w:bCs w:val="0"/>
                <w:color w:val="auto"/>
                <w:highlight w:val="none"/>
                <w:lang w:val="en-US" w:eastAsia="zh-CN"/>
              </w:rPr>
              <w:t>上午9:00-12:00；下午2:30-5:</w:t>
            </w:r>
            <w:r>
              <w:rPr>
                <w:rFonts w:hint="eastAsia" w:hAnsi="宋体" w:eastAsia="宋体" w:cs="宋体"/>
                <w:b w:val="0"/>
                <w:bCs w:val="0"/>
                <w:color w:val="auto"/>
                <w:highlight w:val="none"/>
                <w:lang w:val="en-US" w:eastAsia="zh-CN"/>
              </w:rPr>
              <w:t>3</w:t>
            </w:r>
            <w:r>
              <w:rPr>
                <w:rFonts w:hint="default" w:hAnsi="宋体" w:eastAsia="宋体" w:cs="宋体"/>
                <w:b w:val="0"/>
                <w:bCs w:val="0"/>
                <w:color w:val="auto"/>
                <w:highlight w:val="none"/>
                <w:lang w:val="en-US" w:eastAsia="zh-CN"/>
              </w:rPr>
              <w:t>0</w:t>
            </w:r>
            <w:r>
              <w:rPr>
                <w:rFonts w:hint="eastAsia" w:hAnsi="宋体" w:eastAsia="宋体" w:cs="宋体"/>
                <w:b w:val="0"/>
                <w:bCs w:val="0"/>
                <w:color w:val="auto"/>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noWrap w:val="0"/>
            <w:vAlign w:val="center"/>
          </w:tcPr>
          <w:p>
            <w:pPr>
              <w:pStyle w:val="43"/>
              <w:ind w:left="-466" w:leftChars="-222" w:right="42" w:rightChars="20" w:firstLine="464" w:firstLineChars="221"/>
              <w:jc w:val="center"/>
              <w:rPr>
                <w:rFonts w:hint="eastAsia" w:ascii="宋体" w:hAnsi="宋体" w:eastAsia="宋体" w:cs="宋体"/>
                <w:color w:val="auto"/>
                <w:highlight w:val="none"/>
                <w:lang w:eastAsia="zh-CN"/>
              </w:rPr>
            </w:pPr>
            <w:r>
              <w:rPr>
                <w:rFonts w:hint="default" w:hAnsi="宋体" w:eastAsia="宋体" w:cs="宋体"/>
                <w:color w:val="auto"/>
                <w:highlight w:val="none"/>
                <w:lang w:val="en-US" w:eastAsia="zh-CN"/>
              </w:rPr>
              <w:t>7</w:t>
            </w:r>
          </w:p>
        </w:tc>
        <w:tc>
          <w:tcPr>
            <w:tcW w:w="8443" w:type="dxa"/>
            <w:noWrap w:val="0"/>
            <w:vAlign w:val="center"/>
          </w:tcPr>
          <w:p>
            <w:pPr>
              <w:pStyle w:val="43"/>
              <w:ind w:left="1" w:firstLine="0"/>
              <w:jc w:val="left"/>
              <w:rPr>
                <w:rFonts w:hint="eastAsia" w:ascii="宋体" w:hAnsi="宋体" w:eastAsia="宋体" w:cs="宋体"/>
                <w:color w:val="auto"/>
                <w:highlight w:val="none"/>
              </w:rPr>
            </w:pPr>
            <w:r>
              <w:rPr>
                <w:rFonts w:hint="eastAsia" w:ascii="宋体" w:hAnsi="宋体" w:eastAsia="宋体" w:cs="宋体"/>
                <w:b/>
                <w:bCs/>
                <w:color w:val="auto"/>
                <w:highlight w:val="none"/>
              </w:rPr>
              <w:t>投标文件份数：</w:t>
            </w:r>
            <w:r>
              <w:rPr>
                <w:rFonts w:hint="eastAsia" w:ascii="宋体" w:hAnsi="宋体" w:eastAsia="宋体" w:cs="宋体"/>
                <w:color w:val="auto"/>
                <w:highlight w:val="none"/>
              </w:rPr>
              <w:t>中文正本1份；中文副本4份；投标文件电子文档1份（usb闪存盘）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43"/>
              <w:ind w:left="-466" w:leftChars="-222" w:right="42" w:rightChars="20" w:firstLine="464" w:firstLineChars="221"/>
              <w:jc w:val="center"/>
              <w:rPr>
                <w:rFonts w:hint="eastAsia" w:ascii="宋体" w:hAnsi="宋体" w:eastAsia="宋体" w:cs="宋体"/>
                <w:color w:val="auto"/>
                <w:highlight w:val="none"/>
                <w:lang w:eastAsia="zh-CN"/>
              </w:rPr>
            </w:pPr>
            <w:r>
              <w:rPr>
                <w:rFonts w:hint="eastAsia" w:hAnsi="宋体" w:eastAsia="宋体" w:cs="宋体"/>
                <w:color w:val="auto"/>
                <w:highlight w:val="none"/>
                <w:lang w:val="en-US" w:eastAsia="zh-CN"/>
              </w:rPr>
              <w:t>8</w:t>
            </w:r>
          </w:p>
        </w:tc>
        <w:tc>
          <w:tcPr>
            <w:tcW w:w="8443" w:type="dxa"/>
            <w:noWrap w:val="0"/>
            <w:vAlign w:val="center"/>
          </w:tcPr>
          <w:p>
            <w:pPr>
              <w:pStyle w:val="43"/>
              <w:ind w:left="1265" w:hanging="1265"/>
              <w:rPr>
                <w:rFonts w:hint="eastAsia" w:ascii="宋体" w:hAnsi="宋体" w:eastAsia="宋体" w:cs="宋体"/>
                <w:color w:val="auto"/>
                <w:highlight w:val="none"/>
              </w:rPr>
            </w:pPr>
            <w:r>
              <w:rPr>
                <w:rFonts w:hint="eastAsia" w:ascii="宋体" w:hAnsi="宋体" w:eastAsia="宋体" w:cs="宋体"/>
                <w:b/>
                <w:bCs/>
                <w:color w:val="auto"/>
                <w:highlight w:val="none"/>
              </w:rPr>
              <w:t>投标有效期：</w:t>
            </w:r>
            <w:r>
              <w:rPr>
                <w:rFonts w:hint="eastAsia" w:ascii="宋体" w:hAnsi="宋体" w:eastAsia="宋体" w:cs="宋体"/>
                <w:b/>
                <w:color w:val="auto"/>
                <w:highlight w:val="none"/>
                <w:u w:val="single"/>
              </w:rPr>
              <w:t>90天（日历天）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3" w:type="dxa"/>
            <w:noWrap w:val="0"/>
            <w:vAlign w:val="center"/>
          </w:tcPr>
          <w:p>
            <w:pPr>
              <w:pStyle w:val="43"/>
              <w:ind w:left="-466" w:leftChars="-222" w:right="42" w:rightChars="20" w:firstLine="464" w:firstLineChars="221"/>
              <w:jc w:val="center"/>
              <w:rPr>
                <w:rFonts w:hint="eastAsia" w:ascii="宋体" w:hAnsi="宋体" w:eastAsia="宋体" w:cs="宋体"/>
                <w:color w:val="auto"/>
                <w:highlight w:val="none"/>
                <w:lang w:eastAsia="zh-CN"/>
              </w:rPr>
            </w:pPr>
            <w:r>
              <w:rPr>
                <w:rFonts w:hint="eastAsia" w:hAnsi="宋体" w:eastAsia="宋体" w:cs="宋体"/>
                <w:color w:val="auto"/>
                <w:highlight w:val="none"/>
                <w:lang w:val="en-US" w:eastAsia="zh-CN"/>
              </w:rPr>
              <w:t>9</w:t>
            </w:r>
          </w:p>
        </w:tc>
        <w:tc>
          <w:tcPr>
            <w:tcW w:w="8443" w:type="dxa"/>
            <w:noWrap w:val="0"/>
            <w:vAlign w:val="top"/>
          </w:tcPr>
          <w:p>
            <w:pPr>
              <w:pStyle w:val="43"/>
              <w:spacing w:before="120" w:after="120"/>
              <w:ind w:left="1" w:firstLine="0"/>
              <w:rPr>
                <w:rFonts w:hint="eastAsia" w:ascii="宋体" w:hAnsi="宋体" w:eastAsia="宋体" w:cs="宋体"/>
                <w:b/>
                <w:bCs/>
                <w:color w:val="auto"/>
                <w:highlight w:val="none"/>
              </w:rPr>
            </w:pPr>
            <w:r>
              <w:rPr>
                <w:rFonts w:hint="eastAsia" w:ascii="宋体" w:hAnsi="宋体" w:eastAsia="宋体" w:cs="宋体"/>
                <w:b/>
                <w:bCs/>
                <w:color w:val="auto"/>
                <w:highlight w:val="none"/>
              </w:rPr>
              <w:t>投标保证金：</w:t>
            </w:r>
          </w:p>
          <w:p>
            <w:pPr>
              <w:pStyle w:val="43"/>
              <w:spacing w:before="120" w:after="120"/>
              <w:ind w:left="1" w:firstLine="0"/>
              <w:rPr>
                <w:rFonts w:hint="eastAsia" w:ascii="宋体" w:hAnsi="宋体" w:eastAsia="宋体" w:cs="宋体"/>
                <w:b/>
                <w:bCs/>
                <w:color w:val="auto"/>
                <w:highlight w:val="none"/>
              </w:rPr>
            </w:pPr>
            <w:r>
              <w:rPr>
                <w:rFonts w:hint="eastAsia" w:ascii="宋体" w:hAnsi="宋体" w:eastAsia="宋体" w:cs="宋体"/>
                <w:b/>
                <w:bCs/>
                <w:color w:val="auto"/>
                <w:highlight w:val="none"/>
              </w:rPr>
              <w:t>1、投标保证金金额：</w:t>
            </w:r>
          </w:p>
          <w:p>
            <w:pPr>
              <w:pStyle w:val="43"/>
              <w:spacing w:before="120" w:after="120"/>
              <w:ind w:left="1" w:firstLine="0"/>
              <w:rPr>
                <w:rFonts w:hint="eastAsia" w:ascii="宋体" w:hAnsi="宋体" w:eastAsia="宋体" w:cs="宋体"/>
                <w:b/>
                <w:bCs/>
                <w:color w:val="auto"/>
                <w:highlight w:val="none"/>
              </w:rPr>
            </w:pPr>
            <w:r>
              <w:rPr>
                <w:rFonts w:hint="eastAsia" w:ascii="宋体" w:hAnsi="宋体" w:eastAsia="宋体" w:cs="宋体"/>
                <w:b/>
                <w:bCs/>
                <w:color w:val="auto"/>
                <w:highlight w:val="none"/>
              </w:rPr>
              <w:t>投标人必须提交</w:t>
            </w:r>
            <w:r>
              <w:rPr>
                <w:rFonts w:hint="eastAsia" w:hAnsi="宋体" w:eastAsia="宋体" w:cs="宋体"/>
                <w:b/>
                <w:bCs/>
                <w:color w:val="auto"/>
                <w:highlight w:val="none"/>
                <w:lang w:val="en-US" w:eastAsia="zh-CN"/>
              </w:rPr>
              <w:t>¥</w:t>
            </w:r>
            <w:r>
              <w:rPr>
                <w:rFonts w:hint="eastAsia" w:ascii="宋体" w:hAnsi="宋体" w:eastAsia="宋体" w:cs="宋体"/>
                <w:b/>
                <w:bCs/>
                <w:color w:val="auto"/>
                <w:highlight w:val="none"/>
                <w:u w:val="single"/>
                <w:lang w:val="en-US" w:eastAsia="zh-CN"/>
              </w:rPr>
              <w:t>2</w:t>
            </w:r>
            <w:r>
              <w:rPr>
                <w:rFonts w:hint="eastAsia" w:ascii="宋体" w:hAnsi="宋体" w:eastAsia="宋体" w:cs="宋体"/>
                <w:b/>
                <w:bCs/>
                <w:color w:val="auto"/>
                <w:highlight w:val="none"/>
                <w:u w:val="single"/>
              </w:rPr>
              <w:t>0000.00</w:t>
            </w:r>
            <w:r>
              <w:rPr>
                <w:rFonts w:hint="eastAsia" w:ascii="宋体" w:hAnsi="宋体" w:eastAsia="宋体" w:cs="宋体"/>
                <w:b/>
                <w:bCs/>
                <w:color w:val="auto"/>
                <w:highlight w:val="none"/>
              </w:rPr>
              <w:t>元(大写：人民币</w:t>
            </w:r>
            <w:r>
              <w:rPr>
                <w:rFonts w:hint="eastAsia" w:ascii="宋体" w:hAnsi="宋体" w:eastAsia="宋体" w:cs="宋体"/>
                <w:b/>
                <w:bCs/>
                <w:color w:val="auto"/>
                <w:highlight w:val="none"/>
                <w:lang w:val="en-US" w:eastAsia="zh-CN"/>
              </w:rPr>
              <w:t>贰</w:t>
            </w:r>
            <w:r>
              <w:rPr>
                <w:rFonts w:hint="eastAsia" w:ascii="宋体" w:hAnsi="宋体" w:eastAsia="宋体" w:cs="宋体"/>
                <w:b/>
                <w:bCs/>
                <w:color w:val="auto"/>
                <w:highlight w:val="none"/>
              </w:rPr>
              <w:t>万元整)的投标保证金</w:t>
            </w:r>
          </w:p>
          <w:p>
            <w:pPr>
              <w:pStyle w:val="43"/>
              <w:spacing w:before="120" w:after="120" w:line="240" w:lineRule="auto"/>
              <w:ind w:left="1" w:firstLine="0"/>
              <w:rPr>
                <w:rFonts w:hint="eastAsia" w:ascii="宋体" w:hAnsi="宋体" w:eastAsia="宋体" w:cs="宋体"/>
                <w:color w:val="auto"/>
                <w:highlight w:val="none"/>
              </w:rPr>
            </w:pPr>
            <w:r>
              <w:rPr>
                <w:rFonts w:hint="eastAsia" w:ascii="宋体" w:hAnsi="宋体" w:eastAsia="宋体" w:cs="宋体"/>
                <w:b/>
                <w:bCs/>
                <w:color w:val="auto"/>
                <w:highlight w:val="none"/>
              </w:rPr>
              <w:t>2、投标保证金缴纳方式：</w:t>
            </w:r>
            <w:r>
              <w:rPr>
                <w:rFonts w:hint="eastAsia" w:ascii="宋体" w:hAnsi="宋体" w:eastAsia="宋体" w:cs="宋体"/>
                <w:color w:val="auto"/>
                <w:highlight w:val="none"/>
              </w:rPr>
              <w:t>（1）按银行子账号信息汇款/转账方式缴纳；或（2）电子保函线上缴纳方式：</w:t>
            </w:r>
          </w:p>
          <w:p>
            <w:pPr>
              <w:pStyle w:val="43"/>
              <w:ind w:firstLine="0"/>
              <w:rPr>
                <w:rFonts w:hint="eastAsia" w:ascii="宋体" w:hAnsi="宋体" w:eastAsia="宋体" w:cs="宋体"/>
                <w:b/>
                <w:bCs/>
                <w:color w:val="auto"/>
                <w:highlight w:val="none"/>
              </w:rPr>
            </w:pPr>
            <w:r>
              <w:rPr>
                <w:rFonts w:hint="eastAsia" w:ascii="宋体" w:hAnsi="宋体" w:eastAsia="宋体" w:cs="宋体"/>
                <w:b/>
                <w:bCs/>
                <w:color w:val="auto"/>
                <w:highlight w:val="none"/>
              </w:rPr>
              <w:t>（1）银行子账号信息汇款/转账缴纳方式：</w:t>
            </w:r>
          </w:p>
          <w:p>
            <w:pPr>
              <w:pStyle w:val="43"/>
              <w:ind w:firstLine="0"/>
              <w:rPr>
                <w:rFonts w:hint="eastAsia" w:ascii="宋体" w:hAnsi="宋体" w:eastAsia="宋体" w:cs="宋体"/>
                <w:color w:val="auto"/>
                <w:highlight w:val="none"/>
              </w:rPr>
            </w:pPr>
            <w:r>
              <w:rPr>
                <w:rFonts w:hint="eastAsia" w:ascii="宋体" w:hAnsi="宋体" w:eastAsia="宋体" w:cs="宋体"/>
                <w:color w:val="auto"/>
                <w:highlight w:val="none"/>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pPr>
              <w:pStyle w:val="43"/>
              <w:ind w:firstLine="0"/>
              <w:rPr>
                <w:rFonts w:hint="eastAsia" w:ascii="宋体" w:hAnsi="宋体" w:eastAsia="宋体" w:cs="宋体"/>
                <w:color w:val="auto"/>
                <w:highlight w:val="none"/>
              </w:rPr>
            </w:pPr>
            <w:r>
              <w:rPr>
                <w:rFonts w:hint="eastAsia" w:ascii="宋体" w:hAnsi="宋体" w:eastAsia="宋体" w:cs="宋体"/>
                <w:color w:val="auto"/>
                <w:highlight w:val="none"/>
              </w:rPr>
              <w:t>②投标保证金应从投标人的基本户中支付，并以资金到达该子账号的时间为准，如从其他账户、或未缴纳到指定的子账号，视为无效投标保证金。</w:t>
            </w:r>
          </w:p>
          <w:p>
            <w:pPr>
              <w:pStyle w:val="43"/>
              <w:ind w:firstLine="0"/>
              <w:rPr>
                <w:rFonts w:hint="eastAsia" w:ascii="宋体" w:hAnsi="宋体" w:eastAsia="宋体" w:cs="宋体"/>
                <w:color w:val="auto"/>
                <w:highlight w:val="none"/>
              </w:rPr>
            </w:pPr>
            <w:r>
              <w:rPr>
                <w:rFonts w:hint="eastAsia" w:ascii="宋体" w:hAnsi="宋体" w:eastAsia="宋体" w:cs="宋体"/>
                <w:color w:val="auto"/>
                <w:highlight w:val="none"/>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供应商自行承担责任。</w:t>
            </w:r>
          </w:p>
          <w:p>
            <w:pPr>
              <w:pStyle w:val="43"/>
              <w:ind w:firstLine="0"/>
              <w:rPr>
                <w:rFonts w:hint="eastAsia" w:ascii="宋体" w:hAnsi="宋体" w:eastAsia="宋体" w:cs="宋体"/>
                <w:b/>
                <w:bCs/>
                <w:color w:val="auto"/>
                <w:highlight w:val="none"/>
              </w:rPr>
            </w:pPr>
            <w:r>
              <w:rPr>
                <w:rFonts w:hint="eastAsia" w:ascii="宋体" w:hAnsi="宋体" w:eastAsia="宋体" w:cs="宋体"/>
                <w:b/>
                <w:bCs/>
                <w:color w:val="auto"/>
                <w:highlight w:val="none"/>
              </w:rPr>
              <w:t>（2）电子保函线上缴纳方式：</w:t>
            </w:r>
          </w:p>
          <w:p>
            <w:pPr>
              <w:pStyle w:val="43"/>
              <w:ind w:firstLine="0"/>
              <w:rPr>
                <w:rFonts w:hint="eastAsia" w:ascii="宋体" w:hAnsi="宋体" w:eastAsia="宋体" w:cs="宋体"/>
                <w:color w:val="auto"/>
                <w:highlight w:val="none"/>
              </w:rPr>
            </w:pPr>
            <w:r>
              <w:rPr>
                <w:rFonts w:hint="eastAsia" w:ascii="宋体" w:hAnsi="宋体" w:eastAsia="宋体" w:cs="宋体"/>
                <w:color w:val="auto"/>
                <w:highlight w:val="none"/>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pPr>
              <w:pStyle w:val="43"/>
              <w:ind w:firstLine="0"/>
              <w:rPr>
                <w:rFonts w:hint="eastAsia" w:ascii="宋体" w:hAnsi="宋体" w:eastAsia="宋体" w:cs="宋体"/>
                <w:color w:val="auto"/>
                <w:highlight w:val="none"/>
              </w:rPr>
            </w:pPr>
            <w:r>
              <w:rPr>
                <w:rFonts w:hint="eastAsia" w:ascii="宋体" w:hAnsi="宋体" w:eastAsia="宋体" w:cs="宋体"/>
                <w:color w:val="auto"/>
                <w:highlight w:val="none"/>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pPr>
              <w:pStyle w:val="43"/>
              <w:ind w:firstLineChars="200"/>
              <w:rPr>
                <w:rFonts w:hint="eastAsia" w:ascii="宋体" w:hAnsi="宋体" w:eastAsia="宋体" w:cs="宋体"/>
                <w:color w:val="auto"/>
                <w:highlight w:val="none"/>
              </w:rPr>
            </w:pPr>
            <w:r>
              <w:rPr>
                <w:rFonts w:hint="eastAsia" w:ascii="宋体" w:hAnsi="宋体" w:eastAsia="宋体" w:cs="宋体"/>
                <w:color w:val="auto"/>
                <w:highlight w:val="none"/>
              </w:rPr>
              <w:t>具体操作可访问广咨电子招投标交易平台：平台服务》办事指引》电子保函方式缴纳保证金。</w:t>
            </w:r>
          </w:p>
          <w:p>
            <w:pPr>
              <w:pStyle w:val="43"/>
              <w:ind w:firstLine="0"/>
              <w:rPr>
                <w:rFonts w:hint="eastAsia" w:ascii="宋体" w:hAnsi="宋体" w:eastAsia="宋体" w:cs="宋体"/>
                <w:color w:val="auto"/>
                <w:highlight w:val="none"/>
              </w:rPr>
            </w:pPr>
            <w:r>
              <w:rPr>
                <w:rFonts w:hint="eastAsia" w:ascii="宋体" w:hAnsi="宋体" w:eastAsia="宋体" w:cs="宋体"/>
                <w:color w:val="auto"/>
                <w:highlight w:val="none"/>
              </w:rPr>
              <w:t>（投标保证金缴纳指南具体见：广咨电子招投标交易平台网站（www.gzebid.cn）首页&gt;平台服务&gt;办事指南&gt;广咨电子招投标交易平台网上缴纳投标保证金说明，咨询热线电话：400-150-3001 网站客服(QQ)：3151435402。）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pPr>
              <w:pStyle w:val="43"/>
              <w:ind w:left="-466" w:leftChars="-222" w:right="42" w:rightChars="20" w:firstLine="464" w:firstLineChars="221"/>
              <w:jc w:val="center"/>
              <w:rPr>
                <w:rFonts w:hint="default" w:ascii="宋体" w:hAnsi="宋体" w:eastAsia="宋体" w:cs="宋体"/>
                <w:color w:val="auto"/>
                <w:highlight w:val="none"/>
                <w:lang w:val="en-US" w:eastAsia="zh-CN"/>
              </w:rPr>
            </w:pPr>
            <w:r>
              <w:rPr>
                <w:rFonts w:hint="eastAsia" w:hAnsi="宋体" w:eastAsia="宋体" w:cs="宋体"/>
                <w:color w:val="auto"/>
                <w:highlight w:val="none"/>
                <w:lang w:val="en-US" w:eastAsia="zh-CN"/>
              </w:rPr>
              <w:t>10</w:t>
            </w:r>
          </w:p>
        </w:tc>
        <w:tc>
          <w:tcPr>
            <w:tcW w:w="8443" w:type="dxa"/>
            <w:noWrap w:val="0"/>
            <w:vAlign w:val="top"/>
          </w:tcPr>
          <w:p>
            <w:pPr>
              <w:pStyle w:val="43"/>
              <w:ind w:left="1265" w:hanging="1265"/>
              <w:rPr>
                <w:rFonts w:hint="eastAsia" w:ascii="宋体" w:hAnsi="宋体" w:eastAsia="宋体" w:cs="宋体"/>
                <w:color w:val="auto"/>
                <w:highlight w:val="none"/>
              </w:rPr>
            </w:pPr>
            <w:r>
              <w:rPr>
                <w:rFonts w:hint="eastAsia" w:ascii="宋体" w:hAnsi="宋体" w:eastAsia="宋体" w:cs="宋体"/>
                <w:color w:val="auto"/>
                <w:highlight w:val="none"/>
              </w:rPr>
              <w:t>投标截止时间：</w:t>
            </w:r>
            <w:r>
              <w:rPr>
                <w:rFonts w:hint="eastAsia" w:ascii="宋体" w:hAnsi="宋体" w:eastAsia="宋体" w:cs="宋体"/>
                <w:color w:val="auto"/>
                <w:highlight w:val="none"/>
                <w:u w:val="single"/>
              </w:rPr>
              <w:t>详见投标邀请函</w:t>
            </w:r>
          </w:p>
          <w:p>
            <w:pPr>
              <w:pStyle w:val="43"/>
              <w:ind w:firstLine="0"/>
              <w:rPr>
                <w:rFonts w:hint="eastAsia" w:ascii="宋体" w:hAnsi="宋体" w:eastAsia="宋体" w:cs="宋体"/>
                <w:color w:val="auto"/>
                <w:highlight w:val="none"/>
              </w:rPr>
            </w:pPr>
            <w:r>
              <w:rPr>
                <w:rFonts w:hint="eastAsia" w:ascii="宋体" w:hAnsi="宋体" w:eastAsia="宋体" w:cs="宋体"/>
                <w:color w:val="auto"/>
                <w:highlight w:val="none"/>
              </w:rPr>
              <w:t>投标文件递交地址：</w:t>
            </w:r>
            <w:r>
              <w:rPr>
                <w:rFonts w:hint="eastAsia" w:ascii="宋体" w:hAnsi="宋体" w:eastAsia="宋体" w:cs="宋体"/>
                <w:color w:val="auto"/>
                <w:highlight w:val="none"/>
                <w:u w:val="single"/>
              </w:rPr>
              <w:t>详见投标邀请函</w:t>
            </w:r>
            <w:r>
              <w:rPr>
                <w:rFonts w:hint="eastAsia" w:ascii="宋体" w:hAnsi="宋体" w:eastAsia="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noWrap w:val="0"/>
            <w:vAlign w:val="center"/>
          </w:tcPr>
          <w:p>
            <w:pPr>
              <w:pStyle w:val="43"/>
              <w:ind w:left="-466" w:leftChars="-222" w:right="42" w:rightChars="20" w:firstLine="464" w:firstLineChars="221"/>
              <w:jc w:val="center"/>
              <w:rPr>
                <w:rFonts w:hint="default" w:ascii="宋体" w:hAnsi="宋体" w:eastAsia="宋体" w:cs="宋体"/>
                <w:color w:val="auto"/>
                <w:highlight w:val="none"/>
                <w:lang w:val="en-US" w:eastAsia="zh-CN"/>
              </w:rPr>
            </w:pPr>
            <w:r>
              <w:rPr>
                <w:rFonts w:hint="eastAsia" w:hAnsi="宋体" w:eastAsia="宋体" w:cs="宋体"/>
                <w:color w:val="auto"/>
                <w:highlight w:val="none"/>
                <w:lang w:val="en-US" w:eastAsia="zh-CN"/>
              </w:rPr>
              <w:t>11</w:t>
            </w:r>
          </w:p>
        </w:tc>
        <w:tc>
          <w:tcPr>
            <w:tcW w:w="8443" w:type="dxa"/>
            <w:noWrap w:val="0"/>
            <w:vAlign w:val="top"/>
          </w:tcPr>
          <w:p>
            <w:pPr>
              <w:pStyle w:val="43"/>
              <w:ind w:left="1265" w:hanging="1265"/>
              <w:rPr>
                <w:rFonts w:hint="eastAsia" w:ascii="宋体" w:hAnsi="宋体" w:eastAsia="宋体" w:cs="宋体"/>
                <w:color w:val="auto"/>
                <w:highlight w:val="none"/>
              </w:rPr>
            </w:pPr>
            <w:r>
              <w:rPr>
                <w:rFonts w:hint="eastAsia" w:ascii="宋体" w:hAnsi="宋体" w:eastAsia="宋体" w:cs="宋体"/>
                <w:color w:val="auto"/>
                <w:highlight w:val="none"/>
              </w:rPr>
              <w:t>开标时间：</w:t>
            </w:r>
            <w:r>
              <w:rPr>
                <w:rFonts w:hint="eastAsia" w:ascii="宋体" w:hAnsi="宋体" w:eastAsia="宋体" w:cs="宋体"/>
                <w:color w:val="auto"/>
                <w:highlight w:val="none"/>
                <w:u w:val="single"/>
              </w:rPr>
              <w:t>详见投标邀请函</w:t>
            </w:r>
          </w:p>
          <w:p>
            <w:pPr>
              <w:pStyle w:val="43"/>
              <w:ind w:left="1265" w:hanging="1265"/>
              <w:rPr>
                <w:rFonts w:hint="eastAsia" w:ascii="宋体" w:hAnsi="宋体" w:eastAsia="宋体" w:cs="宋体"/>
                <w:color w:val="auto"/>
                <w:highlight w:val="none"/>
              </w:rPr>
            </w:pPr>
            <w:r>
              <w:rPr>
                <w:rFonts w:hint="eastAsia" w:ascii="宋体" w:hAnsi="宋体" w:eastAsia="宋体" w:cs="宋体"/>
                <w:color w:val="auto"/>
                <w:highlight w:val="none"/>
              </w:rPr>
              <w:t>地址：</w:t>
            </w:r>
            <w:r>
              <w:rPr>
                <w:rFonts w:hint="eastAsia" w:ascii="宋体" w:hAnsi="宋体" w:eastAsia="宋体" w:cs="宋体"/>
                <w:color w:val="auto"/>
                <w:highlight w:val="none"/>
                <w:u w:val="single"/>
              </w:rPr>
              <w:t>详见投标邀请函</w:t>
            </w:r>
            <w:r>
              <w:rPr>
                <w:rFonts w:hint="eastAsia" w:ascii="宋体" w:hAnsi="宋体" w:eastAsia="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noWrap w:val="0"/>
            <w:vAlign w:val="center"/>
          </w:tcPr>
          <w:p>
            <w:pPr>
              <w:pStyle w:val="43"/>
              <w:ind w:left="-466" w:leftChars="-222" w:right="42" w:rightChars="20" w:firstLine="464" w:firstLineChars="221"/>
              <w:jc w:val="center"/>
              <w:rPr>
                <w:rFonts w:hint="default" w:ascii="宋体" w:hAnsi="宋体" w:eastAsia="宋体" w:cs="宋体"/>
                <w:color w:val="auto"/>
                <w:highlight w:val="none"/>
                <w:lang w:val="en-US" w:eastAsia="zh-CN"/>
              </w:rPr>
            </w:pPr>
            <w:r>
              <w:rPr>
                <w:rFonts w:hint="eastAsia" w:hAnsi="宋体" w:eastAsia="宋体" w:cs="宋体"/>
                <w:color w:val="auto"/>
                <w:highlight w:val="none"/>
                <w:lang w:val="en-US" w:eastAsia="zh-CN"/>
              </w:rPr>
              <w:t>12</w:t>
            </w:r>
          </w:p>
        </w:tc>
        <w:tc>
          <w:tcPr>
            <w:tcW w:w="8443" w:type="dxa"/>
            <w:noWrap w:val="0"/>
            <w:vAlign w:val="top"/>
          </w:tcPr>
          <w:p>
            <w:pPr>
              <w:pStyle w:val="24"/>
              <w:rPr>
                <w:rFonts w:hint="eastAsia" w:ascii="宋体" w:hAnsi="宋体" w:eastAsia="宋体" w:cs="宋体"/>
                <w:color w:val="auto"/>
                <w:highlight w:val="none"/>
                <w:lang w:eastAsia="zh-CN"/>
              </w:rPr>
            </w:pPr>
            <w:r>
              <w:rPr>
                <w:rFonts w:hint="eastAsia" w:ascii="宋体" w:hAnsi="宋体" w:eastAsia="宋体" w:cs="宋体"/>
                <w:color w:val="auto"/>
                <w:highlight w:val="none"/>
              </w:rPr>
              <w:t>招 标 人：</w:t>
            </w:r>
            <w:r>
              <w:rPr>
                <w:rFonts w:hint="eastAsia" w:ascii="宋体" w:hAnsi="宋体" w:eastAsia="宋体" w:cs="宋体"/>
                <w:color w:val="auto"/>
                <w:highlight w:val="none"/>
                <w:lang w:eastAsia="zh-CN"/>
              </w:rPr>
              <w:t>广东南方报业传媒集团物业管理有限公司</w:t>
            </w:r>
          </w:p>
          <w:p>
            <w:pPr>
              <w:pStyle w:val="24"/>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地    址：</w:t>
            </w:r>
            <w:r>
              <w:rPr>
                <w:rFonts w:hint="eastAsia" w:ascii="宋体" w:hAnsi="宋体" w:eastAsia="宋体" w:cs="宋体"/>
                <w:color w:val="auto"/>
                <w:highlight w:val="none"/>
                <w:lang w:val="en-US" w:eastAsia="zh-CN"/>
              </w:rPr>
              <w:t>广东省广州市越秀区广州大道中289号</w:t>
            </w:r>
          </w:p>
          <w:p>
            <w:pPr>
              <w:pStyle w:val="24"/>
              <w:rPr>
                <w:rFonts w:hint="default" w:ascii="宋体" w:hAnsi="宋体" w:eastAsia="宋体" w:cs="宋体"/>
                <w:color w:val="auto"/>
                <w:highlight w:val="none"/>
                <w:lang w:val="en-US" w:eastAsia="zh-CN"/>
              </w:rPr>
            </w:pPr>
            <w:r>
              <w:rPr>
                <w:rFonts w:hint="eastAsia" w:ascii="宋体" w:hAnsi="宋体" w:eastAsia="宋体" w:cs="宋体"/>
                <w:color w:val="auto"/>
                <w:highlight w:val="none"/>
              </w:rPr>
              <w:t>联 系 人：</w:t>
            </w:r>
            <w:r>
              <w:rPr>
                <w:rFonts w:hint="eastAsia" w:ascii="宋体" w:hAnsi="宋体" w:eastAsia="宋体" w:cs="宋体"/>
                <w:color w:val="auto"/>
                <w:highlight w:val="none"/>
                <w:lang w:val="en-US" w:eastAsia="zh-CN"/>
              </w:rPr>
              <w:t>廖先生</w:t>
            </w:r>
          </w:p>
          <w:p>
            <w:pPr>
              <w:pStyle w:val="24"/>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    话</w:t>
            </w:r>
            <w:r>
              <w:rPr>
                <w:rFonts w:hint="eastAsia" w:ascii="宋体" w:hAnsi="宋体" w:eastAsia="宋体" w:cs="宋体"/>
                <w:color w:val="auto"/>
                <w:szCs w:val="21"/>
                <w:highlight w:val="none"/>
                <w:lang w:val="en-US" w:eastAsia="zh-CN"/>
              </w:rPr>
              <w:t>：</w:t>
            </w:r>
            <w:r>
              <w:rPr>
                <w:rFonts w:hint="eastAsia" w:ascii="宋体" w:hAnsi="宋体" w:eastAsia="宋体" w:cs="宋体"/>
                <w:b w:val="0"/>
                <w:bCs w:val="0"/>
                <w:color w:val="auto"/>
                <w:szCs w:val="21"/>
                <w:highlight w:val="none"/>
                <w:lang w:val="en-US" w:eastAsia="zh-CN"/>
              </w:rPr>
              <w:t>020-83003381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noWrap w:val="0"/>
            <w:vAlign w:val="center"/>
          </w:tcPr>
          <w:p>
            <w:pPr>
              <w:pStyle w:val="43"/>
              <w:ind w:left="-466" w:leftChars="-222" w:right="42" w:rightChars="20" w:firstLine="464" w:firstLineChars="221"/>
              <w:jc w:val="center"/>
              <w:rPr>
                <w:rFonts w:hint="default" w:ascii="宋体" w:hAnsi="宋体" w:eastAsia="宋体" w:cs="宋体"/>
                <w:color w:val="auto"/>
                <w:highlight w:val="none"/>
                <w:lang w:val="en-US" w:eastAsia="zh-CN"/>
              </w:rPr>
            </w:pPr>
            <w:r>
              <w:rPr>
                <w:rFonts w:hint="eastAsia" w:hAnsi="宋体" w:eastAsia="宋体" w:cs="宋体"/>
                <w:color w:val="auto"/>
                <w:highlight w:val="none"/>
                <w:lang w:val="en-US" w:eastAsia="zh-CN"/>
              </w:rPr>
              <w:t>13</w:t>
            </w:r>
          </w:p>
        </w:tc>
        <w:tc>
          <w:tcPr>
            <w:tcW w:w="8443" w:type="dxa"/>
            <w:noWrap w:val="0"/>
            <w:vAlign w:val="top"/>
          </w:tcPr>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招标代理机构名称：广东省机电设备招标有限公司</w:t>
            </w:r>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联系人：刘先生、胡小姐、王小姐</w:t>
            </w:r>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话：020-83544117、83541795</w:t>
            </w:r>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真：020-83565537</w:t>
            </w:r>
          </w:p>
          <w:p>
            <w:pPr>
              <w:spacing w:line="360" w:lineRule="auto"/>
              <w:ind w:left="-359" w:leftChars="-171"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电子邮件：gdjdsbzbcg@163.com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exact"/>
        </w:trPr>
        <w:tc>
          <w:tcPr>
            <w:tcW w:w="843" w:type="dxa"/>
            <w:noWrap w:val="0"/>
            <w:vAlign w:val="center"/>
          </w:tcPr>
          <w:p>
            <w:pPr>
              <w:pStyle w:val="43"/>
              <w:ind w:left="-466" w:leftChars="-222" w:right="42" w:rightChars="20" w:firstLine="464" w:firstLineChars="221"/>
              <w:jc w:val="center"/>
              <w:rPr>
                <w:rFonts w:hint="default" w:hAnsi="宋体" w:eastAsia="宋体" w:cs="宋体"/>
                <w:color w:val="auto"/>
                <w:highlight w:val="none"/>
                <w:lang w:val="en-US" w:eastAsia="zh-CN"/>
              </w:rPr>
            </w:pPr>
            <w:r>
              <w:rPr>
                <w:rFonts w:hint="eastAsia" w:hAnsi="宋体" w:cs="宋体"/>
                <w:color w:val="auto"/>
                <w:highlight w:val="none"/>
                <w:lang w:val="en-US" w:eastAsia="zh-CN"/>
              </w:rPr>
              <w:t>14</w:t>
            </w:r>
          </w:p>
        </w:tc>
        <w:tc>
          <w:tcPr>
            <w:tcW w:w="8443" w:type="dxa"/>
            <w:noWrap w:val="0"/>
            <w:vAlign w:val="top"/>
          </w:tcPr>
          <w:p>
            <w:pPr>
              <w:spacing w:line="360" w:lineRule="auto"/>
              <w:ind w:left="-359" w:leftChars="-171" w:firstLine="359" w:firstLineChars="171"/>
              <w:jc w:val="left"/>
              <w:rPr>
                <w:rFonts w:hint="eastAsia" w:ascii="宋体" w:hAnsi="宋体" w:eastAsia="宋体" w:cs="宋体"/>
                <w:color w:val="auto"/>
                <w:szCs w:val="21"/>
                <w:highlight w:val="none"/>
              </w:rPr>
            </w:pPr>
            <w:r>
              <w:rPr>
                <w:rFonts w:hint="eastAsia" w:ascii="宋体" w:hAnsi="宋体" w:eastAsia="宋体" w:cs="宋体"/>
                <w:color w:val="auto"/>
                <w:kern w:val="2"/>
                <w:sz w:val="21"/>
                <w:szCs w:val="24"/>
                <w:highlight w:val="none"/>
                <w:lang w:val="en-US" w:eastAsia="zh-CN" w:bidi="ar-SA"/>
              </w:rPr>
              <w:t>本项目的部分非主体、非关键性工作（除设备采购安装调试以外）可进行分包，投标人承担所有责任，需在投标文件中提供并向招标人报备分包公司情况（须按照招标文件格式要求提供分包协议，提供分包公司的营业执照、组织机构代码证、税务登记证、资质证书等资料复印件加盖分包公司公章）（本条款</w:t>
            </w:r>
            <w:r>
              <w:rPr>
                <w:rFonts w:hint="eastAsia" w:ascii="宋体" w:hAnsi="宋体" w:eastAsia="宋体" w:cs="宋体"/>
                <w:color w:val="auto"/>
                <w:szCs w:val="21"/>
                <w:highlight w:val="none"/>
                <w:lang w:val="en-US" w:eastAsia="zh-CN"/>
              </w:rPr>
              <w:t>要求提供的材料在投标时提供即可，报名时无需提供）</w:t>
            </w:r>
          </w:p>
        </w:tc>
      </w:tr>
    </w:tbl>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bookmarkEnd w:id="47"/>
    <w:bookmarkEnd w:id="48"/>
    <w:bookmarkEnd w:id="49"/>
    <w:bookmarkEnd w:id="50"/>
    <w:p>
      <w:pPr>
        <w:pStyle w:val="6"/>
        <w:numPr>
          <w:ilvl w:val="0"/>
          <w:numId w:val="0"/>
        </w:numPr>
        <w:ind w:left="422"/>
        <w:jc w:val="center"/>
        <w:rPr>
          <w:rFonts w:hint="eastAsia" w:ascii="宋体" w:hAnsi="宋体" w:eastAsia="宋体" w:cs="宋体"/>
          <w:b w:val="0"/>
          <w:bCs/>
          <w:color w:val="auto"/>
          <w:highlight w:val="none"/>
        </w:rPr>
      </w:pPr>
      <w:bookmarkStart w:id="51" w:name="_Toc513818901"/>
      <w:r>
        <w:rPr>
          <w:rFonts w:hint="eastAsia" w:ascii="宋体" w:hAnsi="宋体" w:eastAsia="宋体" w:cs="宋体"/>
          <w:color w:val="auto"/>
          <w:highlight w:val="none"/>
        </w:rPr>
        <w:t>一、总则</w:t>
      </w:r>
      <w:bookmarkEnd w:id="51"/>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1、项目说明</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1.1项目说明</w:t>
      </w:r>
    </w:p>
    <w:p>
      <w:pPr>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广东省机电设备招标有限公司（以下简称“招标代理机构”）受</w:t>
      </w:r>
      <w:r>
        <w:rPr>
          <w:rFonts w:hint="eastAsia" w:ascii="宋体" w:hAnsi="宋体" w:eastAsia="宋体" w:cs="宋体"/>
          <w:bCs/>
          <w:color w:val="auto"/>
          <w:highlight w:val="none"/>
          <w:lang w:eastAsia="zh-CN"/>
        </w:rPr>
        <w:t>广东南方报业传媒集团物业管理有限公司</w:t>
      </w:r>
      <w:r>
        <w:rPr>
          <w:rFonts w:hint="eastAsia" w:ascii="宋体" w:hAnsi="宋体" w:eastAsia="宋体" w:cs="宋体"/>
          <w:bCs/>
          <w:color w:val="auto"/>
          <w:highlight w:val="none"/>
        </w:rPr>
        <w:t>委托（以下简称“招标人”），就“</w:t>
      </w:r>
      <w:r>
        <w:rPr>
          <w:rFonts w:hint="eastAsia" w:ascii="宋体" w:hAnsi="宋体" w:eastAsia="宋体" w:cs="宋体"/>
          <w:b/>
          <w:bCs/>
          <w:color w:val="auto"/>
          <w:highlight w:val="none"/>
          <w:lang w:eastAsia="zh-CN"/>
        </w:rPr>
        <w:t>南方报业传媒集团402报告厅LED显示屏建设项目</w:t>
      </w:r>
      <w:r>
        <w:rPr>
          <w:rFonts w:hint="eastAsia" w:ascii="宋体" w:hAnsi="宋体" w:eastAsia="宋体" w:cs="宋体"/>
          <w:color w:val="auto"/>
          <w:highlight w:val="none"/>
        </w:rPr>
        <w:t>”</w:t>
      </w:r>
      <w:r>
        <w:rPr>
          <w:rFonts w:hint="eastAsia" w:ascii="宋体" w:hAnsi="宋体" w:eastAsia="宋体" w:cs="宋体"/>
          <w:bCs/>
          <w:color w:val="auto"/>
          <w:highlight w:val="none"/>
        </w:rPr>
        <w:t>进行国内公开招标。</w:t>
      </w:r>
    </w:p>
    <w:p>
      <w:pPr>
        <w:spacing w:line="360" w:lineRule="auto"/>
        <w:rPr>
          <w:rFonts w:hint="eastAsia" w:ascii="宋体" w:hAnsi="宋体" w:eastAsia="宋体" w:cs="宋体"/>
          <w:color w:val="auto"/>
          <w:highlight w:val="none"/>
        </w:rPr>
      </w:pPr>
      <w:bookmarkStart w:id="52" w:name="_Toc409173217"/>
      <w:bookmarkStart w:id="53" w:name="_Toc409173103"/>
      <w:r>
        <w:rPr>
          <w:rFonts w:hint="eastAsia" w:ascii="宋体" w:hAnsi="宋体" w:eastAsia="宋体" w:cs="宋体"/>
          <w:color w:val="auto"/>
          <w:highlight w:val="none"/>
        </w:rPr>
        <w:t>1.2资金来源</w:t>
      </w:r>
      <w:bookmarkEnd w:id="52"/>
      <w:bookmarkEnd w:id="53"/>
    </w:p>
    <w:p>
      <w:pPr>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自筹资金</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1.3招标方式</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公开招标方式</w:t>
      </w:r>
    </w:p>
    <w:p>
      <w:pPr>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1.4招标项目</w:t>
      </w:r>
    </w:p>
    <w:p>
      <w:pPr>
        <w:spacing w:line="360" w:lineRule="auto"/>
        <w:ind w:firstLine="422" w:firstLineChars="200"/>
        <w:rPr>
          <w:rFonts w:hint="eastAsia" w:ascii="宋体" w:hAnsi="宋体" w:eastAsia="宋体" w:cs="宋体"/>
          <w:b/>
          <w:color w:val="auto"/>
          <w:highlight w:val="none"/>
          <w:u w:val="single"/>
        </w:rPr>
      </w:pPr>
      <w:r>
        <w:rPr>
          <w:rFonts w:hint="eastAsia" w:ascii="宋体" w:hAnsi="宋体" w:eastAsia="宋体" w:cs="宋体"/>
          <w:b/>
          <w:color w:val="auto"/>
          <w:highlight w:val="none"/>
          <w:u w:val="single"/>
          <w:lang w:eastAsia="zh-CN"/>
        </w:rPr>
        <w:t>南方报业传媒集团402报告厅LED显示屏建设项目</w:t>
      </w:r>
      <w:r>
        <w:rPr>
          <w:rFonts w:hint="eastAsia" w:ascii="宋体" w:hAnsi="宋体" w:eastAsia="宋体" w:cs="宋体"/>
          <w:b/>
          <w:color w:val="auto"/>
          <w:highlight w:val="none"/>
          <w:u w:val="single"/>
        </w:rPr>
        <w:t>（下称“本项目”）</w:t>
      </w:r>
    </w:p>
    <w:p>
      <w:pPr>
        <w:tabs>
          <w:tab w:val="left" w:pos="720"/>
        </w:tabs>
        <w:spacing w:line="360" w:lineRule="auto"/>
        <w:ind w:firstLine="210" w:firstLineChars="100"/>
        <w:rPr>
          <w:rFonts w:hint="eastAsia" w:ascii="宋体" w:hAnsi="宋体" w:eastAsia="宋体" w:cs="宋体"/>
          <w:b/>
          <w:color w:val="auto"/>
          <w:sz w:val="24"/>
          <w:highlight w:val="none"/>
        </w:rPr>
      </w:pPr>
      <w:r>
        <w:rPr>
          <w:rFonts w:hint="eastAsia" w:ascii="宋体" w:hAnsi="宋体" w:eastAsia="宋体" w:cs="宋体"/>
          <w:color w:val="auto"/>
          <w:highlight w:val="none"/>
        </w:rPr>
        <w:t>（详细内容请参阅招标文件中“用户需求书”的相关内容）</w:t>
      </w:r>
    </w:p>
    <w:p>
      <w:pPr>
        <w:tabs>
          <w:tab w:val="left" w:pos="720"/>
        </w:tabs>
        <w:spacing w:line="360" w:lineRule="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rPr>
        <w:t>2、</w:t>
      </w:r>
      <w:r>
        <w:rPr>
          <w:rFonts w:hint="eastAsia" w:ascii="宋体" w:hAnsi="宋体" w:eastAsia="宋体" w:cs="宋体"/>
          <w:b/>
          <w:bCs/>
          <w:color w:val="auto"/>
          <w:highlight w:val="none"/>
        </w:rPr>
        <w:t>定义及解释</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2.2设备：指所有由投标人为满足招标文件要求而提供的货物、仪表、工具、备件、图纸、软件以及必须向业主提供的其他相关文件；购置与安装：对投标的所有货物按照招标文件要求进行供货、安装和调试（安装过程中涉及的所有辅助设施均由中标单位自行提供，使用过程中符合用户单位使用要求。服务：指招标文件规定</w:t>
      </w:r>
      <w:r>
        <w:rPr>
          <w:rFonts w:hint="eastAsia" w:ascii="宋体" w:hAnsi="宋体" w:eastAsia="宋体" w:cs="宋体"/>
          <w:bCs/>
          <w:color w:val="auto"/>
          <w:highlight w:val="none"/>
        </w:rPr>
        <w:t>投标人须承担的设计、货物运输、安装、调试、技术协助、校准、质保期内的保修、培训以及其它伴随服务。</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2.3业主/招标人/甲方/使用单位/采购人/用户：均指</w:t>
      </w:r>
      <w:r>
        <w:rPr>
          <w:rFonts w:hint="eastAsia" w:ascii="宋体" w:hAnsi="宋体" w:eastAsia="宋体" w:cs="宋体"/>
          <w:color w:val="auto"/>
          <w:highlight w:val="none"/>
          <w:lang w:eastAsia="zh-CN"/>
        </w:rPr>
        <w:t>广东南方报业传媒集团物业管理有限公司</w:t>
      </w:r>
      <w:r>
        <w:rPr>
          <w:rFonts w:hint="eastAsia" w:ascii="宋体" w:hAnsi="宋体" w:eastAsia="宋体" w:cs="宋体"/>
          <w:color w:val="auto"/>
          <w:highlight w:val="none"/>
        </w:rPr>
        <w:t>；招标代理机构：</w:t>
      </w:r>
      <w:r>
        <w:rPr>
          <w:rFonts w:hint="eastAsia" w:ascii="宋体" w:hAnsi="宋体" w:eastAsia="宋体" w:cs="宋体"/>
          <w:color w:val="auto"/>
          <w:szCs w:val="21"/>
          <w:highlight w:val="none"/>
        </w:rPr>
        <w:t>广东省机电设备招标有限公司。</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2.4 投标人/投标供应商：指</w:t>
      </w:r>
      <w:r>
        <w:rPr>
          <w:rFonts w:hint="eastAsia" w:ascii="宋体" w:hAnsi="宋体" w:eastAsia="宋体" w:cs="宋体"/>
          <w:color w:val="auto"/>
          <w:spacing w:val="8"/>
          <w:szCs w:val="21"/>
          <w:highlight w:val="none"/>
        </w:rPr>
        <w:t>响应招标、参加投标竞争的法人或者其他组织</w:t>
      </w:r>
      <w:r>
        <w:rPr>
          <w:rFonts w:hint="eastAsia" w:ascii="宋体" w:hAnsi="宋体" w:eastAsia="宋体" w:cs="宋体"/>
          <w:color w:val="auto"/>
          <w:highlight w:val="none"/>
        </w:rPr>
        <w:t>。</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2.5评标委员会：评标委员会是依法组织的专门负责本次招标及评标工作的临时性机构。</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2.6日期：是指公历日。</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2.7合同：指本次招标所产生的合同或合约文件。</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2.8招标文件中的标题或标名仅起引导作用，而不应视为对招标文件内容的理解和解释。</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2.9“业主”、“投标人”、“成员”和“各方”等人或有关组织的用词均是指依法成立的公司、组织或行政事业单位下属机构。根据上下文的需要，这些用词的单复数具有相同的定义。</w:t>
      </w:r>
    </w:p>
    <w:p>
      <w:pPr>
        <w:spacing w:line="360" w:lineRule="auto"/>
        <w:ind w:left="630" w:hanging="630" w:hangingChars="300"/>
        <w:rPr>
          <w:rFonts w:hint="eastAsia" w:ascii="宋体" w:hAnsi="宋体" w:eastAsia="宋体" w:cs="宋体"/>
          <w:color w:val="auto"/>
          <w:highlight w:val="none"/>
        </w:rPr>
      </w:pPr>
      <w:r>
        <w:rPr>
          <w:rFonts w:hint="eastAsia" w:ascii="宋体" w:hAnsi="宋体" w:eastAsia="宋体" w:cs="宋体"/>
          <w:color w:val="auto"/>
          <w:highlight w:val="none"/>
        </w:rPr>
        <w:t>2.10招标文件中所规定的“书面形式”，是指任何手写的、打印的或印刷的通讯，包括电报和传真发送。</w:t>
      </w:r>
    </w:p>
    <w:p>
      <w:pPr>
        <w:spacing w:line="360" w:lineRule="auto"/>
        <w:ind w:left="422" w:hanging="422" w:hangingChars="200"/>
        <w:rPr>
          <w:rFonts w:hint="eastAsia" w:ascii="宋体" w:hAnsi="宋体" w:eastAsia="宋体" w:cs="宋体"/>
          <w:b/>
          <w:color w:val="auto"/>
          <w:highlight w:val="none"/>
        </w:rPr>
      </w:pPr>
      <w:r>
        <w:rPr>
          <w:rFonts w:hint="eastAsia" w:ascii="宋体" w:hAnsi="宋体" w:eastAsia="宋体" w:cs="宋体"/>
          <w:b/>
          <w:color w:val="auto"/>
          <w:highlight w:val="none"/>
        </w:rPr>
        <w:t>3、合格的投标人</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3.1与本项目招标公告（或投标人须知前附表）中投标供应商资格要求一致。</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4、纪律与保密事项</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4.1凡参与招标工作的有关人员均应自觉接受有关主管部门的监督，不得向他人透露已获得招标文件的潜在投标人的名称、数量以及可能影响公平竞争的有关招投标的其他情况。</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4.2开标后，直至向乙方发出《中标通知书》时止，凡与审查、澄清、评价和比较投标的有关资料以及授标意见等，参与招标工作的有关人员均不得向投标人及与评标无关的其他人透露。</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4.3除投标人被要求对投标文件进行澄清外，从开标之日起至授予合同期间，投标人不得就与其投标文件有关的事项主动与评标委员会及业主联系。</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4.4从开标之日起至授予合同期间，投标人试图在投标文件审查、澄清、比较和评价时对评标委员会施加任何影响或对业主的比较及授予合同的决定进行影响，都可能导致其投标文件被拒绝。</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4.5投标人不得串通作弊，以不正当的手段妨碍、排挤其他人，扰乱招标市场，破坏公平竞争原则。</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4.6获得本招标文件者，应对文件进行保密，不得用作本次投标以外的任何用途。若有要求，开标后，投标人应归还招标文件中的保密文件和资料。</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4.7由业主向投标人提供的图纸、详细资料、样品、模型、模件和所有其他资料，被视为保密资料，仅被用于它所规定的用途，除非得到业主或招标人的同意，不能向任何第三方透露。开标完成后，应业主要求，投标人应归还所有从业主处获得的保密资料。</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5、投标人须知</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5.1凡参加本次投标的投标人视为已充分认识和理解了任何与本项目有关的事项及各种困难情况。</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5.2 投标人应保证所提供给业主的资料和数据是真实的。</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6、投标费用</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6.1投标人应承担获取招标文件及所有与编写和提交投标文件有关的费用，不论投标的结果如何，业主在任何情况下均无义务和责任承担这些费用。</w:t>
      </w:r>
    </w:p>
    <w:p>
      <w:pPr>
        <w:pStyle w:val="6"/>
        <w:numPr>
          <w:ilvl w:val="0"/>
          <w:numId w:val="0"/>
        </w:numPr>
        <w:ind w:left="422"/>
        <w:jc w:val="center"/>
        <w:rPr>
          <w:rFonts w:hint="eastAsia" w:ascii="宋体" w:hAnsi="宋体" w:eastAsia="宋体" w:cs="宋体"/>
          <w:b w:val="0"/>
          <w:bCs/>
          <w:color w:val="auto"/>
          <w:highlight w:val="none"/>
        </w:rPr>
      </w:pPr>
      <w:bookmarkStart w:id="54" w:name="_Toc409173218"/>
      <w:bookmarkStart w:id="55" w:name="_Toc409173104"/>
      <w:bookmarkStart w:id="56" w:name="_Toc513818902"/>
      <w:r>
        <w:rPr>
          <w:rFonts w:hint="eastAsia" w:ascii="宋体" w:hAnsi="宋体" w:eastAsia="宋体" w:cs="宋体"/>
          <w:color w:val="auto"/>
          <w:highlight w:val="none"/>
        </w:rPr>
        <w:t>二、招标文件</w:t>
      </w:r>
      <w:bookmarkEnd w:id="54"/>
      <w:bookmarkEnd w:id="55"/>
      <w:bookmarkEnd w:id="56"/>
    </w:p>
    <w:p>
      <w:pPr>
        <w:spacing w:line="360" w:lineRule="auto"/>
        <w:ind w:left="542" w:hanging="542" w:hangingChars="257"/>
        <w:rPr>
          <w:rFonts w:hint="eastAsia" w:ascii="宋体" w:hAnsi="宋体" w:eastAsia="宋体" w:cs="宋体"/>
          <w:b/>
          <w:bCs/>
          <w:color w:val="auto"/>
          <w:highlight w:val="none"/>
        </w:rPr>
      </w:pPr>
      <w:r>
        <w:rPr>
          <w:rFonts w:hint="eastAsia" w:ascii="宋体" w:hAnsi="宋体" w:eastAsia="宋体" w:cs="宋体"/>
          <w:b/>
          <w:bCs/>
          <w:color w:val="auto"/>
          <w:highlight w:val="none"/>
        </w:rPr>
        <w:t>7、招标文件的构成</w:t>
      </w:r>
    </w:p>
    <w:p>
      <w:pPr>
        <w:spacing w:line="360" w:lineRule="auto"/>
        <w:ind w:left="540" w:hanging="539" w:hangingChars="257"/>
        <w:rPr>
          <w:rFonts w:hint="eastAsia" w:ascii="宋体" w:hAnsi="宋体" w:eastAsia="宋体" w:cs="宋体"/>
          <w:color w:val="auto"/>
          <w:highlight w:val="none"/>
        </w:rPr>
      </w:pPr>
      <w:r>
        <w:rPr>
          <w:rFonts w:hint="eastAsia" w:ascii="宋体" w:hAnsi="宋体" w:eastAsia="宋体" w:cs="宋体"/>
          <w:color w:val="auto"/>
          <w:highlight w:val="none"/>
        </w:rPr>
        <w:t>7.1本次招标的有关内容和要求在招标文件中均有说明。招标文件包括：</w:t>
      </w:r>
    </w:p>
    <w:p>
      <w:pPr>
        <w:spacing w:line="360" w:lineRule="auto"/>
        <w:ind w:left="359" w:hanging="359" w:hanging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第一章  投标邀请函</w:t>
      </w:r>
    </w:p>
    <w:p>
      <w:pPr>
        <w:spacing w:line="360" w:lineRule="auto"/>
        <w:ind w:left="359" w:hanging="359" w:hanging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第二章  投标人须知</w:t>
      </w:r>
    </w:p>
    <w:p>
      <w:pPr>
        <w:spacing w:line="360" w:lineRule="auto"/>
        <w:ind w:left="359" w:hanging="359" w:hanging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第三章  用户需求书</w:t>
      </w:r>
    </w:p>
    <w:p>
      <w:pPr>
        <w:spacing w:line="360" w:lineRule="auto"/>
        <w:ind w:left="359" w:hanging="359" w:hanging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第四章  合同格式</w:t>
      </w:r>
    </w:p>
    <w:p>
      <w:pPr>
        <w:spacing w:line="360" w:lineRule="auto"/>
        <w:ind w:left="359" w:hanging="359" w:hanging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第五章  投标文件格式</w:t>
      </w:r>
    </w:p>
    <w:p>
      <w:pPr>
        <w:spacing w:line="360" w:lineRule="auto"/>
        <w:ind w:left="359" w:hanging="359" w:hanging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第六章  评标办法</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8、招标文件的澄清</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8.1任何要求对招标文件进行澄清的投标人，均应以书面形式通知招标代理机构。招标代理机构对其在投标人须知规定的投标截止时间</w:t>
      </w:r>
      <w:r>
        <w:rPr>
          <w:rFonts w:hint="eastAsia" w:ascii="宋体" w:hAnsi="宋体" w:eastAsia="宋体" w:cs="宋体"/>
          <w:b/>
          <w:color w:val="auto"/>
          <w:highlight w:val="none"/>
          <w:u w:val="single"/>
        </w:rPr>
        <w:t>15日以前</w:t>
      </w:r>
      <w:r>
        <w:rPr>
          <w:rFonts w:hint="eastAsia" w:ascii="宋体" w:hAnsi="宋体" w:eastAsia="宋体" w:cs="宋体"/>
          <w:color w:val="auto"/>
          <w:highlight w:val="none"/>
        </w:rPr>
        <w:t>收到的对招标文件的澄清要求将以书面形式予以答复，同时将书面答复传真给每个购买招标文件的投标人（答复中包括所有问题，但不包括问题的来源）。</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8.2对于投标供应商澄清要求的回复，招标代理机构均将以书面形式或</w:t>
      </w:r>
      <w:r>
        <w:rPr>
          <w:rFonts w:hint="eastAsia" w:ascii="宋体" w:hAnsi="宋体" w:eastAsia="宋体" w:cs="宋体"/>
          <w:color w:val="auto"/>
          <w:highlight w:val="none"/>
          <w:u w:val="single"/>
        </w:rPr>
        <w:t>指定网站及媒体上</w:t>
      </w:r>
      <w:r>
        <w:rPr>
          <w:rFonts w:hint="eastAsia" w:ascii="宋体" w:hAnsi="宋体" w:eastAsia="宋体" w:cs="宋体"/>
          <w:color w:val="auto"/>
          <w:highlight w:val="none"/>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9、招标文件的修改</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9.1在截止投标时间</w:t>
      </w:r>
      <w:r>
        <w:rPr>
          <w:rFonts w:hint="eastAsia" w:ascii="宋体" w:hAnsi="宋体" w:eastAsia="宋体" w:cs="宋体"/>
          <w:b/>
          <w:color w:val="auto"/>
          <w:highlight w:val="none"/>
          <w:u w:val="single"/>
        </w:rPr>
        <w:t>15日前</w:t>
      </w:r>
      <w:r>
        <w:rPr>
          <w:rFonts w:hint="eastAsia" w:ascii="宋体" w:hAnsi="宋体" w:eastAsia="宋体" w:cs="宋体"/>
          <w:color w:val="auto"/>
          <w:highlight w:val="none"/>
        </w:rPr>
        <w:t>的任何时候，无论出于何种原因，业主或招标代理机构可主动地或在解答投标人提出的需澄清的问题时向投标人发修改文件对招标文件进行修改。</w:t>
      </w:r>
    </w:p>
    <w:p>
      <w:pPr>
        <w:pStyle w:val="31"/>
        <w:spacing w:line="360" w:lineRule="auto"/>
        <w:ind w:left="359" w:leftChars="0"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9.2文件的澄清和修改文件将以书面形式通知所有购买招标文件的投标人，该澄清文件也是招标文件的组成部分，并对投标人具有约束力。</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9.3为使投标人编写招标文件时有充分时间对招标文件的修改部分进行研究，业主或招标代理机构可行决定，酌情延长投标截止日期，同时将决定以书面形式通知所有购买招标文件的投标人。</w:t>
      </w:r>
    </w:p>
    <w:p>
      <w:pPr>
        <w:spacing w:line="360" w:lineRule="auto"/>
        <w:ind w:left="424" w:hanging="424" w:hangingChars="202"/>
        <w:rPr>
          <w:rFonts w:hint="eastAsia" w:ascii="宋体" w:hAnsi="宋体" w:eastAsia="宋体" w:cs="宋体"/>
          <w:color w:val="auto"/>
          <w:highlight w:val="none"/>
        </w:rPr>
      </w:pPr>
      <w:r>
        <w:rPr>
          <w:rFonts w:hint="eastAsia" w:ascii="宋体" w:hAnsi="宋体" w:eastAsia="宋体" w:cs="宋体"/>
          <w:color w:val="auto"/>
          <w:highlight w:val="none"/>
        </w:rPr>
        <w:t>9.4投标人在收到招标代理机构发给的任何澄清和修改文件时，都应在收到后立即以书面形式向招标代理机构确认。</w:t>
      </w:r>
    </w:p>
    <w:p>
      <w:pPr>
        <w:spacing w:line="360" w:lineRule="auto"/>
        <w:ind w:left="283" w:hanging="283" w:hangingChars="135"/>
        <w:rPr>
          <w:rFonts w:hint="eastAsia" w:ascii="宋体" w:hAnsi="宋体" w:eastAsia="宋体" w:cs="宋体"/>
          <w:color w:val="auto"/>
          <w:highlight w:val="none"/>
        </w:rPr>
      </w:pPr>
      <w:r>
        <w:rPr>
          <w:rFonts w:hint="eastAsia" w:ascii="宋体" w:hAnsi="宋体" w:eastAsia="宋体" w:cs="宋体"/>
          <w:color w:val="auto"/>
          <w:highlight w:val="none"/>
        </w:rPr>
        <w:t>9.5对于招标文件的修改或补充文件，招标代理机构均将以书面形式或</w:t>
      </w:r>
      <w:r>
        <w:rPr>
          <w:rFonts w:hint="eastAsia" w:ascii="宋体" w:hAnsi="宋体" w:eastAsia="宋体" w:cs="宋体"/>
          <w:color w:val="auto"/>
          <w:highlight w:val="none"/>
          <w:u w:val="single"/>
        </w:rPr>
        <w:t>指定网站及媒体上</w:t>
      </w:r>
      <w:r>
        <w:rPr>
          <w:rFonts w:hint="eastAsia" w:ascii="宋体" w:hAnsi="宋体" w:eastAsia="宋体" w:cs="宋体"/>
          <w:color w:val="auto"/>
          <w:highlight w:val="none"/>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10、招标语言及计量</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10.1投标文件和来往函件应用中文书写，投标供应商提供的支持文件、技术资料和印刷的文献可以用其它语言，但相应内容应附有中文翻译本（经公证处公证），以中文为准，对不同文字文本投标文件的解释发生异议的，以中文文本为准。</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10.2招标文件中的所有计量单位和规格说明都使用国家法定计量单位表示。</w:t>
      </w:r>
    </w:p>
    <w:p>
      <w:pPr>
        <w:pStyle w:val="6"/>
        <w:numPr>
          <w:ilvl w:val="0"/>
          <w:numId w:val="0"/>
        </w:numPr>
        <w:ind w:left="422"/>
        <w:jc w:val="center"/>
        <w:rPr>
          <w:rFonts w:hint="eastAsia" w:ascii="宋体" w:hAnsi="宋体" w:eastAsia="宋体" w:cs="宋体"/>
          <w:b w:val="0"/>
          <w:bCs/>
          <w:color w:val="auto"/>
          <w:highlight w:val="none"/>
        </w:rPr>
      </w:pPr>
      <w:bookmarkStart w:id="57" w:name="_Toc409173219"/>
      <w:bookmarkStart w:id="58" w:name="_Toc409173105"/>
      <w:bookmarkStart w:id="59" w:name="_Toc513818903"/>
      <w:r>
        <w:rPr>
          <w:rFonts w:hint="eastAsia" w:ascii="宋体" w:hAnsi="宋体" w:eastAsia="宋体" w:cs="宋体"/>
          <w:color w:val="auto"/>
          <w:highlight w:val="none"/>
        </w:rPr>
        <w:t>三、投标文件的编制</w:t>
      </w:r>
      <w:bookmarkEnd w:id="57"/>
      <w:bookmarkEnd w:id="58"/>
      <w:bookmarkEnd w:id="59"/>
    </w:p>
    <w:p>
      <w:pPr>
        <w:tabs>
          <w:tab w:val="left" w:pos="540"/>
        </w:tabs>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11、特别说明</w:t>
      </w:r>
    </w:p>
    <w:p>
      <w:pPr>
        <w:spacing w:line="360" w:lineRule="auto"/>
        <w:ind w:left="464" w:hanging="464" w:hangingChars="221"/>
        <w:rPr>
          <w:rFonts w:hint="eastAsia" w:ascii="宋体" w:hAnsi="宋体" w:eastAsia="宋体" w:cs="宋体"/>
          <w:color w:val="auto"/>
          <w:highlight w:val="none"/>
        </w:rPr>
      </w:pPr>
      <w:r>
        <w:rPr>
          <w:rFonts w:hint="eastAsia" w:ascii="宋体" w:hAnsi="宋体" w:eastAsia="宋体" w:cs="宋体"/>
          <w:color w:val="auto"/>
          <w:highlight w:val="none"/>
        </w:rPr>
        <w:t>11.1本招标文件服务指标要求中，重要的、关键的服务指标要求或性能要求，投标人要特别注意，必须对此响应或完全满足或优于这些要求。否则若有一项重要指标未响应或存在负偏差，将按投标无效处理，即废标。</w:t>
      </w:r>
    </w:p>
    <w:p>
      <w:pPr>
        <w:spacing w:line="360" w:lineRule="auto"/>
        <w:ind w:left="464" w:hanging="464" w:hangingChars="221"/>
        <w:rPr>
          <w:rFonts w:hint="eastAsia" w:ascii="宋体" w:hAnsi="宋体" w:eastAsia="宋体" w:cs="宋体"/>
          <w:color w:val="auto"/>
          <w:highlight w:val="none"/>
        </w:rPr>
      </w:pPr>
      <w:r>
        <w:rPr>
          <w:rFonts w:hint="eastAsia" w:ascii="宋体" w:hAnsi="宋体" w:eastAsia="宋体" w:cs="宋体"/>
          <w:color w:val="auto"/>
          <w:highlight w:val="none"/>
        </w:rPr>
        <w:t>11.2本招标文件的商务合同条款部分除保险、终止和合同生效条款外，均不允许实质性偏离。投标人必须对本招标文件的每一项要求给予实质性的响应，否则其投标将被拒绝。</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11.3 投标人对本投标文件的每一项要求所给予的响应必须是唯一的，否则将视为不响应。</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12、投标语言及计量</w:t>
      </w:r>
    </w:p>
    <w:p>
      <w:pPr>
        <w:spacing w:line="360" w:lineRule="auto"/>
        <w:ind w:left="464" w:hanging="464" w:hangingChars="221"/>
        <w:rPr>
          <w:rFonts w:hint="eastAsia" w:ascii="宋体" w:hAnsi="宋体" w:eastAsia="宋体" w:cs="宋体"/>
          <w:color w:val="auto"/>
          <w:highlight w:val="none"/>
        </w:rPr>
      </w:pPr>
      <w:r>
        <w:rPr>
          <w:rFonts w:hint="eastAsia" w:ascii="宋体" w:hAnsi="宋体" w:eastAsia="宋体" w:cs="宋体"/>
          <w:color w:val="auto"/>
          <w:highlight w:val="none"/>
        </w:rPr>
        <w:t>12.1投标人提交的投标文件以及投标人与业主就有关投标的所有往来函电均使用中文。投标人提供的支持文件和印刷的文件可以使用英文，但相应内容应附有中文翻译本，在解释时以中文翻译为准。</w:t>
      </w:r>
    </w:p>
    <w:p>
      <w:pPr>
        <w:spacing w:line="360" w:lineRule="auto"/>
        <w:ind w:left="540" w:hanging="539" w:hangingChars="257"/>
        <w:rPr>
          <w:rFonts w:hint="eastAsia" w:ascii="宋体" w:hAnsi="宋体" w:eastAsia="宋体" w:cs="宋体"/>
          <w:color w:val="auto"/>
          <w:highlight w:val="none"/>
        </w:rPr>
      </w:pPr>
      <w:r>
        <w:rPr>
          <w:rFonts w:hint="eastAsia" w:ascii="宋体" w:hAnsi="宋体" w:eastAsia="宋体" w:cs="宋体"/>
          <w:color w:val="auto"/>
          <w:highlight w:val="none"/>
        </w:rPr>
        <w:t>12.2在投标文件及所有投标人与业主往来文件中所有计量单位和规格说明均须用国家法定计量单位表示。</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13、投标文件的构成</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13.1投标人编写的投标文件应包括下列部分：</w:t>
      </w:r>
    </w:p>
    <w:p>
      <w:pPr>
        <w:spacing w:line="360" w:lineRule="auto"/>
        <w:ind w:firstLine="540"/>
        <w:rPr>
          <w:rFonts w:hint="eastAsia" w:ascii="宋体" w:hAnsi="宋体" w:eastAsia="宋体" w:cs="宋体"/>
          <w:color w:val="auto"/>
          <w:highlight w:val="none"/>
        </w:rPr>
      </w:pPr>
      <w:r>
        <w:rPr>
          <w:rFonts w:hint="eastAsia" w:ascii="宋体" w:hAnsi="宋体" w:eastAsia="宋体" w:cs="宋体"/>
          <w:color w:val="auto"/>
          <w:highlight w:val="none"/>
        </w:rPr>
        <w:t>（1）按投标人须知规定填写投标函、投标报价表。</w:t>
      </w:r>
    </w:p>
    <w:p>
      <w:pPr>
        <w:spacing w:line="360" w:lineRule="auto"/>
        <w:ind w:firstLine="540"/>
        <w:rPr>
          <w:rFonts w:hint="eastAsia" w:ascii="宋体" w:hAnsi="宋体" w:eastAsia="宋体" w:cs="宋体"/>
          <w:color w:val="auto"/>
          <w:highlight w:val="none"/>
        </w:rPr>
      </w:pPr>
      <w:r>
        <w:rPr>
          <w:rFonts w:hint="eastAsia" w:ascii="宋体" w:hAnsi="宋体" w:eastAsia="宋体" w:cs="宋体"/>
          <w:color w:val="auto"/>
          <w:highlight w:val="none"/>
        </w:rPr>
        <w:t>（2）按投标人须知出具的资格证明文件，证明投标人是合格的且中标后有能力履行合同。</w:t>
      </w:r>
    </w:p>
    <w:p>
      <w:pPr>
        <w:spacing w:line="360" w:lineRule="auto"/>
        <w:ind w:firstLine="540"/>
        <w:rPr>
          <w:rFonts w:hint="eastAsia" w:ascii="宋体" w:hAnsi="宋体" w:eastAsia="宋体" w:cs="宋体"/>
          <w:color w:val="auto"/>
          <w:highlight w:val="none"/>
        </w:rPr>
      </w:pPr>
      <w:r>
        <w:rPr>
          <w:rFonts w:hint="eastAsia" w:ascii="宋体" w:hAnsi="宋体" w:eastAsia="宋体" w:cs="宋体"/>
          <w:color w:val="auto"/>
          <w:highlight w:val="none"/>
        </w:rPr>
        <w:t>（3）按招标文件的规定出具的证明文件，证明投标人提供的设备符合招标文件的规定。</w:t>
      </w:r>
    </w:p>
    <w:p>
      <w:pPr>
        <w:spacing w:line="360" w:lineRule="auto"/>
        <w:ind w:firstLine="540"/>
        <w:rPr>
          <w:rFonts w:hint="eastAsia" w:ascii="宋体" w:hAnsi="宋体" w:eastAsia="宋体" w:cs="宋体"/>
          <w:color w:val="auto"/>
          <w:highlight w:val="none"/>
        </w:rPr>
      </w:pPr>
      <w:r>
        <w:rPr>
          <w:rFonts w:hint="eastAsia" w:ascii="宋体" w:hAnsi="宋体" w:eastAsia="宋体" w:cs="宋体"/>
          <w:color w:val="auto"/>
          <w:highlight w:val="none"/>
        </w:rPr>
        <w:t>（4）按投标人须知规定提交的投标保证金。</w:t>
      </w:r>
    </w:p>
    <w:p>
      <w:pPr>
        <w:spacing w:line="360" w:lineRule="auto"/>
        <w:ind w:firstLine="540"/>
        <w:rPr>
          <w:rFonts w:hint="eastAsia" w:ascii="宋体" w:hAnsi="宋体" w:eastAsia="宋体" w:cs="宋体"/>
          <w:color w:val="auto"/>
          <w:highlight w:val="none"/>
        </w:rPr>
      </w:pPr>
      <w:r>
        <w:rPr>
          <w:rFonts w:hint="eastAsia" w:ascii="宋体" w:hAnsi="宋体" w:eastAsia="宋体" w:cs="宋体"/>
          <w:color w:val="auto"/>
          <w:highlight w:val="none"/>
        </w:rPr>
        <w:t>（5）对招标文件第三章做出书面响应，包括但不限于技术规范、技术参数、技术文件及图纸等内容。</w:t>
      </w:r>
    </w:p>
    <w:p>
      <w:pPr>
        <w:spacing w:line="360" w:lineRule="auto"/>
        <w:ind w:firstLine="540"/>
        <w:rPr>
          <w:rFonts w:hint="eastAsia" w:ascii="宋体" w:hAnsi="宋体" w:eastAsia="宋体" w:cs="宋体"/>
          <w:color w:val="auto"/>
          <w:highlight w:val="none"/>
        </w:rPr>
      </w:pPr>
      <w:r>
        <w:rPr>
          <w:rFonts w:hint="eastAsia" w:ascii="宋体" w:hAnsi="宋体" w:eastAsia="宋体" w:cs="宋体"/>
          <w:color w:val="auto"/>
          <w:highlight w:val="none"/>
        </w:rPr>
        <w:t>（6）投标人应参照招标文件第五章的内容格式提供全面的响应的文件。</w:t>
      </w:r>
    </w:p>
    <w:p>
      <w:pPr>
        <w:spacing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14、投标文件的要求</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14.1投标人应依照招标文件中投标文件格式填写，并真正对招标文件的要求做实质性的响应。</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14.2投标人必须按照招标文件要求，正面回答所有的问题，并按所附格式要求正式签署。</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14.3投标人对于招标文件的所有“★”号要求，必须作出真实满足的响应，否则将作无效投标处理。</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15、投标报价</w:t>
      </w:r>
    </w:p>
    <w:p>
      <w:pPr>
        <w:spacing w:line="360" w:lineRule="auto"/>
        <w:ind w:left="464" w:hanging="464" w:hangingChars="221"/>
        <w:rPr>
          <w:rFonts w:hint="eastAsia" w:ascii="宋体" w:hAnsi="宋体" w:eastAsia="宋体" w:cs="宋体"/>
          <w:color w:val="auto"/>
          <w:highlight w:val="none"/>
        </w:rPr>
      </w:pPr>
      <w:r>
        <w:rPr>
          <w:rFonts w:hint="eastAsia" w:ascii="宋体" w:hAnsi="宋体" w:eastAsia="宋体" w:cs="宋体"/>
          <w:color w:val="auto"/>
          <w:highlight w:val="none"/>
        </w:rPr>
        <w:t>15.1投标人应在适当的投标明细报价表上标明本合同拟提供的货物的单价（如适用）、每个单项的小计、整个投标的总价以及合同项下的货物以及服务的来源地。</w:t>
      </w:r>
    </w:p>
    <w:p>
      <w:pPr>
        <w:tabs>
          <w:tab w:val="left" w:pos="840"/>
        </w:tabs>
        <w:spacing w:line="360" w:lineRule="auto"/>
        <w:ind w:left="525" w:hanging="525" w:hangingChars="250"/>
        <w:rPr>
          <w:rFonts w:hint="eastAsia" w:ascii="宋体" w:hAnsi="宋体" w:eastAsia="宋体" w:cs="宋体"/>
          <w:color w:val="auto"/>
          <w:highlight w:val="none"/>
        </w:rPr>
      </w:pPr>
      <w:r>
        <w:rPr>
          <w:rFonts w:hint="eastAsia" w:ascii="宋体" w:hAnsi="宋体" w:eastAsia="宋体" w:cs="宋体"/>
          <w:color w:val="auto"/>
          <w:highlight w:val="none"/>
        </w:rPr>
        <w:t xml:space="preserve">15.2 </w:t>
      </w:r>
      <w:r>
        <w:rPr>
          <w:rFonts w:hint="eastAsia" w:ascii="宋体" w:hAnsi="宋体" w:eastAsia="宋体" w:cs="宋体"/>
          <w:b/>
          <w:color w:val="auto"/>
          <w:highlight w:val="none"/>
        </w:rPr>
        <w:t>投标人提供的货物和服务应报</w:t>
      </w:r>
      <w:r>
        <w:rPr>
          <w:rFonts w:hint="eastAsia" w:ascii="宋体" w:hAnsi="宋体" w:eastAsia="宋体" w:cs="宋体"/>
          <w:b/>
          <w:color w:val="auto"/>
          <w:highlight w:val="none"/>
          <w:u w:val="single"/>
        </w:rPr>
        <w:t>交招标方指定地点/仓</w:t>
      </w:r>
      <w:r>
        <w:rPr>
          <w:rFonts w:hint="eastAsia" w:ascii="宋体" w:hAnsi="宋体" w:eastAsia="宋体" w:cs="宋体"/>
          <w:b/>
          <w:color w:val="auto"/>
          <w:highlight w:val="none"/>
        </w:rPr>
        <w:t>库（包括安装至指定位置），</w:t>
      </w:r>
      <w:r>
        <w:rPr>
          <w:rFonts w:hint="eastAsia" w:ascii="宋体" w:hAnsi="宋体" w:eastAsia="宋体" w:cs="宋体"/>
          <w:color w:val="auto"/>
          <w:highlight w:val="none"/>
          <w:u w:val="single"/>
        </w:rPr>
        <w:t>投标人必须按招标文件中“用户需求书”等规定的报价方案报价</w:t>
      </w:r>
      <w:r>
        <w:rPr>
          <w:rFonts w:hint="eastAsia" w:ascii="宋体" w:hAnsi="宋体" w:eastAsia="宋体" w:cs="宋体"/>
          <w:b/>
          <w:bCs/>
          <w:color w:val="auto"/>
          <w:highlight w:val="none"/>
          <w:u w:val="single"/>
        </w:rPr>
        <w:t>（非含税人民币价、税率、含税人民币价）</w:t>
      </w:r>
      <w:r>
        <w:rPr>
          <w:rFonts w:hint="eastAsia" w:ascii="宋体" w:hAnsi="宋体" w:eastAsia="宋体" w:cs="宋体"/>
          <w:color w:val="auto"/>
          <w:highlight w:val="none"/>
          <w:u w:val="single"/>
        </w:rPr>
        <w:t>，否则视为非实质响应性投标。</w:t>
      </w:r>
    </w:p>
    <w:p>
      <w:pPr>
        <w:tabs>
          <w:tab w:val="left" w:pos="840"/>
        </w:tabs>
        <w:spacing w:line="360" w:lineRule="auto"/>
        <w:ind w:left="525" w:hanging="525" w:hangingChars="250"/>
        <w:rPr>
          <w:rFonts w:hint="eastAsia" w:ascii="宋体" w:hAnsi="宋体" w:eastAsia="宋体" w:cs="宋体"/>
          <w:color w:val="auto"/>
          <w:szCs w:val="22"/>
          <w:highlight w:val="none"/>
        </w:rPr>
      </w:pPr>
      <w:r>
        <w:rPr>
          <w:rFonts w:hint="eastAsia" w:ascii="宋体" w:hAnsi="宋体" w:eastAsia="宋体" w:cs="宋体"/>
          <w:color w:val="auto"/>
          <w:highlight w:val="none"/>
        </w:rPr>
        <w:t>15.3投标人应按招标文件用户需求书中所列采购项目各序号逐项报出一个不变的价格方案(招标文件有特别说明的除外)。报价中应已包括货物应纳全部规定税项和与货物或服务有关的运输、</w:t>
      </w:r>
      <w:r>
        <w:rPr>
          <w:rFonts w:hint="eastAsia" w:ascii="宋体" w:hAnsi="宋体" w:eastAsia="宋体" w:cs="宋体"/>
          <w:color w:val="auto"/>
          <w:szCs w:val="22"/>
          <w:highlight w:val="none"/>
        </w:rPr>
        <w:t>保险、安装、调试、培训等费用。税金、运输、保险、安装、调试、培训等不单独列项报价。</w:t>
      </w:r>
    </w:p>
    <w:p>
      <w:pPr>
        <w:tabs>
          <w:tab w:val="left" w:pos="840"/>
        </w:tabs>
        <w:spacing w:line="360" w:lineRule="auto"/>
        <w:ind w:left="525" w:hanging="525" w:hangingChars="250"/>
        <w:rPr>
          <w:rFonts w:hint="eastAsia" w:ascii="宋体" w:hAnsi="宋体" w:eastAsia="宋体" w:cs="宋体"/>
          <w:color w:val="auto"/>
          <w:szCs w:val="22"/>
          <w:highlight w:val="none"/>
        </w:rPr>
      </w:pPr>
      <w:r>
        <w:rPr>
          <w:rFonts w:hint="eastAsia" w:ascii="宋体" w:hAnsi="宋体" w:eastAsia="宋体" w:cs="宋体"/>
          <w:color w:val="auto"/>
          <w:szCs w:val="22"/>
          <w:highlight w:val="none"/>
        </w:rPr>
        <w:t>15.4投标人所报的投标价在合同执行期间是固定不变的，不得以任何理由予以变更。以可调整的价格提交的投标文件将作为非响应性投标而予以拒绝。</w:t>
      </w:r>
    </w:p>
    <w:p>
      <w:pPr>
        <w:tabs>
          <w:tab w:val="left" w:pos="840"/>
        </w:tabs>
        <w:spacing w:line="360" w:lineRule="auto"/>
        <w:ind w:left="527" w:hanging="527" w:hangingChars="250"/>
        <w:rPr>
          <w:rFonts w:hint="eastAsia" w:ascii="宋体" w:hAnsi="宋体" w:eastAsia="宋体" w:cs="宋体"/>
          <w:b/>
          <w:bCs/>
          <w:color w:val="auto"/>
          <w:szCs w:val="22"/>
          <w:highlight w:val="none"/>
        </w:rPr>
      </w:pPr>
      <w:r>
        <w:rPr>
          <w:rFonts w:hint="eastAsia" w:ascii="宋体" w:hAnsi="宋体" w:eastAsia="宋体" w:cs="宋体"/>
          <w:b/>
          <w:bCs/>
          <w:color w:val="auto"/>
          <w:szCs w:val="22"/>
          <w:highlight w:val="none"/>
        </w:rPr>
        <w:t>16、投标货币</w:t>
      </w:r>
    </w:p>
    <w:p>
      <w:pPr>
        <w:tabs>
          <w:tab w:val="left" w:pos="840"/>
        </w:tabs>
        <w:spacing w:line="360" w:lineRule="auto"/>
        <w:ind w:left="525" w:hanging="525" w:hangingChars="250"/>
        <w:rPr>
          <w:rFonts w:hint="eastAsia" w:ascii="宋体" w:hAnsi="宋体" w:eastAsia="宋体" w:cs="宋体"/>
          <w:color w:val="auto"/>
          <w:szCs w:val="22"/>
          <w:highlight w:val="none"/>
        </w:rPr>
      </w:pPr>
      <w:r>
        <w:rPr>
          <w:rFonts w:hint="eastAsia" w:ascii="宋体" w:hAnsi="宋体" w:eastAsia="宋体" w:cs="宋体"/>
          <w:color w:val="auto"/>
          <w:szCs w:val="22"/>
          <w:highlight w:val="none"/>
        </w:rPr>
        <w:t>16.1投标人提供的货物和服务须用人民币报价；</w:t>
      </w:r>
    </w:p>
    <w:p>
      <w:pPr>
        <w:tabs>
          <w:tab w:val="left" w:pos="840"/>
        </w:tabs>
        <w:spacing w:line="360" w:lineRule="auto"/>
        <w:ind w:left="525" w:hanging="525" w:hangingChars="250"/>
        <w:rPr>
          <w:rFonts w:hint="eastAsia" w:ascii="宋体" w:hAnsi="宋体" w:eastAsia="宋体" w:cs="宋体"/>
          <w:color w:val="auto"/>
          <w:szCs w:val="22"/>
          <w:highlight w:val="none"/>
        </w:rPr>
      </w:pPr>
      <w:r>
        <w:rPr>
          <w:rFonts w:hint="eastAsia" w:ascii="宋体" w:hAnsi="宋体" w:eastAsia="宋体" w:cs="宋体"/>
          <w:color w:val="auto"/>
          <w:szCs w:val="22"/>
          <w:highlight w:val="none"/>
        </w:rPr>
        <w:t>16.2投标文件中的大写金额和小写金额不一致的，以大写金额为准；总价金额与单价金额和数量乘积不一致的，以单价金额和数量乘积为准，但单价金额小数点有明显错误的除外。</w:t>
      </w:r>
    </w:p>
    <w:p>
      <w:pPr>
        <w:tabs>
          <w:tab w:val="left" w:pos="840"/>
        </w:tabs>
        <w:spacing w:line="360" w:lineRule="auto"/>
        <w:ind w:left="527" w:hanging="527" w:hangingChars="250"/>
        <w:rPr>
          <w:rFonts w:hint="eastAsia" w:ascii="宋体" w:hAnsi="宋体" w:eastAsia="宋体" w:cs="宋体"/>
          <w:b/>
          <w:bCs/>
          <w:color w:val="auto"/>
          <w:szCs w:val="22"/>
          <w:highlight w:val="none"/>
        </w:rPr>
      </w:pPr>
      <w:r>
        <w:rPr>
          <w:rFonts w:hint="eastAsia" w:ascii="宋体" w:hAnsi="宋体" w:eastAsia="宋体" w:cs="宋体"/>
          <w:b/>
          <w:bCs/>
          <w:color w:val="auto"/>
          <w:szCs w:val="22"/>
          <w:highlight w:val="none"/>
        </w:rPr>
        <w:t>17、证明投标人合格和资格的文件</w:t>
      </w:r>
    </w:p>
    <w:p>
      <w:pPr>
        <w:tabs>
          <w:tab w:val="left" w:pos="840"/>
        </w:tabs>
        <w:spacing w:line="360" w:lineRule="auto"/>
        <w:ind w:left="525" w:hanging="525" w:hangingChars="250"/>
        <w:rPr>
          <w:rFonts w:hint="eastAsia" w:ascii="宋体" w:hAnsi="宋体" w:eastAsia="宋体" w:cs="宋体"/>
          <w:color w:val="auto"/>
          <w:highlight w:val="none"/>
        </w:rPr>
      </w:pPr>
      <w:r>
        <w:rPr>
          <w:rFonts w:hint="eastAsia" w:ascii="宋体" w:hAnsi="宋体" w:eastAsia="宋体" w:cs="宋体"/>
          <w:color w:val="auto"/>
          <w:szCs w:val="22"/>
          <w:highlight w:val="none"/>
        </w:rPr>
        <w:t>17.1如投标人须知规定，投标人应提交证明</w:t>
      </w:r>
      <w:r>
        <w:rPr>
          <w:rFonts w:hint="eastAsia" w:ascii="宋体" w:hAnsi="宋体" w:eastAsia="宋体" w:cs="宋体"/>
          <w:color w:val="auto"/>
          <w:highlight w:val="none"/>
        </w:rPr>
        <w:t>其有资格参加投标和中标后有能力履行合同的文件，并作为其投标文件的一部分。</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17.2投标人提交的中标后履行合同的资格证明文件应满足招标文件的要求：</w:t>
      </w:r>
    </w:p>
    <w:p>
      <w:pPr>
        <w:numPr>
          <w:ilvl w:val="0"/>
          <w:numId w:val="4"/>
        </w:numPr>
        <w:tabs>
          <w:tab w:val="left" w:pos="-180"/>
          <w:tab w:val="clear" w:pos="1365"/>
        </w:tabs>
        <w:spacing w:line="360" w:lineRule="auto"/>
        <w:ind w:left="1260" w:hanging="615"/>
        <w:rPr>
          <w:rFonts w:hint="eastAsia" w:ascii="宋体" w:hAnsi="宋体" w:eastAsia="宋体" w:cs="宋体"/>
          <w:color w:val="auto"/>
          <w:highlight w:val="none"/>
        </w:rPr>
      </w:pPr>
      <w:r>
        <w:rPr>
          <w:rFonts w:hint="eastAsia" w:ascii="宋体" w:hAnsi="宋体" w:eastAsia="宋体" w:cs="宋体"/>
          <w:color w:val="auto"/>
          <w:highlight w:val="none"/>
        </w:rPr>
        <w:t>投标人与本次招标项目类似案例的业绩（提供合同复印件）；（如需）</w:t>
      </w:r>
    </w:p>
    <w:p>
      <w:pPr>
        <w:numPr>
          <w:ilvl w:val="0"/>
          <w:numId w:val="4"/>
        </w:numPr>
        <w:tabs>
          <w:tab w:val="left" w:pos="-180"/>
          <w:tab w:val="clear" w:pos="1365"/>
        </w:tabs>
        <w:spacing w:line="360" w:lineRule="auto"/>
        <w:ind w:left="1260" w:hanging="615"/>
        <w:rPr>
          <w:rFonts w:hint="eastAsia" w:ascii="宋体" w:hAnsi="宋体" w:eastAsia="宋体" w:cs="宋体"/>
          <w:color w:val="auto"/>
          <w:highlight w:val="none"/>
        </w:rPr>
      </w:pPr>
      <w:r>
        <w:rPr>
          <w:rFonts w:hint="eastAsia" w:ascii="宋体" w:hAnsi="宋体" w:eastAsia="宋体" w:cs="宋体"/>
          <w:color w:val="auto"/>
          <w:highlight w:val="none"/>
        </w:rPr>
        <w:t>如果投标人拟提供的设备主要设备不是投标人自己制造的，投标人应获得制造商愿意对业主提供该设备的正式项目授权书或者代理权书；（如需）</w:t>
      </w:r>
    </w:p>
    <w:p>
      <w:pPr>
        <w:numPr>
          <w:ilvl w:val="0"/>
          <w:numId w:val="4"/>
        </w:numPr>
        <w:tabs>
          <w:tab w:val="clear" w:pos="1365"/>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投标人已具备履行合同所需的人力、财力、物力和服务能力；（如需）</w:t>
      </w:r>
    </w:p>
    <w:p>
      <w:pPr>
        <w:numPr>
          <w:ilvl w:val="0"/>
          <w:numId w:val="4"/>
        </w:numPr>
        <w:tabs>
          <w:tab w:val="clear" w:pos="1365"/>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投标人应具有</w:t>
      </w:r>
      <w:r>
        <w:rPr>
          <w:rFonts w:hint="eastAsia" w:ascii="宋体" w:hAnsi="宋体" w:eastAsia="宋体" w:cs="宋体"/>
          <w:color w:val="auto"/>
          <w:szCs w:val="21"/>
          <w:highlight w:val="none"/>
        </w:rPr>
        <w:t>本招标采购的设备</w:t>
      </w:r>
      <w:r>
        <w:rPr>
          <w:rFonts w:hint="eastAsia" w:ascii="宋体" w:hAnsi="宋体" w:eastAsia="宋体" w:cs="宋体"/>
          <w:color w:val="auto"/>
          <w:highlight w:val="none"/>
        </w:rPr>
        <w:t>提供长期售后服务和备品备件的能力证明；（如需）</w:t>
      </w:r>
    </w:p>
    <w:p>
      <w:pPr>
        <w:numPr>
          <w:ilvl w:val="0"/>
          <w:numId w:val="4"/>
        </w:numPr>
        <w:tabs>
          <w:tab w:val="left" w:pos="720"/>
          <w:tab w:val="clear" w:pos="1365"/>
        </w:tabs>
        <w:spacing w:line="360" w:lineRule="auto"/>
        <w:ind w:left="720" w:hanging="75"/>
        <w:rPr>
          <w:rFonts w:hint="eastAsia" w:ascii="宋体" w:hAnsi="宋体" w:eastAsia="宋体" w:cs="宋体"/>
          <w:color w:val="auto"/>
          <w:highlight w:val="none"/>
        </w:rPr>
      </w:pPr>
      <w:r>
        <w:rPr>
          <w:rFonts w:hint="eastAsia" w:ascii="宋体" w:hAnsi="宋体" w:eastAsia="宋体" w:cs="宋体"/>
          <w:color w:val="auto"/>
          <w:highlight w:val="none"/>
        </w:rPr>
        <w:t>有关确立投标人法律地位和专业服务能力的原始文件副本复印件（如营业执照等资格证书）。（如需）</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18、证明</w:t>
      </w:r>
      <w:r>
        <w:rPr>
          <w:rFonts w:hint="eastAsia" w:ascii="宋体" w:hAnsi="宋体" w:eastAsia="宋体" w:cs="宋体"/>
          <w:b/>
          <w:color w:val="auto"/>
          <w:highlight w:val="none"/>
        </w:rPr>
        <w:t>设备</w:t>
      </w:r>
      <w:r>
        <w:rPr>
          <w:rFonts w:hint="eastAsia" w:ascii="宋体" w:hAnsi="宋体" w:eastAsia="宋体" w:cs="宋体"/>
          <w:b/>
          <w:bCs/>
          <w:color w:val="auto"/>
          <w:highlight w:val="none"/>
        </w:rPr>
        <w:t>的合格性和符合招标文件规定的文件</w:t>
      </w:r>
    </w:p>
    <w:p>
      <w:pPr>
        <w:tabs>
          <w:tab w:val="left" w:pos="360"/>
          <w:tab w:val="left" w:pos="945"/>
        </w:tabs>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18.1投标人应提交证明其拟提供的货物及相关服务符合招标文件规定的文件，包括投标报价表中对货物原产地的说明，并作为其投标文件的一部分。</w:t>
      </w:r>
    </w:p>
    <w:p>
      <w:pPr>
        <w:tabs>
          <w:tab w:val="left" w:pos="360"/>
          <w:tab w:val="left" w:pos="945"/>
        </w:tabs>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18.2证明货物及相关服务与招标文件的要求相一致的文件，可以是文字资料、图纸、数据和实物，包括如下：</w:t>
      </w:r>
    </w:p>
    <w:p>
      <w:pPr>
        <w:widowControl/>
        <w:numPr>
          <w:ilvl w:val="0"/>
          <w:numId w:val="5"/>
        </w:numPr>
        <w:spacing w:line="360" w:lineRule="auto"/>
        <w:ind w:left="851" w:firstLine="0"/>
        <w:rPr>
          <w:rFonts w:hint="eastAsia" w:ascii="宋体" w:hAnsi="宋体" w:eastAsia="宋体" w:cs="宋体"/>
          <w:color w:val="auto"/>
          <w:highlight w:val="none"/>
        </w:rPr>
      </w:pPr>
      <w:r>
        <w:rPr>
          <w:rFonts w:hint="eastAsia" w:ascii="宋体" w:hAnsi="宋体" w:eastAsia="宋体" w:cs="宋体"/>
          <w:color w:val="auto"/>
          <w:highlight w:val="none"/>
        </w:rPr>
        <w:t>货物的型号、规格；（如需）</w:t>
      </w:r>
    </w:p>
    <w:p>
      <w:pPr>
        <w:widowControl/>
        <w:numPr>
          <w:ilvl w:val="0"/>
          <w:numId w:val="5"/>
        </w:numPr>
        <w:spacing w:line="360" w:lineRule="auto"/>
        <w:ind w:left="851" w:firstLine="0"/>
        <w:rPr>
          <w:rFonts w:hint="eastAsia" w:ascii="宋体" w:hAnsi="宋体" w:eastAsia="宋体" w:cs="宋体"/>
          <w:color w:val="auto"/>
          <w:highlight w:val="none"/>
        </w:rPr>
      </w:pPr>
      <w:r>
        <w:rPr>
          <w:rFonts w:hint="eastAsia" w:ascii="宋体" w:hAnsi="宋体" w:eastAsia="宋体" w:cs="宋体"/>
          <w:color w:val="auto"/>
          <w:highlight w:val="none"/>
        </w:rPr>
        <w:t>货物主要服务指标和性能的详细说明；（如需）</w:t>
      </w:r>
    </w:p>
    <w:p>
      <w:pPr>
        <w:widowControl/>
        <w:numPr>
          <w:ilvl w:val="0"/>
          <w:numId w:val="5"/>
        </w:numPr>
        <w:spacing w:line="360" w:lineRule="auto"/>
        <w:ind w:left="851" w:firstLine="0"/>
        <w:rPr>
          <w:rFonts w:hint="eastAsia" w:ascii="宋体" w:hAnsi="宋体" w:eastAsia="宋体" w:cs="宋体"/>
          <w:color w:val="auto"/>
          <w:highlight w:val="none"/>
        </w:rPr>
      </w:pPr>
      <w:r>
        <w:rPr>
          <w:rFonts w:hint="eastAsia" w:ascii="宋体" w:hAnsi="宋体" w:eastAsia="宋体" w:cs="宋体"/>
          <w:color w:val="auto"/>
          <w:highlight w:val="none"/>
        </w:rPr>
        <w:t>详细的合同项下提供货物及相关服务的执行时间表及其实施措施，明确标注出影响合同执行的关键时间及因素；（如需）</w:t>
      </w:r>
    </w:p>
    <w:p>
      <w:pPr>
        <w:widowControl/>
        <w:numPr>
          <w:ilvl w:val="0"/>
          <w:numId w:val="5"/>
        </w:numPr>
        <w:spacing w:line="360" w:lineRule="auto"/>
        <w:ind w:left="851" w:firstLine="0"/>
        <w:rPr>
          <w:rFonts w:hint="eastAsia" w:ascii="宋体" w:hAnsi="宋体" w:eastAsia="宋体" w:cs="宋体"/>
          <w:color w:val="auto"/>
          <w:highlight w:val="none"/>
        </w:rPr>
      </w:pPr>
      <w:r>
        <w:rPr>
          <w:rFonts w:hint="eastAsia" w:ascii="宋体" w:hAnsi="宋体" w:eastAsia="宋体" w:cs="宋体"/>
          <w:color w:val="auto"/>
          <w:highlight w:val="none"/>
        </w:rPr>
        <w:t>招标人在按招标人规定的周期内正常、连续地使用货物所必需的备品备件、专用工具的清单，包括其货源及现行价格；（如需）</w:t>
      </w:r>
    </w:p>
    <w:p>
      <w:pPr>
        <w:widowControl/>
        <w:numPr>
          <w:ilvl w:val="0"/>
          <w:numId w:val="5"/>
        </w:numPr>
        <w:spacing w:line="360" w:lineRule="auto"/>
        <w:ind w:left="851" w:firstLine="0"/>
        <w:rPr>
          <w:rFonts w:hint="eastAsia" w:ascii="宋体" w:hAnsi="宋体" w:eastAsia="宋体" w:cs="宋体"/>
          <w:color w:val="auto"/>
          <w:highlight w:val="none"/>
        </w:rPr>
      </w:pPr>
      <w:r>
        <w:rPr>
          <w:rFonts w:hint="eastAsia" w:ascii="宋体" w:hAnsi="宋体" w:eastAsia="宋体" w:cs="宋体"/>
          <w:color w:val="auto"/>
          <w:highlight w:val="none"/>
        </w:rPr>
        <w:t>对照招标文件要求的技术规格，投标人逐条说明所提供的货物及相关服务已对招标文件中的技术规格作出了实质性的响应；或申明与技术规格条文的偏差和例外。特别是对于有具体参数要求的指标，投标人必须提供所投货物的具体参数值。（如需）</w:t>
      </w:r>
    </w:p>
    <w:p>
      <w:pPr>
        <w:tabs>
          <w:tab w:val="left" w:pos="360"/>
          <w:tab w:val="left" w:pos="840"/>
        </w:tabs>
        <w:spacing w:line="360" w:lineRule="auto"/>
        <w:ind w:left="525" w:hanging="525" w:hangingChars="250"/>
        <w:rPr>
          <w:rFonts w:hint="eastAsia" w:ascii="宋体" w:hAnsi="宋体" w:eastAsia="宋体" w:cs="宋体"/>
          <w:color w:val="auto"/>
          <w:highlight w:val="none"/>
        </w:rPr>
      </w:pPr>
      <w:r>
        <w:rPr>
          <w:rFonts w:hint="eastAsia" w:ascii="宋体" w:hAnsi="宋体" w:eastAsia="宋体" w:cs="宋体"/>
          <w:color w:val="auto"/>
          <w:highlight w:val="none"/>
        </w:rPr>
        <w:t>18.3投标人在阐述投标人须知第18.2（b）时应注意：招标文件在技术规格中指出的工艺、材料和设备标准以及参照的牌号或分类号仅起说明作用，并没有任何限制性。投标人在投标中可以选用替代标准、牌号或分类号，但这些替代要实质上相当（或优）于技术规格的要求。</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19、投标保证金</w:t>
      </w:r>
    </w:p>
    <w:p>
      <w:pPr>
        <w:spacing w:line="360" w:lineRule="auto"/>
        <w:ind w:left="540" w:hanging="539" w:hangingChars="257"/>
        <w:rPr>
          <w:rFonts w:hint="eastAsia" w:ascii="宋体" w:hAnsi="宋体" w:eastAsia="宋体" w:cs="宋体"/>
          <w:color w:val="auto"/>
          <w:highlight w:val="none"/>
        </w:rPr>
      </w:pPr>
      <w:r>
        <w:rPr>
          <w:rFonts w:hint="eastAsia" w:ascii="宋体" w:hAnsi="宋体" w:eastAsia="宋体" w:cs="宋体"/>
          <w:color w:val="auto"/>
          <w:highlight w:val="none"/>
        </w:rPr>
        <w:t>19.1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pPr>
        <w:spacing w:line="360" w:lineRule="auto"/>
        <w:ind w:left="718" w:hanging="718" w:hangingChars="342"/>
        <w:rPr>
          <w:rFonts w:hint="eastAsia" w:ascii="宋体" w:hAnsi="宋体" w:eastAsia="宋体" w:cs="宋体"/>
          <w:color w:val="auto"/>
          <w:highlight w:val="none"/>
        </w:rPr>
      </w:pPr>
      <w:r>
        <w:rPr>
          <w:rFonts w:hint="eastAsia" w:ascii="宋体" w:hAnsi="宋体" w:eastAsia="宋体" w:cs="宋体"/>
          <w:color w:val="auto"/>
          <w:highlight w:val="none"/>
        </w:rPr>
        <w:t>19.2投标保证金是为了保护业主免遭因投标人的行为而蒙受损失，业主在因投标人的行为受到损害时可以依法没收投标人的投标保证金。</w:t>
      </w:r>
    </w:p>
    <w:p>
      <w:pPr>
        <w:spacing w:line="360" w:lineRule="auto"/>
        <w:ind w:left="525" w:hanging="525" w:hangingChars="250"/>
        <w:rPr>
          <w:rFonts w:hint="eastAsia" w:ascii="宋体" w:hAnsi="宋体" w:eastAsia="宋体" w:cs="宋体"/>
          <w:color w:val="auto"/>
          <w:highlight w:val="none"/>
        </w:rPr>
      </w:pPr>
      <w:r>
        <w:rPr>
          <w:rFonts w:hint="eastAsia" w:ascii="宋体" w:hAnsi="宋体" w:eastAsia="宋体" w:cs="宋体"/>
          <w:bCs/>
          <w:color w:val="auto"/>
          <w:highlight w:val="none"/>
        </w:rPr>
        <w:t>19.3投</w:t>
      </w:r>
      <w:r>
        <w:rPr>
          <w:rFonts w:hint="eastAsia" w:ascii="宋体" w:hAnsi="宋体" w:eastAsia="宋体" w:cs="宋体"/>
          <w:color w:val="auto"/>
          <w:highlight w:val="none"/>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eastAsia="宋体" w:cs="宋体"/>
          <w:bCs/>
          <w:color w:val="auto"/>
          <w:highlight w:val="none"/>
        </w:rPr>
        <w:t>投标人</w:t>
      </w:r>
      <w:r>
        <w:rPr>
          <w:rFonts w:hint="eastAsia" w:ascii="宋体" w:hAnsi="宋体" w:eastAsia="宋体" w:cs="宋体"/>
          <w:color w:val="auto"/>
          <w:highlight w:val="none"/>
        </w:rPr>
        <w:t>每个项目的保证金缴纳账户是唯一的，该账号是针对每位</w:t>
      </w:r>
      <w:r>
        <w:rPr>
          <w:rFonts w:hint="eastAsia" w:ascii="宋体" w:hAnsi="宋体" w:eastAsia="宋体" w:cs="宋体"/>
          <w:bCs/>
          <w:color w:val="auto"/>
          <w:highlight w:val="none"/>
        </w:rPr>
        <w:t>投标人</w:t>
      </w:r>
      <w:r>
        <w:rPr>
          <w:rFonts w:hint="eastAsia" w:ascii="宋体" w:hAnsi="宋体" w:eastAsia="宋体" w:cs="宋体"/>
          <w:color w:val="auto"/>
          <w:highlight w:val="none"/>
        </w:rPr>
        <w:t>随机生成的专属账号）。</w:t>
      </w:r>
    </w:p>
    <w:p>
      <w:pPr>
        <w:spacing w:line="360" w:lineRule="auto"/>
        <w:ind w:firstLine="617" w:firstLineChars="294"/>
        <w:rPr>
          <w:rFonts w:hint="eastAsia" w:ascii="宋体" w:hAnsi="宋体" w:eastAsia="宋体" w:cs="宋体"/>
          <w:color w:val="auto"/>
          <w:highlight w:val="none"/>
        </w:rPr>
      </w:pPr>
      <w:r>
        <w:rPr>
          <w:rFonts w:hint="eastAsia" w:ascii="宋体" w:hAnsi="宋体" w:eastAsia="宋体" w:cs="宋体"/>
          <w:color w:val="auto"/>
          <w:highlight w:val="none"/>
        </w:rPr>
        <w:t>①投标保证金应从投标人在本平台注册的基本户中支付，并以资金到达该子账号的时间为准，如从其他账户、或未缴纳到指定的子账号，视为无效投标保证金。</w:t>
      </w:r>
    </w:p>
    <w:p>
      <w:pPr>
        <w:spacing w:line="360" w:lineRule="auto"/>
        <w:ind w:firstLine="617" w:firstLineChars="294"/>
        <w:rPr>
          <w:rFonts w:hint="eastAsia" w:ascii="宋体" w:hAnsi="宋体" w:eastAsia="宋体" w:cs="宋体"/>
          <w:color w:val="auto"/>
          <w:highlight w:val="none"/>
        </w:rPr>
      </w:pPr>
      <w:r>
        <w:rPr>
          <w:rFonts w:hint="eastAsia" w:ascii="宋体" w:hAnsi="宋体" w:eastAsia="宋体" w:cs="宋体"/>
          <w:color w:val="auto"/>
          <w:highlight w:val="none"/>
        </w:rPr>
        <w:t>②投标人严禁采用EFT系统(广东金融结算系统/广州银行)方式缴纳投标保证，如采用此方式导致招投标系统无法识别缴纳账号信息的，视为未按要求缴纳保证金，由此造成后果由投标供应商自行承担责任。</w:t>
      </w:r>
    </w:p>
    <w:p>
      <w:pPr>
        <w:spacing w:line="360" w:lineRule="auto"/>
        <w:ind w:firstLine="617" w:firstLineChars="294"/>
        <w:rPr>
          <w:rFonts w:hint="eastAsia" w:ascii="宋体" w:hAnsi="宋体" w:eastAsia="宋体" w:cs="宋体"/>
          <w:b/>
          <w:bCs/>
          <w:color w:val="auto"/>
          <w:highlight w:val="none"/>
        </w:rPr>
      </w:pPr>
      <w:r>
        <w:rPr>
          <w:rFonts w:hint="eastAsia" w:ascii="宋体" w:hAnsi="宋体" w:eastAsia="宋体" w:cs="宋体"/>
          <w:color w:val="auto"/>
          <w:highlight w:val="none"/>
        </w:rPr>
        <w:t>③根据银行跨行转账时间惯例，一般需要2个工作日到帐，部分银行需要3至5个工作日到账。为确保投标保证金有效，请投标人预留足够的时间提前转账，以免影响投标。</w:t>
      </w:r>
    </w:p>
    <w:p>
      <w:pPr>
        <w:spacing w:line="360" w:lineRule="auto"/>
        <w:ind w:left="359" w:hanging="359" w:hangingChars="171"/>
        <w:jc w:val="left"/>
        <w:rPr>
          <w:rFonts w:hint="eastAsia" w:ascii="宋体" w:hAnsi="宋体" w:eastAsia="宋体" w:cs="宋体"/>
          <w:color w:val="auto"/>
          <w:highlight w:val="none"/>
        </w:rPr>
      </w:pPr>
      <w:r>
        <w:rPr>
          <w:rFonts w:hint="eastAsia" w:ascii="宋体" w:hAnsi="宋体" w:eastAsia="宋体" w:cs="宋体"/>
          <w:color w:val="auto"/>
          <w:highlight w:val="none"/>
        </w:rPr>
        <w:t>19.4凡没有根据投标人须知的规定提交投标保证金的投标，将按投标人须知的规定视为非响应性投标予以拒绝。</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19.5未中标的投标人的保证金，将按投标人须知发出中标结果通知之日起5个工作日内由收款人原额退还</w:t>
      </w:r>
      <w:r>
        <w:rPr>
          <w:rFonts w:hint="eastAsia" w:ascii="宋体" w:hAnsi="宋体" w:eastAsia="宋体" w:cs="宋体"/>
          <w:b/>
          <w:bCs/>
          <w:color w:val="auto"/>
          <w:highlight w:val="none"/>
        </w:rPr>
        <w:t>（保证金不计利息）</w:t>
      </w:r>
      <w:r>
        <w:rPr>
          <w:rFonts w:hint="eastAsia" w:ascii="宋体" w:hAnsi="宋体" w:eastAsia="宋体" w:cs="宋体"/>
          <w:color w:val="auto"/>
          <w:highlight w:val="none"/>
        </w:rPr>
        <w:t>。为了便于投标保证金顺利退还，所有投标人务必详细填写好投标保证金退还说明并在开标时与标书一起递交。</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19.6乙方的投标保证金的退还必须同时满足以下要求：</w:t>
      </w:r>
    </w:p>
    <w:p>
      <w:pPr>
        <w:spacing w:line="360" w:lineRule="auto"/>
        <w:ind w:left="720"/>
        <w:rPr>
          <w:rFonts w:hint="eastAsia" w:ascii="宋体" w:hAnsi="宋体" w:eastAsia="宋体" w:cs="宋体"/>
          <w:color w:val="auto"/>
          <w:szCs w:val="22"/>
          <w:highlight w:val="none"/>
        </w:rPr>
      </w:pPr>
      <w:r>
        <w:rPr>
          <w:rFonts w:hint="eastAsia" w:ascii="宋体" w:hAnsi="宋体" w:eastAsia="宋体" w:cs="宋体"/>
          <w:color w:val="auto"/>
          <w:highlight w:val="none"/>
        </w:rPr>
        <w:t>（1）</w:t>
      </w:r>
      <w:r>
        <w:rPr>
          <w:rFonts w:hint="eastAsia" w:ascii="宋体" w:hAnsi="宋体" w:eastAsia="宋体" w:cs="宋体"/>
          <w:color w:val="auto"/>
          <w:szCs w:val="22"/>
          <w:highlight w:val="none"/>
        </w:rPr>
        <w:t>乙方按投标人须知规定签订合同；</w:t>
      </w:r>
    </w:p>
    <w:p>
      <w:pPr>
        <w:spacing w:line="360" w:lineRule="auto"/>
        <w:ind w:left="72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2"/>
          <w:highlight w:val="none"/>
        </w:rPr>
        <w:t>乙方按投标人须知规定支付招标代理服务费。如果乙方拒绝支付规定的招标代理服务费，业主有</w:t>
      </w:r>
      <w:r>
        <w:rPr>
          <w:rFonts w:hint="eastAsia" w:ascii="宋体" w:hAnsi="宋体" w:eastAsia="宋体" w:cs="宋体"/>
          <w:color w:val="auto"/>
          <w:highlight w:val="none"/>
        </w:rPr>
        <w:t>权在投标人所交的投标保证金中扣除相应费用。</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19.7下列任何一种情况发生时，投标保证金将被没收：</w:t>
      </w:r>
    </w:p>
    <w:p>
      <w:pPr>
        <w:spacing w:line="360" w:lineRule="auto"/>
        <w:ind w:left="720"/>
        <w:rPr>
          <w:rFonts w:hint="eastAsia" w:ascii="宋体" w:hAnsi="宋体" w:eastAsia="宋体" w:cs="宋体"/>
          <w:color w:val="auto"/>
          <w:szCs w:val="22"/>
          <w:highlight w:val="none"/>
        </w:rPr>
      </w:pPr>
      <w:r>
        <w:rPr>
          <w:rFonts w:hint="eastAsia" w:ascii="宋体" w:hAnsi="宋体" w:eastAsia="宋体" w:cs="宋体"/>
          <w:color w:val="auto"/>
          <w:szCs w:val="22"/>
          <w:highlight w:val="none"/>
        </w:rPr>
        <w:t>（1）投标人在投标文件中规定的投标有效期内撤回其投标；</w:t>
      </w:r>
    </w:p>
    <w:p>
      <w:pPr>
        <w:spacing w:line="360" w:lineRule="auto"/>
        <w:ind w:left="720"/>
        <w:rPr>
          <w:rFonts w:hint="eastAsia" w:ascii="宋体" w:hAnsi="宋体" w:eastAsia="宋体" w:cs="宋体"/>
          <w:color w:val="auto"/>
          <w:szCs w:val="22"/>
          <w:highlight w:val="none"/>
        </w:rPr>
      </w:pPr>
      <w:r>
        <w:rPr>
          <w:rFonts w:hint="eastAsia" w:ascii="宋体" w:hAnsi="宋体" w:eastAsia="宋体" w:cs="宋体"/>
          <w:color w:val="auto"/>
          <w:szCs w:val="22"/>
          <w:highlight w:val="none"/>
        </w:rPr>
        <w:t>（2）乙方在规定期限内未能根据投标人须知规定签订合同；或未能根据投标人须知规定接受对错误的修正；</w:t>
      </w:r>
    </w:p>
    <w:p>
      <w:pPr>
        <w:spacing w:line="360" w:lineRule="auto"/>
        <w:ind w:left="720"/>
        <w:rPr>
          <w:rFonts w:hint="eastAsia" w:ascii="宋体" w:hAnsi="宋体" w:eastAsia="宋体" w:cs="宋体"/>
          <w:color w:val="auto"/>
          <w:highlight w:val="none"/>
        </w:rPr>
      </w:pPr>
      <w:r>
        <w:rPr>
          <w:rFonts w:hint="eastAsia" w:ascii="宋体" w:hAnsi="宋体" w:eastAsia="宋体" w:cs="宋体"/>
          <w:color w:val="auto"/>
          <w:szCs w:val="22"/>
          <w:highlight w:val="none"/>
        </w:rPr>
        <w:t>（3）投标人在</w:t>
      </w:r>
      <w:r>
        <w:rPr>
          <w:rFonts w:hint="eastAsia" w:ascii="宋体" w:hAnsi="宋体" w:eastAsia="宋体" w:cs="宋体"/>
          <w:color w:val="auto"/>
          <w:highlight w:val="none"/>
        </w:rPr>
        <w:t>投标过程中提供虚假材料。</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20、知识产权</w:t>
      </w:r>
    </w:p>
    <w:p>
      <w:pPr>
        <w:spacing w:line="360" w:lineRule="auto"/>
        <w:ind w:left="540" w:hanging="539" w:hangingChars="257"/>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rPr>
        <w:tab/>
      </w:r>
      <w:r>
        <w:rPr>
          <w:rFonts w:hint="eastAsia" w:ascii="宋体" w:hAnsi="宋体" w:eastAsia="宋体" w:cs="宋体"/>
          <w:color w:val="auto"/>
          <w:highlight w:val="none"/>
        </w:rPr>
        <w:t>投标人应保证，业主在中华人民共和国使用设备或设备的任何一部分时，业主免受第三方提出侵犯其专利权、商标权或其它知识产权的起诉。</w:t>
      </w:r>
    </w:p>
    <w:p>
      <w:pPr>
        <w:spacing w:line="360" w:lineRule="auto"/>
        <w:ind w:left="540" w:hanging="539" w:hangingChars="257"/>
        <w:rPr>
          <w:rFonts w:hint="eastAsia" w:ascii="宋体" w:hAnsi="宋体" w:eastAsia="宋体" w:cs="宋体"/>
          <w:color w:val="auto"/>
          <w:highlight w:val="none"/>
        </w:rPr>
      </w:pPr>
      <w:r>
        <w:rPr>
          <w:rFonts w:hint="eastAsia" w:ascii="宋体" w:hAnsi="宋体" w:eastAsia="宋体" w:cs="宋体"/>
          <w:color w:val="auto"/>
          <w:highlight w:val="none"/>
        </w:rPr>
        <w:t>20.2投标价应包括所有应付的对专利权、版权或其他知识产权而需要向其他方支付的版税、使用费等费用。</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21、投标有效期</w:t>
      </w:r>
    </w:p>
    <w:p>
      <w:pPr>
        <w:spacing w:line="360" w:lineRule="auto"/>
        <w:ind w:left="630" w:hanging="630" w:hangingChars="300"/>
        <w:rPr>
          <w:rFonts w:hint="eastAsia" w:ascii="宋体" w:hAnsi="宋体" w:eastAsia="宋体" w:cs="宋体"/>
          <w:color w:val="auto"/>
          <w:highlight w:val="none"/>
        </w:rPr>
      </w:pPr>
      <w:r>
        <w:rPr>
          <w:rFonts w:hint="eastAsia" w:ascii="宋体" w:hAnsi="宋体" w:eastAsia="宋体" w:cs="宋体"/>
          <w:color w:val="auto"/>
          <w:highlight w:val="none"/>
        </w:rPr>
        <w:t>21.1投标文件应根据投标人须知的规定保持有效，比规定期限短的将视为非响应投标而予以拒绝。</w:t>
      </w:r>
    </w:p>
    <w:p>
      <w:pPr>
        <w:spacing w:line="360" w:lineRule="auto"/>
        <w:ind w:left="424" w:hanging="424" w:hangingChars="202"/>
        <w:rPr>
          <w:rFonts w:hint="eastAsia" w:ascii="宋体" w:hAnsi="宋体" w:eastAsia="宋体" w:cs="宋体"/>
          <w:color w:val="auto"/>
          <w:highlight w:val="none"/>
        </w:rPr>
      </w:pPr>
      <w:r>
        <w:rPr>
          <w:rFonts w:hint="eastAsia" w:ascii="宋体" w:hAnsi="宋体" w:eastAsia="宋体" w:cs="宋体"/>
          <w:color w:val="auto"/>
          <w:highlight w:val="none"/>
        </w:rPr>
        <w:t>21.2特殊情况下在原有投标有效期截止之前，业主可征求投标人同意延长投标有效期。这种要求与答复均为书面形式提交。投标人可以拒绝业主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22、投标文件的样式和签署</w:t>
      </w:r>
    </w:p>
    <w:p>
      <w:pPr>
        <w:spacing w:line="360" w:lineRule="auto"/>
        <w:ind w:left="357" w:leftChars="8" w:hanging="340" w:hangingChars="162"/>
        <w:rPr>
          <w:rFonts w:hint="eastAsia" w:ascii="宋体" w:hAnsi="宋体" w:eastAsia="宋体" w:cs="宋体"/>
          <w:color w:val="auto"/>
          <w:highlight w:val="none"/>
        </w:rPr>
      </w:pPr>
      <w:bookmarkStart w:id="60" w:name="_Toc409173220"/>
      <w:bookmarkStart w:id="61" w:name="_Toc409173106"/>
      <w:r>
        <w:rPr>
          <w:rFonts w:hint="eastAsia" w:ascii="宋体" w:hAnsi="宋体" w:eastAsia="宋体" w:cs="宋体"/>
          <w:color w:val="auto"/>
          <w:highlight w:val="none"/>
        </w:rPr>
        <w:t>22.1投标文件应按第五章要求</w:t>
      </w:r>
      <w:bookmarkEnd w:id="60"/>
      <w:bookmarkEnd w:id="61"/>
      <w:r>
        <w:rPr>
          <w:rFonts w:hint="eastAsia" w:ascii="宋体" w:hAnsi="宋体" w:eastAsia="宋体" w:cs="宋体"/>
          <w:color w:val="auto"/>
          <w:highlight w:val="none"/>
        </w:rPr>
        <w:t>编制。</w:t>
      </w:r>
    </w:p>
    <w:p>
      <w:pPr>
        <w:spacing w:line="360" w:lineRule="auto"/>
        <w:ind w:left="462" w:leftChars="8" w:hanging="445" w:hangingChars="212"/>
        <w:rPr>
          <w:rFonts w:hint="eastAsia" w:ascii="宋体" w:hAnsi="宋体" w:eastAsia="宋体" w:cs="宋体"/>
          <w:color w:val="auto"/>
          <w:highlight w:val="none"/>
        </w:rPr>
      </w:pPr>
      <w:r>
        <w:rPr>
          <w:rFonts w:hint="eastAsia" w:ascii="宋体" w:hAnsi="宋体" w:eastAsia="宋体" w:cs="宋体"/>
          <w:color w:val="auto"/>
          <w:highlight w:val="none"/>
        </w:rPr>
        <w:t>22.2投标人应准备投标文件1份(正本)，4份(副本)， 1份（投标文件电子文档）。每份投标文件清楚标明“正本”或“副本”，如果“正本”与“副本”或“电子文档”不符，以“正本”为准。</w:t>
      </w:r>
    </w:p>
    <w:p>
      <w:pPr>
        <w:spacing w:line="360" w:lineRule="auto"/>
        <w:ind w:left="437" w:leftChars="208"/>
        <w:rPr>
          <w:rFonts w:hint="eastAsia" w:ascii="宋体" w:hAnsi="宋体" w:eastAsia="宋体" w:cs="宋体"/>
          <w:b/>
          <w:bCs/>
          <w:color w:val="auto"/>
          <w:highlight w:val="none"/>
        </w:rPr>
      </w:pPr>
      <w:r>
        <w:rPr>
          <w:rFonts w:hint="eastAsia" w:ascii="宋体" w:hAnsi="宋体" w:eastAsia="宋体" w:cs="宋体"/>
          <w:b/>
          <w:bCs/>
          <w:color w:val="auto"/>
          <w:highlight w:val="none"/>
        </w:rPr>
        <w:t>电子文件的内容</w:t>
      </w:r>
      <w:r>
        <w:rPr>
          <w:rFonts w:hint="eastAsia" w:ascii="宋体" w:hAnsi="宋体" w:eastAsia="宋体" w:cs="宋体"/>
          <w:b/>
          <w:bCs/>
          <w:color w:val="auto"/>
          <w:szCs w:val="21"/>
          <w:highlight w:val="none"/>
        </w:rPr>
        <w:t>为投标文件可</w:t>
      </w:r>
      <w:r>
        <w:rPr>
          <w:rFonts w:hint="eastAsia" w:ascii="宋体" w:hAnsi="宋体" w:eastAsia="宋体" w:cs="宋体"/>
          <w:b/>
          <w:bCs/>
          <w:color w:val="auto"/>
          <w:szCs w:val="21"/>
          <w:highlight w:val="none"/>
          <w:lang w:val="zh-CN"/>
        </w:rPr>
        <w:t>编辑电子版，</w:t>
      </w:r>
      <w:r>
        <w:rPr>
          <w:rFonts w:hint="eastAsia" w:ascii="宋体" w:hAnsi="宋体" w:eastAsia="宋体" w:cs="宋体"/>
          <w:b/>
          <w:bCs/>
          <w:color w:val="auto"/>
          <w:szCs w:val="21"/>
          <w:highlight w:val="none"/>
        </w:rPr>
        <w:t>详细报价表（用excel制作，保存为.xls格式）及正本盖章签字PDF扫描件</w:t>
      </w:r>
      <w:r>
        <w:rPr>
          <w:rFonts w:hint="eastAsia" w:ascii="宋体" w:hAnsi="宋体" w:eastAsia="宋体" w:cs="宋体"/>
          <w:b/>
          <w:bCs/>
          <w:color w:val="auto"/>
          <w:highlight w:val="none"/>
        </w:rPr>
        <w:t>保存至usb闪存盘介质。</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22.3投标人文件“正本”是属于投标人自己制作的，均需用不褪色墨水书写或打印。</w:t>
      </w:r>
    </w:p>
    <w:p>
      <w:pPr>
        <w:spacing w:line="360" w:lineRule="auto"/>
        <w:ind w:left="462" w:hanging="462" w:hangingChars="220"/>
        <w:rPr>
          <w:rFonts w:hint="eastAsia" w:ascii="宋体" w:hAnsi="宋体" w:eastAsia="宋体" w:cs="宋体"/>
          <w:color w:val="auto"/>
          <w:highlight w:val="none"/>
        </w:rPr>
      </w:pPr>
      <w:r>
        <w:rPr>
          <w:rFonts w:hint="eastAsia" w:ascii="宋体" w:hAnsi="宋体" w:eastAsia="宋体" w:cs="宋体"/>
          <w:color w:val="auto"/>
          <w:highlight w:val="none"/>
        </w:rPr>
        <w:t>22.4投标文件的任何行间插字、涂改和增删，必须由投标文件的签字人用姓氏或首字母在旁边签字并加盖修改章或法人公章才有效。</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22.5投标文件（副本），所有资料都有可以用投标文件的（正本）复印而成。</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22.6投标文件的正本及所有副本的封面均须由投标人加盖公章。</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22.7投标人须为其投标文件的正本及所有副本</w:t>
      </w:r>
      <w:r>
        <w:rPr>
          <w:rFonts w:hint="eastAsia" w:ascii="宋体" w:hAnsi="宋体" w:eastAsia="宋体" w:cs="宋体"/>
          <w:b/>
          <w:bCs/>
          <w:color w:val="auto"/>
          <w:highlight w:val="none"/>
          <w:u w:val="single"/>
        </w:rPr>
        <w:t>制作目录并标明页码</w:t>
      </w:r>
      <w:r>
        <w:rPr>
          <w:rFonts w:hint="eastAsia" w:ascii="宋体" w:hAnsi="宋体" w:eastAsia="宋体" w:cs="宋体"/>
          <w:color w:val="auto"/>
          <w:highlight w:val="none"/>
        </w:rPr>
        <w:t>。</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22.8电报、电话、电传、传真的投标文件将被拒绝。</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22.9投标人应出具所投标设备的说明书及技术介绍。</w:t>
      </w:r>
    </w:p>
    <w:p>
      <w:pPr>
        <w:pStyle w:val="6"/>
        <w:numPr>
          <w:ilvl w:val="0"/>
          <w:numId w:val="0"/>
        </w:numPr>
        <w:jc w:val="center"/>
        <w:rPr>
          <w:rFonts w:hint="eastAsia" w:ascii="宋体" w:hAnsi="宋体" w:eastAsia="宋体" w:cs="宋体"/>
          <w:color w:val="auto"/>
          <w:highlight w:val="none"/>
        </w:rPr>
      </w:pPr>
      <w:bookmarkStart w:id="62" w:name="_Toc513818904"/>
      <w:bookmarkStart w:id="63" w:name="_Toc409173221"/>
      <w:bookmarkStart w:id="64" w:name="_Toc409173107"/>
      <w:r>
        <w:rPr>
          <w:rFonts w:hint="eastAsia" w:ascii="宋体" w:hAnsi="宋体" w:eastAsia="宋体" w:cs="宋体"/>
          <w:color w:val="auto"/>
          <w:highlight w:val="none"/>
        </w:rPr>
        <w:t>四、投标文件的递交</w:t>
      </w:r>
      <w:bookmarkEnd w:id="62"/>
      <w:bookmarkEnd w:id="63"/>
      <w:bookmarkEnd w:id="64"/>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23、投标文件的密封和标记</w:t>
      </w:r>
    </w:p>
    <w:p>
      <w:pPr>
        <w:tabs>
          <w:tab w:val="left" w:pos="360"/>
          <w:tab w:val="left" w:pos="540"/>
          <w:tab w:val="left" w:pos="900"/>
          <w:tab w:val="left" w:pos="168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23.1  </w:t>
      </w:r>
      <w:r>
        <w:rPr>
          <w:rFonts w:hint="eastAsia" w:ascii="宋体" w:hAnsi="宋体" w:eastAsia="宋体" w:cs="宋体"/>
          <w:b/>
          <w:color w:val="auto"/>
          <w:highlight w:val="none"/>
          <w:u w:val="single"/>
        </w:rPr>
        <w:t>投标文件的包封要求；投标人最好按以下规定分别独立包封投标文件，独自分开的封包数共为3包:</w:t>
      </w:r>
    </w:p>
    <w:p>
      <w:pPr>
        <w:tabs>
          <w:tab w:val="left" w:pos="360"/>
          <w:tab w:val="left" w:pos="540"/>
          <w:tab w:val="left" w:pos="900"/>
        </w:tabs>
        <w:spacing w:line="360" w:lineRule="auto"/>
        <w:ind w:left="420"/>
        <w:rPr>
          <w:rFonts w:hint="eastAsia" w:ascii="宋体" w:hAnsi="宋体" w:eastAsia="宋体" w:cs="宋体"/>
          <w:color w:val="auto"/>
          <w:highlight w:val="none"/>
        </w:rPr>
      </w:pPr>
      <w:r>
        <w:rPr>
          <w:rFonts w:hint="eastAsia" w:ascii="宋体" w:hAnsi="宋体" w:eastAsia="宋体" w:cs="宋体"/>
          <w:color w:val="auto"/>
          <w:highlight w:val="none"/>
        </w:rPr>
        <w:t>（1）投标文件正本包封为一包，并在外包装上清晰标明“正本”字样；</w:t>
      </w:r>
    </w:p>
    <w:p>
      <w:pPr>
        <w:tabs>
          <w:tab w:val="left" w:pos="360"/>
          <w:tab w:val="left" w:pos="540"/>
          <w:tab w:val="left" w:pos="900"/>
        </w:tabs>
        <w:spacing w:line="360" w:lineRule="auto"/>
        <w:ind w:left="420"/>
        <w:rPr>
          <w:rFonts w:hint="eastAsia" w:ascii="宋体" w:hAnsi="宋体" w:eastAsia="宋体" w:cs="宋体"/>
          <w:color w:val="auto"/>
          <w:highlight w:val="none"/>
        </w:rPr>
      </w:pPr>
      <w:r>
        <w:rPr>
          <w:rFonts w:hint="eastAsia" w:ascii="宋体" w:hAnsi="宋体" w:eastAsia="宋体" w:cs="宋体"/>
          <w:color w:val="auto"/>
          <w:highlight w:val="none"/>
        </w:rPr>
        <w:t>（2）投标文件所有的副本一起包封为一包，并在外包装上清晰标明“副本”字样；</w:t>
      </w:r>
    </w:p>
    <w:p>
      <w:pPr>
        <w:tabs>
          <w:tab w:val="left" w:pos="360"/>
          <w:tab w:val="left" w:pos="540"/>
          <w:tab w:val="left" w:pos="900"/>
        </w:tabs>
        <w:spacing w:line="360" w:lineRule="auto"/>
        <w:ind w:left="420"/>
        <w:rPr>
          <w:rFonts w:hint="eastAsia" w:ascii="宋体" w:hAnsi="宋体" w:eastAsia="宋体" w:cs="宋体"/>
          <w:color w:val="auto"/>
          <w:highlight w:val="none"/>
        </w:rPr>
      </w:pPr>
      <w:r>
        <w:rPr>
          <w:rFonts w:hint="eastAsia" w:ascii="宋体" w:hAnsi="宋体" w:eastAsia="宋体" w:cs="宋体"/>
          <w:color w:val="auto"/>
          <w:highlight w:val="none"/>
        </w:rPr>
        <w:t>（3）投标文件的电子文件封为一包，并在外包装上清晰标明“电子文件”字样；</w:t>
      </w:r>
    </w:p>
    <w:p>
      <w:pPr>
        <w:spacing w:line="360" w:lineRule="auto"/>
        <w:ind w:left="359" w:hanging="359" w:hangingChars="171"/>
        <w:rPr>
          <w:rFonts w:hint="eastAsia" w:ascii="宋体" w:hAnsi="宋体" w:eastAsia="宋体" w:cs="宋体"/>
          <w:color w:val="auto"/>
          <w:highlight w:val="none"/>
        </w:rPr>
      </w:pPr>
      <w:bookmarkStart w:id="65" w:name="_Toc409173108"/>
      <w:bookmarkStart w:id="66" w:name="_Toc409173222"/>
      <w:r>
        <w:rPr>
          <w:rFonts w:hint="eastAsia" w:ascii="宋体" w:hAnsi="宋体" w:eastAsia="宋体" w:cs="宋体"/>
          <w:color w:val="auto"/>
          <w:highlight w:val="none"/>
        </w:rPr>
        <w:t>23.2</w:t>
      </w:r>
      <w:bookmarkEnd w:id="65"/>
      <w:bookmarkEnd w:id="66"/>
      <w:r>
        <w:rPr>
          <w:rFonts w:hint="eastAsia" w:ascii="宋体" w:hAnsi="宋体" w:eastAsia="宋体" w:cs="宋体"/>
          <w:color w:val="auto"/>
          <w:highlight w:val="none"/>
        </w:rPr>
        <w:t>投标文件的密封要求：投标人应确保上述各包分别独立密闭封装，外包装材料不应留有可在包封后添加或抽取投标文件的空隙。</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23.3信封或外包装封套上应当注明项目名称、投标人名称。如果未按要求标记，招标人和招标代理机构对误投或提前启封概不负责。</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23.4招标代理机构对不可抗力事件造成的投标文件的损坏、丢失不承担任何责任。</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24、投标截止日期</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24.1所有投标文件应在投标截止时间前送达投标、开标地点，并交予招标代理机构工作人员，任何迟于这个时间的投标将被拒绝。</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25、迟交的投标文件</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25.1按照投标人须知规定，招标代理机构将拒绝并原封退回在规定的投标截止时间后收到的任何投标证明文件。</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26、投标文件的修改与撤回</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26.1投标人在递交投标文件后，在投标截止时间前投标人可以修改其投标，但必须以书面形式（密封同投标文件）送达招标人，并在信袋上注明“投标修改”和“开标前不得开封”字样。投标截止时间不得修改其投标。</w:t>
      </w:r>
    </w:p>
    <w:p>
      <w:pPr>
        <w:spacing w:line="360" w:lineRule="auto"/>
        <w:ind w:left="360" w:hanging="360"/>
        <w:rPr>
          <w:rFonts w:hint="eastAsia" w:ascii="宋体" w:hAnsi="宋体" w:eastAsia="宋体" w:cs="宋体"/>
          <w:b/>
          <w:bCs/>
          <w:color w:val="auto"/>
          <w:sz w:val="32"/>
          <w:highlight w:val="none"/>
        </w:rPr>
      </w:pPr>
      <w:r>
        <w:rPr>
          <w:rFonts w:hint="eastAsia" w:ascii="宋体" w:hAnsi="宋体" w:eastAsia="宋体" w:cs="宋体"/>
          <w:color w:val="auto"/>
          <w:highlight w:val="none"/>
        </w:rPr>
        <w:t>26.2 投标人可以在投标截止时间前撤回其投标。</w:t>
      </w:r>
    </w:p>
    <w:p>
      <w:pPr>
        <w:pStyle w:val="6"/>
        <w:numPr>
          <w:ilvl w:val="0"/>
          <w:numId w:val="0"/>
        </w:numPr>
        <w:ind w:left="422"/>
        <w:jc w:val="center"/>
        <w:rPr>
          <w:rFonts w:hint="eastAsia" w:ascii="宋体" w:hAnsi="宋体" w:eastAsia="宋体" w:cs="宋体"/>
          <w:b w:val="0"/>
          <w:bCs/>
          <w:color w:val="auto"/>
          <w:sz w:val="32"/>
          <w:highlight w:val="none"/>
        </w:rPr>
      </w:pPr>
      <w:bookmarkStart w:id="67" w:name="_Toc409173109"/>
      <w:bookmarkStart w:id="68" w:name="_Toc513818905"/>
      <w:bookmarkStart w:id="69" w:name="_Toc409173223"/>
      <w:r>
        <w:rPr>
          <w:rFonts w:hint="eastAsia" w:ascii="宋体" w:hAnsi="宋体" w:eastAsia="宋体" w:cs="宋体"/>
          <w:color w:val="auto"/>
          <w:szCs w:val="30"/>
          <w:highlight w:val="none"/>
        </w:rPr>
        <w:t>五、开标与评标</w:t>
      </w:r>
      <w:bookmarkEnd w:id="67"/>
      <w:bookmarkEnd w:id="68"/>
      <w:bookmarkEnd w:id="69"/>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27、开标</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27.1本次招标采用一次开标形式，开标时，由招标人和投标人代表共同检查投标文件的密封情况。经确认无误后，由招标代理机构工作人员当众拆封开启投标文件并宣读投标报价函正本与副本内容不一致时以投标文件正本内容为准。投标人的投标文件中的相关价格变更或者其他说明，都应在招标文件要求的投标报价表总表中明确，否则，评标时不予认可。</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27.2开标时间采用北京时间计时（以国家授时中心标准时间为准）。</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27.3开标地点：详见投标人须知前附表规定。</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27.4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pPr>
        <w:spacing w:line="360" w:lineRule="auto"/>
        <w:ind w:left="359" w:hanging="359" w:hangingChars="171"/>
        <w:jc w:val="left"/>
        <w:rPr>
          <w:rFonts w:hint="eastAsia" w:ascii="宋体" w:hAnsi="宋体" w:eastAsia="宋体" w:cs="宋体"/>
          <w:color w:val="auto"/>
          <w:highlight w:val="none"/>
        </w:rPr>
      </w:pPr>
      <w:r>
        <w:rPr>
          <w:rFonts w:hint="eastAsia" w:ascii="宋体" w:hAnsi="宋体" w:eastAsia="宋体" w:cs="宋体"/>
          <w:color w:val="auto"/>
          <w:highlight w:val="none"/>
        </w:rPr>
        <w:t>27.5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27.6迟到或撤回的投标文件将被原封退回给投标人。</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27.7招标代理机构将做开标记录，开标记录包括在开标时宣读的全部内容，并由投标人签字确认，存档备查。</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28、评标委员会</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28.1本次招标，招标人参照相关法律法规组成评标委员会。</w:t>
      </w:r>
    </w:p>
    <w:p>
      <w:pPr>
        <w:spacing w:line="360" w:lineRule="auto"/>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28.2 评标委员会</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28.3评标委员会只对确定为实质上响应招标文件要求的投标，即通过资格性与符合性检查的投标进行评价和比较，响应的依据是招标文件本身的内容，而不寻求其它证据。实质上响应的投标应该是与招标文件要求的全部主要条款、条件和规格相符，没有重大偏离的投标、关键条文的偏离、保留或反对。</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29、评标原则和评标方法</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29.1评标遵循公平、公正、科学、择优的原则。评标委员会将按照规定只对通过初步评审的招标文件进行详细评审。</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29.2评标方法：本次招标的评标方法采用综合评分法。</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29.3评标规则与步骤：详见第六章；</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30、投标文件的修正和澄清</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30.1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30.2投标人不得通过修正和撤销不合要求的偏离或保留从而使其没有实质上响应招标文件要求的投标成为实质上响应的投标。</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30.3所谓实质上响应投标应是与招标文件要求的全部条款、条件和规格相符，没有重大偏离或保留。所谓重大偏离和保留是指实质上影响合同的设计范围；或者实质上与招标文件不一致，而且限制了合同中业主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乙方必须按照技术响应表中对用户需求书的实际响应情况供货并提供服务，否则按提供虚假材料处理，已中标的可取消中标资格。投标人投标响应的实际情况应与投标文件中可提供的有关该投标设备的公开宣传产品彩页（经生产厂家认可）或投标文件中其他地方的所有性能描述及相关技术证明资料相一致，如出现某些部分不一致的描述，投标人必须作出书面澄清说明，投标人未能充分说明的，视为无效投标，已中标的取消中标资格。</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30.4评标委员会将允许修正投标文件中的不构成重大偏离的、微小的、非正规的、不一致的或不规则的地方，但这些修正不能影响任何投标人相应的名次排列。</w:t>
      </w:r>
    </w:p>
    <w:p>
      <w:pPr>
        <w:spacing w:line="360" w:lineRule="auto"/>
        <w:rPr>
          <w:rFonts w:hint="eastAsia" w:ascii="宋体" w:hAnsi="宋体" w:eastAsia="宋体" w:cs="宋体"/>
          <w:b/>
          <w:bCs/>
          <w:color w:val="auto"/>
          <w:highlight w:val="none"/>
        </w:rPr>
      </w:pPr>
      <w:r>
        <w:rPr>
          <w:rFonts w:hint="eastAsia" w:ascii="宋体" w:hAnsi="宋体" w:eastAsia="宋体" w:cs="宋体"/>
          <w:b/>
          <w:color w:val="auto"/>
          <w:highlight w:val="none"/>
        </w:rPr>
        <w:t>31、</w:t>
      </w:r>
      <w:r>
        <w:rPr>
          <w:rFonts w:hint="eastAsia" w:ascii="宋体" w:hAnsi="宋体" w:eastAsia="宋体" w:cs="宋体"/>
          <w:b/>
          <w:bCs/>
          <w:color w:val="auto"/>
          <w:highlight w:val="none"/>
        </w:rPr>
        <w:t>拒绝任何或所有投标的权力</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31.1评标委员会经评审，认为所有投标都不符合招标文件实质性要求的，可以否决所有投标。</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31.2当有效投标人少于3名时，可以拒绝所有投标并重新组织招标。</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31.3如果第一、或二、或三中标候选人不能按照招标文件要求及其投标文件的承诺签订合同或其投标文件与事实不符，业主有权依照法定程序将合同按顺序授予其他中标候选人或重新开启招标程序，对受影响的投标人不承担任何责任，也无义务向受影响的投标人解释采取这一行动的理由。</w:t>
      </w:r>
    </w:p>
    <w:p>
      <w:pPr>
        <w:pStyle w:val="6"/>
        <w:numPr>
          <w:ilvl w:val="0"/>
          <w:numId w:val="0"/>
        </w:numPr>
        <w:ind w:left="422"/>
        <w:jc w:val="center"/>
        <w:rPr>
          <w:rFonts w:hint="eastAsia" w:ascii="宋体" w:hAnsi="宋体" w:eastAsia="宋体" w:cs="宋体"/>
          <w:color w:val="auto"/>
          <w:sz w:val="32"/>
          <w:highlight w:val="none"/>
        </w:rPr>
      </w:pPr>
      <w:bookmarkStart w:id="70" w:name="_Toc513818906"/>
      <w:r>
        <w:rPr>
          <w:rFonts w:hint="eastAsia" w:ascii="宋体" w:hAnsi="宋体" w:eastAsia="宋体" w:cs="宋体"/>
          <w:color w:val="auto"/>
          <w:szCs w:val="30"/>
          <w:highlight w:val="none"/>
        </w:rPr>
        <w:t>六、授予合同</w:t>
      </w:r>
      <w:bookmarkEnd w:id="70"/>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32、中标人的确定</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32.1根据评标结果，招标人将按照招标文件的约定确定中标人。</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32.2评标委员会无义务将合同授予投标报价最低的投标人。</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33、中标结果公示</w:t>
      </w:r>
    </w:p>
    <w:p>
      <w:pPr>
        <w:spacing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33.1</w:t>
      </w:r>
      <w:r>
        <w:rPr>
          <w:rFonts w:hint="eastAsia" w:ascii="宋体" w:hAnsi="宋体" w:eastAsia="宋体" w:cs="宋体"/>
          <w:b/>
          <w:color w:val="auto"/>
          <w:szCs w:val="21"/>
          <w:highlight w:val="none"/>
        </w:rPr>
        <w:t>广东省机电设备招标有限公司</w:t>
      </w:r>
      <w:r>
        <w:rPr>
          <w:rFonts w:hint="eastAsia" w:ascii="宋体" w:hAnsi="宋体" w:eastAsia="宋体" w:cs="宋体"/>
          <w:b/>
          <w:color w:val="auto"/>
          <w:highlight w:val="none"/>
        </w:rPr>
        <w:t>将在规定的时间通过指定网址公示中标结果。</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33.2在投标有效期满之前，广东省机电设备招标有限公司将在指定网址公告中标结果，并将招标结果通知业主。</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34、合同授予</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34.1业主将合同授予被确定的中标人，中标人必须以中标人名义签订合同，若中标人为分公司或子公司的，应当在合同签订前提交由总公司出具的授权函。</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34.2业主在授予合同时根据实际的需要有权对“用户需求书”中列举的涉及内容予以适当的增减，涉及内容的增减，该等增减行为不得对整个“用户需求”产生实际背离。按实际内容变化修正相应的价格。</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35、中标通知书及中标结果通知书</w:t>
      </w:r>
    </w:p>
    <w:p>
      <w:pPr>
        <w:spacing w:line="360" w:lineRule="auto"/>
        <w:ind w:left="359" w:hanging="359" w:hangingChars="171"/>
        <w:rPr>
          <w:rFonts w:hint="eastAsia" w:ascii="宋体" w:hAnsi="宋体" w:eastAsia="宋体" w:cs="宋体"/>
          <w:color w:val="auto"/>
          <w:szCs w:val="22"/>
          <w:highlight w:val="none"/>
        </w:rPr>
      </w:pPr>
      <w:r>
        <w:rPr>
          <w:rFonts w:hint="eastAsia" w:ascii="宋体" w:hAnsi="宋体" w:eastAsia="宋体" w:cs="宋体"/>
          <w:color w:val="auto"/>
          <w:highlight w:val="none"/>
        </w:rPr>
        <w:t>3</w:t>
      </w:r>
      <w:r>
        <w:rPr>
          <w:rFonts w:hint="eastAsia" w:ascii="宋体" w:hAnsi="宋体" w:eastAsia="宋体" w:cs="宋体"/>
          <w:color w:val="auto"/>
          <w:szCs w:val="22"/>
          <w:highlight w:val="none"/>
        </w:rPr>
        <w:t>5.1招标代理机构将用书面的方式向中标人发出经确认的书面《中标通知书》，中标人收到《中标通知书》后及时书面向广东省机电设备招标有限公司确认。</w:t>
      </w:r>
    </w:p>
    <w:p>
      <w:pPr>
        <w:spacing w:line="360" w:lineRule="auto"/>
        <w:ind w:left="359" w:hanging="359" w:hanging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35.2 《中标通知书》将是合同的一个组成部分。</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szCs w:val="22"/>
          <w:highlight w:val="none"/>
        </w:rPr>
        <w:t>35.3广东省机电设备招标有限公司发出《中标通知书》时，向所有未中标人公告中标结果，对不中标的投标人不另行</w:t>
      </w:r>
      <w:r>
        <w:rPr>
          <w:rFonts w:hint="eastAsia" w:ascii="宋体" w:hAnsi="宋体" w:eastAsia="宋体" w:cs="宋体"/>
          <w:color w:val="auto"/>
          <w:highlight w:val="none"/>
        </w:rPr>
        <w:t>通知，亦不作任何解释。</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36、签订合同</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36.1中标人应自《中标通知书》发出之日起三十日内，应按照《中标通知书》指定的时间、地点，派遣其授权代表前往与甲方签署合同。</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36.2合同的组成基于但不限于以下部分：</w:t>
      </w:r>
    </w:p>
    <w:p>
      <w:pPr>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（1）《合同条款》；</w:t>
      </w:r>
    </w:p>
    <w:p>
      <w:pPr>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（2）招标文件及澄清、补充、修改文件；</w:t>
      </w:r>
    </w:p>
    <w:p>
      <w:pPr>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（3）中标人的投标文件及澄清、补充、修改文件；</w:t>
      </w:r>
    </w:p>
    <w:p>
      <w:pPr>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（4）相关资料；</w:t>
      </w:r>
    </w:p>
    <w:p>
      <w:pPr>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（5）《中标通知书》。</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36.3签定合同过程中的解释顺序：1、中标通知书；2、中标单位投标文件；3、招标文件；当上述三份文件中的表述有冲突之处，以上述文件顺序列前的文件表述为准。</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36.4不接受中标人授权其分公司或者分支机构签订合同。</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37、招标代理服务费</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37.1.中标人应按中标通知书要求与招标人签订合同。</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37.2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1" w:name="_Hlt263413520"/>
      <w:bookmarkEnd w:id="71"/>
      <w:r>
        <w:rPr>
          <w:rFonts w:hint="eastAsia" w:ascii="宋体" w:hAnsi="宋体" w:eastAsia="宋体" w:cs="宋体"/>
          <w:b/>
          <w:bCs/>
          <w:color w:val="auto"/>
          <w:highlight w:val="none"/>
        </w:rPr>
        <w:t>》（发改办价格【2003】857号）的标准，</w:t>
      </w:r>
      <w:r>
        <w:rPr>
          <w:rFonts w:hint="eastAsia" w:ascii="宋体" w:hAnsi="宋体" w:cs="宋体"/>
          <w:b/>
          <w:bCs/>
          <w:color w:val="auto"/>
          <w:highlight w:val="none"/>
        </w:rPr>
        <w:t>以</w:t>
      </w:r>
      <w:r>
        <w:rPr>
          <w:rFonts w:hint="eastAsia" w:ascii="宋体" w:hAnsi="宋体" w:cs="宋体"/>
          <w:b/>
          <w:bCs/>
          <w:color w:val="auto"/>
          <w:highlight w:val="none"/>
          <w:u w:val="single"/>
        </w:rPr>
        <w:t>中标金额</w:t>
      </w:r>
      <w:r>
        <w:rPr>
          <w:rFonts w:hint="eastAsia" w:ascii="宋体" w:hAnsi="宋体" w:cs="宋体"/>
          <w:b/>
          <w:bCs/>
          <w:color w:val="auto"/>
          <w:highlight w:val="none"/>
        </w:rPr>
        <w:t>作为招标代理服务费的计算基数进行计算招标代理服务费并</w:t>
      </w:r>
      <w:r>
        <w:rPr>
          <w:rFonts w:hint="eastAsia" w:ascii="宋体" w:hAnsi="宋体" w:cs="宋体"/>
          <w:b/>
          <w:bCs/>
          <w:color w:val="auto"/>
          <w:highlight w:val="none"/>
          <w:u w:val="single"/>
          <w:lang w:val="en-US" w:eastAsia="zh-CN"/>
        </w:rPr>
        <w:t>下浮50%</w:t>
      </w:r>
      <w:r>
        <w:rPr>
          <w:rFonts w:hint="eastAsia" w:ascii="宋体" w:hAnsi="宋体" w:cs="宋体"/>
          <w:b/>
          <w:bCs/>
          <w:color w:val="auto"/>
          <w:highlight w:val="none"/>
        </w:rPr>
        <w:t>向招标代理机构缴纳</w:t>
      </w:r>
      <w:r>
        <w:rPr>
          <w:rFonts w:hint="eastAsia" w:ascii="宋体" w:hAnsi="宋体" w:eastAsia="宋体" w:cs="宋体"/>
          <w:b/>
          <w:bCs/>
          <w:color w:val="auto"/>
          <w:highlight w:val="none"/>
        </w:rPr>
        <w:t>。</w:t>
      </w:r>
    </w:p>
    <w:tbl>
      <w:tblPr>
        <w:tblStyle w:val="5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93"/>
        <w:gridCol w:w="2300"/>
        <w:gridCol w:w="2438"/>
        <w:gridCol w:w="24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2693" w:type="dxa"/>
            <w:noWrap w:val="0"/>
            <w:vAlign w:val="top"/>
          </w:tcPr>
          <w:p>
            <w:pPr>
              <w:snapToGrid w:val="0"/>
              <w:ind w:firstLine="1155" w:firstLineChars="550"/>
              <w:rPr>
                <w:rFonts w:hint="eastAsia" w:ascii="宋体" w:hAnsi="宋体" w:eastAsia="宋体" w:cs="宋体"/>
                <w:color w:val="auto"/>
                <w:szCs w:val="21"/>
                <w:highlight w:val="none"/>
              </w:rPr>
            </w:pPr>
            <w:r>
              <w:rPr>
                <w:rFonts w:hint="eastAsia" w:ascii="宋体" w:hAnsi="宋体" w:eastAsia="宋体" w:cs="宋体"/>
                <w:color w:val="auto"/>
                <w:szCs w:val="21"/>
                <w:highlight w:val="none"/>
              </w:rPr>
              <mc:AlternateContent>
                <mc:Choice Requires="wps">
                  <w:drawing>
                    <wp:anchor distT="0" distB="0" distL="114300" distR="114300" simplePos="0" relativeHeight="251660288" behindDoc="0" locked="0" layoutInCell="1" allowOverlap="1">
                      <wp:simplePos x="0" y="0"/>
                      <wp:positionH relativeFrom="column">
                        <wp:posOffset>-32385</wp:posOffset>
                      </wp:positionH>
                      <wp:positionV relativeFrom="paragraph">
                        <wp:posOffset>29210</wp:posOffset>
                      </wp:positionV>
                      <wp:extent cx="1690370" cy="356235"/>
                      <wp:effectExtent l="1270" t="4445" r="15240" b="5080"/>
                      <wp:wrapNone/>
                      <wp:docPr id="2" name="直接连接符 2"/>
                      <wp:cNvGraphicFramePr/>
                      <a:graphic xmlns:a="http://schemas.openxmlformats.org/drawingml/2006/main">
                        <a:graphicData uri="http://schemas.microsoft.com/office/word/2010/wordprocessingShape">
                          <wps:wsp>
                            <wps:cNvCnPr/>
                            <wps:spPr>
                              <a:xfrm>
                                <a:off x="0" y="0"/>
                                <a:ext cx="1690370" cy="3562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直接连接符 2" o:spid="_x0000_s1026" o:spt="32" type="#_x0000_t32" style="position:absolute;left:0pt;margin-left:-2.55pt;margin-top:2.3pt;height:28.05pt;width:133.1pt;z-index:251660288;mso-width-relative:page;mso-height-relative:page;" filled="f" stroked="t" coordsize="21600,21600" o:gfxdata="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WC0XVAAAABwEAAA8AAAAAAAAAAQAgAAAAIgAAAGRycy9kb3ducmV2LnhtbFBL&#10;AQIUABQAAAAIAIdO4kD9NPVx+QEAAOsDAAAOAAAAAAAAAAEAIAAAACQBAABkcnMvZTJvRG9jLnht&#10;bFBLBQYAAAAABgAGAFkBAACPBQAAAAA=&#10;">
                      <v:fill on="f" focussize="0,0"/>
                      <v:stroke color="#000000" joinstyle="round"/>
                      <v:imagedata o:title=""/>
                      <o:lock v:ext="edit" aspectratio="f"/>
                    </v:shape>
                  </w:pict>
                </mc:Fallback>
              </mc:AlternateContent>
            </w:r>
            <w:r>
              <w:rPr>
                <w:rFonts w:hint="eastAsia" w:ascii="宋体" w:hAnsi="宋体" w:eastAsia="宋体" w:cs="宋体"/>
                <w:bCs/>
                <w:color w:val="auto"/>
                <w:szCs w:val="21"/>
                <w:highlight w:val="none"/>
              </w:rPr>
              <w:t>费率</w:t>
            </w:r>
          </w:p>
          <w:p>
            <w:pPr>
              <w:snapToGrid w:val="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中标金额</w:t>
            </w:r>
          </w:p>
        </w:tc>
        <w:tc>
          <w:tcPr>
            <w:tcW w:w="2300" w:type="dxa"/>
            <w:noWrap w:val="0"/>
            <w:vAlign w:val="center"/>
          </w:tcPr>
          <w:p>
            <w:pPr>
              <w:snapToGrid w:val="0"/>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货物招标</w:t>
            </w:r>
          </w:p>
        </w:tc>
        <w:tc>
          <w:tcPr>
            <w:tcW w:w="2438" w:type="dxa"/>
            <w:noWrap w:val="0"/>
            <w:vAlign w:val="center"/>
          </w:tcPr>
          <w:p>
            <w:pPr>
              <w:snapToGrid w:val="0"/>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服务招标</w:t>
            </w:r>
          </w:p>
        </w:tc>
        <w:tc>
          <w:tcPr>
            <w:tcW w:w="2438" w:type="dxa"/>
            <w:noWrap w:val="0"/>
            <w:vAlign w:val="center"/>
          </w:tcPr>
          <w:p>
            <w:pPr>
              <w:snapToGrid w:val="0"/>
              <w:jc w:val="center"/>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工程招标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693" w:type="dxa"/>
            <w:noWrap w:val="0"/>
            <w:vAlign w:val="center"/>
          </w:tcPr>
          <w:p>
            <w:pPr>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100万元以下</w:t>
            </w:r>
          </w:p>
        </w:tc>
        <w:tc>
          <w:tcPr>
            <w:tcW w:w="2300"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2438" w:type="dxa"/>
            <w:noWrap w:val="0"/>
            <w:vAlign w:val="center"/>
          </w:tcPr>
          <w:p>
            <w:pPr>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2438" w:type="dxa"/>
            <w:noWrap w:val="0"/>
            <w:vAlign w:val="top"/>
          </w:tcPr>
          <w:p>
            <w:pPr>
              <w:spacing w:line="240" w:lineRule="auto"/>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69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100～500万元</w:t>
            </w:r>
          </w:p>
        </w:tc>
        <w:tc>
          <w:tcPr>
            <w:tcW w:w="2300"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2438" w:type="dxa"/>
            <w:noWrap w:val="0"/>
            <w:vAlign w:val="center"/>
          </w:tcPr>
          <w:p>
            <w:pPr>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0.8%</w:t>
            </w:r>
          </w:p>
        </w:tc>
        <w:tc>
          <w:tcPr>
            <w:tcW w:w="2438" w:type="dxa"/>
            <w:noWrap w:val="0"/>
            <w:vAlign w:val="top"/>
          </w:tcPr>
          <w:p>
            <w:pPr>
              <w:spacing w:line="240" w:lineRule="auto"/>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69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500～1000万元</w:t>
            </w:r>
          </w:p>
        </w:tc>
        <w:tc>
          <w:tcPr>
            <w:tcW w:w="2300"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0.8%</w:t>
            </w:r>
          </w:p>
        </w:tc>
        <w:tc>
          <w:tcPr>
            <w:tcW w:w="2438" w:type="dxa"/>
            <w:noWrap w:val="0"/>
            <w:vAlign w:val="center"/>
          </w:tcPr>
          <w:p>
            <w:pPr>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0.45%</w:t>
            </w:r>
          </w:p>
        </w:tc>
        <w:tc>
          <w:tcPr>
            <w:tcW w:w="2438" w:type="dxa"/>
            <w:noWrap w:val="0"/>
            <w:vAlign w:val="top"/>
          </w:tcPr>
          <w:p>
            <w:pPr>
              <w:spacing w:line="240" w:lineRule="auto"/>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69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1000～5000万元</w:t>
            </w:r>
          </w:p>
        </w:tc>
        <w:tc>
          <w:tcPr>
            <w:tcW w:w="2300"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0.5%</w:t>
            </w:r>
          </w:p>
        </w:tc>
        <w:tc>
          <w:tcPr>
            <w:tcW w:w="2438" w:type="dxa"/>
            <w:noWrap w:val="0"/>
            <w:vAlign w:val="center"/>
          </w:tcPr>
          <w:p>
            <w:pPr>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0.25%</w:t>
            </w:r>
          </w:p>
        </w:tc>
        <w:tc>
          <w:tcPr>
            <w:tcW w:w="2438" w:type="dxa"/>
            <w:noWrap w:val="0"/>
            <w:vAlign w:val="top"/>
          </w:tcPr>
          <w:p>
            <w:pPr>
              <w:spacing w:line="240" w:lineRule="auto"/>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0.35%</w:t>
            </w:r>
          </w:p>
        </w:tc>
      </w:tr>
    </w:tbl>
    <w:p>
      <w:pPr>
        <w:spacing w:line="360" w:lineRule="auto"/>
        <w:ind w:left="439" w:hanging="439" w:hangingChars="208"/>
        <w:rPr>
          <w:rFonts w:hint="eastAsia" w:ascii="宋体" w:hAnsi="宋体" w:eastAsia="宋体" w:cs="宋体"/>
          <w:b/>
          <w:bCs/>
          <w:color w:val="auto"/>
          <w:highlight w:val="none"/>
        </w:rPr>
      </w:pPr>
      <w:r>
        <w:rPr>
          <w:rFonts w:hint="eastAsia" w:ascii="宋体" w:hAnsi="宋体" w:eastAsia="宋体" w:cs="宋体"/>
          <w:b/>
          <w:bCs/>
          <w:color w:val="auto"/>
          <w:highlight w:val="none"/>
        </w:rPr>
        <w:t>37.</w:t>
      </w:r>
      <w:r>
        <w:rPr>
          <w:rFonts w:hint="eastAsia" w:ascii="宋体" w:hAnsi="宋体" w:eastAsia="宋体" w:cs="宋体"/>
          <w:b/>
          <w:bCs/>
          <w:color w:val="auto"/>
          <w:highlight w:val="none"/>
          <w:lang w:val="en-US" w:eastAsia="zh-CN"/>
        </w:rPr>
        <w:t>3</w:t>
      </w:r>
      <w:r>
        <w:rPr>
          <w:rFonts w:hint="eastAsia" w:ascii="宋体" w:hAnsi="宋体" w:eastAsia="宋体" w:cs="宋体"/>
          <w:b/>
          <w:bCs/>
          <w:color w:val="auto"/>
          <w:highlight w:val="none"/>
        </w:rPr>
        <w:t>招标代理服务费由中标供应商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供应商自行承担责任。】。</w:t>
      </w:r>
    </w:p>
    <w:p>
      <w:pPr>
        <w:widowControl/>
        <w:spacing w:line="360" w:lineRule="auto"/>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38、监督与检查</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38.1</w:t>
      </w:r>
      <w:r>
        <w:rPr>
          <w:rFonts w:hint="eastAsia" w:ascii="宋体" w:hAnsi="宋体" w:eastAsia="宋体" w:cs="宋体"/>
          <w:color w:val="auto"/>
          <w:kern w:val="0"/>
          <w:szCs w:val="21"/>
          <w:highlight w:val="none"/>
        </w:rPr>
        <w:t>投标人有下列情形之一，则中标、成交无效，投标保证金不予退还，取消投标人一年至三年内参加</w:t>
      </w:r>
      <w:r>
        <w:rPr>
          <w:rFonts w:hint="eastAsia" w:ascii="宋体" w:hAnsi="宋体" w:eastAsia="宋体" w:cs="宋体"/>
          <w:color w:val="auto"/>
          <w:highlight w:val="none"/>
          <w:u w:val="single"/>
          <w:lang w:eastAsia="zh-CN"/>
        </w:rPr>
        <w:t>广东南方报业传媒集团物业管理有限公司</w:t>
      </w:r>
      <w:r>
        <w:rPr>
          <w:rFonts w:hint="eastAsia" w:ascii="宋体" w:hAnsi="宋体" w:eastAsia="宋体" w:cs="宋体"/>
          <w:color w:val="auto"/>
          <w:highlight w:val="none"/>
        </w:rPr>
        <w:t>招标项目的投标资格并予以公告；给招标人造成损失的，应追究其经济责任或法律责任：</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1.提供虚假投标材料的；</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2.采取不正当手段诋毁、排挤其他投标人的；</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3.与招标单位、其他投标人恶意串通的；</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4.向招标单位行贿或者提供其他不正当利益的；</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5.其它违法、违纪或违规的行为。</w:t>
      </w: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39、招标文件的解释权</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39.1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(1) 提出异议的应是投标人或者其他利害关系人。</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(2) 异议必须以书面形式提出，注明异议的项目名称、项目编号、异议供应商的单位名称、详细地址、邮政编码、联系人及联系电话等基本情况。</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(3) 异议文件必须由法定代表人签署或经法定代表人授权的代表签署，加盖单位公章，在规定的时限内将异议书原件送抵广东省机电设备招标有限公司。</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(4) 有异议的具体事项、请求及理由，不得含有虚假、恶意成份，并附相关证据材料，所依据的有关法律、法规、规章的名称及条款内容。</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(5) 异议材料中有外文资料的，应一并附上中文译本，并以中文译本为准。</w:t>
      </w:r>
    </w:p>
    <w:p>
      <w:pPr>
        <w:spacing w:line="360" w:lineRule="auto"/>
        <w:ind w:left="359" w:hanging="359" w:hangingChars="171"/>
        <w:rPr>
          <w:rFonts w:hint="eastAsia" w:ascii="宋体" w:hAnsi="宋体" w:eastAsia="宋体" w:cs="宋体"/>
          <w:color w:val="auto"/>
          <w:highlight w:val="none"/>
        </w:rPr>
      </w:pPr>
      <w:r>
        <w:rPr>
          <w:rFonts w:hint="eastAsia" w:ascii="宋体" w:hAnsi="宋体" w:eastAsia="宋体" w:cs="宋体"/>
          <w:color w:val="auto"/>
          <w:highlight w:val="none"/>
        </w:rPr>
        <w:t>(6) 异议事项属于有关法律、法规和规章规定处于保密阶段的事项，异议的当事人应当提供信息来源或有效证据。</w:t>
      </w:r>
    </w:p>
    <w:p>
      <w:pPr>
        <w:pStyle w:val="268"/>
        <w:widowControl/>
        <w:tabs>
          <w:tab w:val="left" w:pos="0"/>
        </w:tabs>
        <w:spacing w:line="360" w:lineRule="auto"/>
        <w:ind w:left="360"/>
        <w:jc w:val="left"/>
        <w:rPr>
          <w:rFonts w:hint="eastAsia" w:ascii="宋体" w:hAnsi="宋体" w:eastAsia="宋体" w:cs="宋体"/>
          <w:color w:val="auto"/>
          <w:highlight w:val="none"/>
        </w:rPr>
      </w:pP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numPr>
          <w:ilvl w:val="0"/>
          <w:numId w:val="6"/>
        </w:numPr>
        <w:jc w:val="center"/>
        <w:outlineLvl w:val="0"/>
        <w:rPr>
          <w:rFonts w:hint="eastAsia" w:ascii="宋体" w:hAnsi="宋体" w:eastAsia="宋体" w:cs="宋体"/>
          <w:b/>
          <w:color w:val="auto"/>
          <w:sz w:val="44"/>
          <w:szCs w:val="44"/>
          <w:highlight w:val="none"/>
        </w:rPr>
      </w:pPr>
      <w:bookmarkStart w:id="72" w:name="_Toc477186261"/>
      <w:bookmarkStart w:id="73" w:name="_Toc5009"/>
      <w:r>
        <w:rPr>
          <w:rFonts w:hint="eastAsia" w:ascii="宋体" w:hAnsi="宋体" w:eastAsia="宋体" w:cs="宋体"/>
          <w:b/>
          <w:color w:val="auto"/>
          <w:sz w:val="44"/>
          <w:szCs w:val="44"/>
          <w:highlight w:val="none"/>
        </w:rPr>
        <w:t xml:space="preserve"> </w:t>
      </w:r>
      <w:bookmarkEnd w:id="72"/>
      <w:r>
        <w:rPr>
          <w:rFonts w:hint="eastAsia" w:ascii="宋体" w:hAnsi="宋体" w:eastAsia="宋体" w:cs="宋体"/>
          <w:b/>
          <w:color w:val="auto"/>
          <w:sz w:val="44"/>
          <w:szCs w:val="44"/>
          <w:highlight w:val="none"/>
        </w:rPr>
        <w:t>用户需求书</w:t>
      </w:r>
      <w:bookmarkEnd w:id="73"/>
    </w:p>
    <w:p>
      <w:pPr>
        <w:pStyle w:val="16"/>
        <w:ind w:left="0" w:leftChars="0"/>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16"/>
        <w:rPr>
          <w:rFonts w:hint="eastAsia" w:ascii="宋体" w:hAnsi="宋体" w:eastAsia="宋体" w:cs="宋体"/>
          <w:color w:val="auto"/>
          <w:highlight w:val="none"/>
        </w:rPr>
      </w:pPr>
    </w:p>
    <w:p>
      <w:pPr>
        <w:spacing w:line="360" w:lineRule="auto"/>
        <w:rPr>
          <w:rFonts w:hint="eastAsia" w:ascii="宋体" w:hAnsi="宋体" w:eastAsia="宋体" w:cs="宋体"/>
          <w:color w:val="auto"/>
          <w:szCs w:val="21"/>
          <w:highlight w:val="none"/>
        </w:rPr>
      </w:pPr>
      <w:bookmarkStart w:id="74" w:name="_Toc475448858"/>
      <w:bookmarkStart w:id="75" w:name="_Toc474757211"/>
      <w:r>
        <w:rPr>
          <w:rFonts w:hint="eastAsia" w:ascii="宋体" w:hAnsi="宋体" w:eastAsia="宋体" w:cs="宋体"/>
          <w:color w:val="auto"/>
          <w:szCs w:val="21"/>
          <w:highlight w:val="none"/>
        </w:rPr>
        <w:t>1.打“★”号条款为实质性条款，若有任何一条负偏离或不满足则导致投标（响应）无效。</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2.打“▲”号条款为重要技术参数（如有），若有部分“▲”条款未响应或不满足，将根据评审要求影响其得分，但不作为无效投标（响应）条款。</w:t>
      </w:r>
    </w:p>
    <w:p>
      <w:pPr>
        <w:shd w:val="clear" w:color="auto" w:fill="FFFFFF"/>
        <w:tabs>
          <w:tab w:val="left" w:pos="2908"/>
        </w:tabs>
        <w:spacing w:line="360" w:lineRule="auto"/>
        <w:ind w:right="0" w:firstLine="0" w:firstLineChars="0"/>
        <w:jc w:val="left"/>
        <w:rPr>
          <w:rFonts w:hint="eastAsia" w:ascii="宋体" w:hAnsi="宋体" w:eastAsia="宋体" w:cs="宋体"/>
          <w:b/>
          <w:bCs/>
          <w:color w:val="auto"/>
          <w:sz w:val="21"/>
          <w:szCs w:val="21"/>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工程名称、地点</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w:t>
      </w:r>
      <w:r>
        <w:rPr>
          <w:rFonts w:hint="eastAsia" w:ascii="宋体" w:hAnsi="宋体" w:eastAsia="宋体" w:cs="宋体"/>
          <w:color w:val="auto"/>
          <w:sz w:val="21"/>
          <w:szCs w:val="21"/>
          <w:highlight w:val="none"/>
          <w:lang w:val="en-US" w:eastAsia="zh-CN"/>
        </w:rPr>
        <w:t>目名称：南方报业传媒集团402报告厅LED显示屏建设项目。</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2.建设地点：广州大道中289号大院。</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3.招标单位：广东南方报业传媒集团物业管理有限公司</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4.本项目招标主体为广东南方报业传媒集团物业管理有限公司，合同签订主体为广东南方报业传媒集团有限公司，中标人中标后须与合同签订主体（广东南方报业传媒集团有限公司）签订本项目合同。</w:t>
      </w:r>
    </w:p>
    <w:p>
      <w:pPr>
        <w:shd w:val="clear" w:color="auto" w:fill="FFFFFF"/>
        <w:tabs>
          <w:tab w:val="left" w:pos="2908"/>
        </w:tabs>
        <w:spacing w:line="360" w:lineRule="auto"/>
        <w:ind w:right="0" w:firstLine="0" w:firstLineChars="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二、</w:t>
      </w:r>
      <w:r>
        <w:rPr>
          <w:rFonts w:hint="eastAsia" w:ascii="宋体" w:hAnsi="宋体" w:cs="宋体"/>
          <w:b/>
          <w:bCs/>
          <w:color w:val="auto"/>
          <w:sz w:val="21"/>
          <w:szCs w:val="21"/>
          <w:highlight w:val="none"/>
          <w:lang w:val="en-US" w:eastAsia="zh-CN"/>
        </w:rPr>
        <w:t>项目</w:t>
      </w:r>
      <w:r>
        <w:rPr>
          <w:rFonts w:hint="eastAsia" w:ascii="宋体" w:hAnsi="宋体" w:eastAsia="宋体" w:cs="宋体"/>
          <w:b/>
          <w:bCs/>
          <w:color w:val="auto"/>
          <w:sz w:val="21"/>
          <w:szCs w:val="21"/>
          <w:highlight w:val="none"/>
          <w:lang w:val="en-US" w:eastAsia="zh-CN"/>
        </w:rPr>
        <w:t>概况</w:t>
      </w:r>
    </w:p>
    <w:p>
      <w:pPr>
        <w:widowControl/>
        <w:numPr>
          <w:ilvl w:val="0"/>
          <w:numId w:val="0"/>
        </w:num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kern w:val="2"/>
          <w:sz w:val="21"/>
          <w:szCs w:val="21"/>
          <w:highlight w:val="none"/>
          <w:lang w:val="en-US" w:eastAsia="zh-CN"/>
        </w:rPr>
        <w:t>拆除402报告厅舞台背景墙及墙面装修、拆除舞台木地板。设计及建设一套LED大屏（包含LED屏，LED屏控制系统，舞台两侧的</w:t>
      </w:r>
      <w:r>
        <w:rPr>
          <w:rFonts w:hint="eastAsia" w:ascii="宋体" w:hAnsi="宋体" w:cs="宋体"/>
          <w:color w:val="auto"/>
          <w:kern w:val="0"/>
          <w:sz w:val="21"/>
          <w:szCs w:val="21"/>
          <w:highlight w:val="none"/>
          <w:lang w:val="en-US" w:eastAsia="zh-CN"/>
        </w:rPr>
        <w:t>辅</w:t>
      </w:r>
      <w:r>
        <w:rPr>
          <w:rFonts w:hint="eastAsia" w:ascii="宋体" w:hAnsi="宋体" w:eastAsia="宋体" w:cs="宋体"/>
          <w:color w:val="auto"/>
          <w:kern w:val="2"/>
          <w:sz w:val="21"/>
          <w:szCs w:val="21"/>
          <w:highlight w:val="none"/>
          <w:lang w:val="en-US" w:eastAsia="zh-CN"/>
        </w:rPr>
        <w:t>屏）；购置一套32路数字调音台；</w:t>
      </w:r>
      <w:r>
        <w:rPr>
          <w:rFonts w:hint="eastAsia" w:ascii="宋体" w:hAnsi="宋体" w:cs="宋体"/>
          <w:color w:val="auto"/>
          <w:szCs w:val="21"/>
          <w:highlight w:val="none"/>
        </w:rPr>
        <w:t>建设1套3位二级操作台</w:t>
      </w:r>
      <w:r>
        <w:rPr>
          <w:rFonts w:hint="eastAsia" w:ascii="宋体" w:hAnsi="宋体" w:cs="宋体"/>
          <w:color w:val="auto"/>
          <w:szCs w:val="21"/>
          <w:highlight w:val="none"/>
          <w:lang w:eastAsia="zh-CN"/>
        </w:rPr>
        <w:t>；</w:t>
      </w:r>
      <w:r>
        <w:rPr>
          <w:rFonts w:hint="eastAsia" w:ascii="宋体" w:hAnsi="宋体" w:eastAsia="宋体" w:cs="宋体"/>
          <w:color w:val="auto"/>
          <w:kern w:val="2"/>
          <w:sz w:val="21"/>
          <w:szCs w:val="21"/>
          <w:highlight w:val="none"/>
          <w:lang w:val="en-US" w:eastAsia="zh-CN"/>
        </w:rPr>
        <w:t>设计及建设一套各线类的集成系统（可接包括光纤、网络、音频、视频、电源等接口）；设计及建设402报告厅舞台地面；设计及建设LED大屏独立电源供电系统（供电线需使用ZR-YJV22-5 x 16平方线径电缆，电箱需要具有备用开关并支持接入第三方公司搭建的LED大屏）；设计及建设LED大屏隔热墙、防晒膜；</w:t>
      </w:r>
      <w:r>
        <w:rPr>
          <w:rFonts w:hint="eastAsia" w:ascii="宋体" w:hAnsi="宋体" w:cs="宋体"/>
          <w:color w:val="auto"/>
          <w:kern w:val="2"/>
          <w:sz w:val="21"/>
          <w:szCs w:val="21"/>
          <w:highlight w:val="none"/>
          <w:lang w:val="en-US" w:eastAsia="zh-CN"/>
        </w:rPr>
        <w:t>配置</w:t>
      </w:r>
      <w:r>
        <w:rPr>
          <w:rFonts w:hint="eastAsia" w:ascii="宋体" w:hAnsi="宋体" w:eastAsia="宋体" w:cs="宋体"/>
          <w:color w:val="auto"/>
          <w:kern w:val="2"/>
          <w:sz w:val="21"/>
          <w:szCs w:val="21"/>
          <w:highlight w:val="none"/>
          <w:lang w:val="en-US" w:eastAsia="zh-CN"/>
        </w:rPr>
        <w:t>一套移动音响系统（左右全频音箱2个，低频音箱2个）。以上建设内容需提供效果图及施工图，并提供相应设备物料完成项目施工。</w:t>
      </w:r>
    </w:p>
    <w:p>
      <w:pPr>
        <w:shd w:val="clear" w:color="auto" w:fill="FFFFFF"/>
        <w:tabs>
          <w:tab w:val="left" w:pos="2908"/>
        </w:tabs>
        <w:spacing w:line="360" w:lineRule="auto"/>
        <w:ind w:right="0" w:firstLine="0" w:firstLineChars="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三、项目总工期</w:t>
      </w:r>
    </w:p>
    <w:p>
      <w:pPr>
        <w:numPr>
          <w:ilvl w:val="0"/>
          <w:numId w:val="0"/>
        </w:numPr>
        <w:shd w:val="clear" w:color="auto" w:fill="FFFFFF"/>
        <w:tabs>
          <w:tab w:val="left" w:pos="2908"/>
        </w:tabs>
        <w:spacing w:line="360" w:lineRule="auto"/>
        <w:ind w:firstLine="420" w:firstLineChars="200"/>
        <w:jc w:val="left"/>
        <w:rPr>
          <w:rFonts w:hint="default"/>
          <w:color w:val="auto"/>
          <w:highlight w:val="none"/>
          <w:lang w:val="en-US" w:eastAsia="zh-CN"/>
        </w:rPr>
      </w:pPr>
      <w:r>
        <w:rPr>
          <w:rFonts w:hint="eastAsia" w:ascii="宋体" w:hAnsi="宋体" w:eastAsia="宋体" w:cs="宋体"/>
          <w:color w:val="auto"/>
          <w:sz w:val="21"/>
          <w:szCs w:val="21"/>
          <w:highlight w:val="none"/>
          <w:lang w:val="en-US" w:eastAsia="zh-CN"/>
        </w:rPr>
        <w:t>项目总工期</w:t>
      </w:r>
      <w:r>
        <w:rPr>
          <w:rFonts w:hint="eastAsia" w:ascii="宋体" w:hAnsi="宋体" w:eastAsia="宋体" w:cs="宋体"/>
          <w:color w:val="auto"/>
          <w:sz w:val="21"/>
          <w:szCs w:val="21"/>
          <w:highlight w:val="none"/>
          <w:lang w:val="zh-CN" w:eastAsia="zh-CN"/>
        </w:rPr>
        <w:t>不能够超过</w:t>
      </w:r>
      <w:r>
        <w:rPr>
          <w:rFonts w:hint="eastAsia" w:ascii="宋体" w:hAnsi="宋体" w:cs="宋体"/>
          <w:color w:val="auto"/>
          <w:sz w:val="21"/>
          <w:szCs w:val="21"/>
          <w:highlight w:val="none"/>
          <w:lang w:val="en-US" w:eastAsia="zh-CN"/>
        </w:rPr>
        <w:t>50</w:t>
      </w:r>
      <w:r>
        <w:rPr>
          <w:rFonts w:hint="eastAsia" w:ascii="宋体" w:hAnsi="宋体" w:eastAsia="宋体" w:cs="宋体"/>
          <w:color w:val="auto"/>
          <w:sz w:val="21"/>
          <w:szCs w:val="21"/>
          <w:highlight w:val="none"/>
          <w:lang w:val="en-US" w:eastAsia="zh-CN"/>
        </w:rPr>
        <w:t>个日历</w:t>
      </w:r>
      <w:r>
        <w:rPr>
          <w:rFonts w:hint="eastAsia" w:ascii="宋体" w:hAnsi="宋体" w:eastAsia="宋体" w:cs="宋体"/>
          <w:color w:val="auto"/>
          <w:sz w:val="21"/>
          <w:szCs w:val="21"/>
          <w:highlight w:val="none"/>
          <w:lang w:val="zh-CN" w:eastAsia="zh-CN"/>
        </w:rPr>
        <w:t>天，</w:t>
      </w:r>
      <w:r>
        <w:rPr>
          <w:rFonts w:hint="eastAsia" w:ascii="宋体" w:hAnsi="宋体" w:cs="宋体"/>
          <w:color w:val="auto"/>
          <w:sz w:val="21"/>
          <w:szCs w:val="21"/>
          <w:highlight w:val="none"/>
          <w:lang w:val="en-US" w:eastAsia="zh-CN"/>
        </w:rPr>
        <w:t>接到</w:t>
      </w:r>
      <w:r>
        <w:rPr>
          <w:rFonts w:hint="eastAsia" w:ascii="宋体" w:hAnsi="宋体" w:eastAsia="宋体" w:cs="宋体"/>
          <w:color w:val="auto"/>
          <w:sz w:val="21"/>
          <w:szCs w:val="21"/>
          <w:highlight w:val="none"/>
          <w:lang w:val="en-US" w:eastAsia="zh-CN"/>
        </w:rPr>
        <w:t>招标人</w:t>
      </w:r>
      <w:r>
        <w:rPr>
          <w:rFonts w:hint="eastAsia" w:ascii="宋体" w:hAnsi="宋体" w:cs="宋体"/>
          <w:color w:val="auto"/>
          <w:sz w:val="21"/>
          <w:szCs w:val="21"/>
          <w:highlight w:val="none"/>
          <w:lang w:val="en-US" w:eastAsia="zh-CN"/>
        </w:rPr>
        <w:t>的通知</w:t>
      </w:r>
      <w:r>
        <w:rPr>
          <w:rFonts w:hint="eastAsia" w:ascii="宋体" w:hAnsi="宋体" w:eastAsia="宋体" w:cs="宋体"/>
          <w:color w:val="auto"/>
          <w:sz w:val="21"/>
          <w:szCs w:val="21"/>
          <w:highlight w:val="none"/>
          <w:lang w:val="en-US" w:eastAsia="zh-CN"/>
        </w:rPr>
        <w:t>起计</w:t>
      </w:r>
      <w:r>
        <w:rPr>
          <w:rFonts w:hint="eastAsia" w:ascii="宋体" w:hAnsi="宋体" w:eastAsia="宋体" w:cs="宋体"/>
          <w:color w:val="auto"/>
          <w:sz w:val="21"/>
          <w:szCs w:val="21"/>
          <w:highlight w:val="none"/>
          <w:lang w:val="zh-CN" w:eastAsia="zh-CN"/>
        </w:rPr>
        <w:t>。</w:t>
      </w:r>
    </w:p>
    <w:p>
      <w:pPr>
        <w:shd w:val="clear" w:color="auto" w:fill="FFFFFF"/>
        <w:tabs>
          <w:tab w:val="left" w:pos="2908"/>
        </w:tabs>
        <w:spacing w:line="360" w:lineRule="auto"/>
        <w:ind w:right="0" w:firstLine="0" w:firstLineChars="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四、技术</w:t>
      </w:r>
      <w:r>
        <w:rPr>
          <w:rFonts w:hint="eastAsia" w:ascii="宋体" w:hAnsi="宋体" w:eastAsia="宋体" w:cs="宋体"/>
          <w:b/>
          <w:bCs/>
          <w:color w:val="auto"/>
          <w:sz w:val="21"/>
          <w:szCs w:val="21"/>
          <w:highlight w:val="none"/>
        </w:rPr>
        <w:t>要求</w:t>
      </w:r>
    </w:p>
    <w:p>
      <w:pPr>
        <w:numPr>
          <w:ilvl w:val="0"/>
          <w:numId w:val="0"/>
        </w:numPr>
        <w:shd w:val="clear" w:color="auto" w:fill="FFFFFF"/>
        <w:tabs>
          <w:tab w:val="left" w:pos="2908"/>
        </w:tabs>
        <w:spacing w:line="360" w:lineRule="auto"/>
        <w:ind w:right="0"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南方报业传媒集团402报告厅LED显示屏建设项目采用</w:t>
      </w:r>
      <w:r>
        <w:rPr>
          <w:rFonts w:hint="eastAsia" w:ascii="宋体" w:hAnsi="宋体" w:eastAsia="宋体" w:cs="宋体"/>
          <w:color w:val="auto"/>
          <w:szCs w:val="21"/>
          <w:highlight w:val="none"/>
          <w:lang w:eastAsia="zh-CN"/>
        </w:rPr>
        <w:t>设备采购和设备配套工程</w:t>
      </w:r>
      <w:r>
        <w:rPr>
          <w:rFonts w:hint="eastAsia" w:ascii="宋体" w:hAnsi="宋体" w:eastAsia="宋体" w:cs="宋体"/>
          <w:color w:val="auto"/>
          <w:szCs w:val="21"/>
          <w:highlight w:val="none"/>
          <w:lang w:val="en-US" w:eastAsia="zh-CN"/>
        </w:rPr>
        <w:t>建设的总承包方式。</w:t>
      </w:r>
    </w:p>
    <w:p>
      <w:pPr>
        <w:numPr>
          <w:ilvl w:val="0"/>
          <w:numId w:val="0"/>
        </w:numPr>
        <w:shd w:val="clear" w:color="auto" w:fill="FFFFFF"/>
        <w:tabs>
          <w:tab w:val="left" w:pos="2908"/>
        </w:tabs>
        <w:spacing w:line="360" w:lineRule="auto"/>
        <w:ind w:right="0"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（一）升级改造原则</w:t>
      </w:r>
    </w:p>
    <w:p>
      <w:pPr>
        <w:numPr>
          <w:ilvl w:val="0"/>
          <w:numId w:val="0"/>
        </w:numPr>
        <w:shd w:val="clear" w:color="auto" w:fill="FFFFFF"/>
        <w:tabs>
          <w:tab w:val="left" w:pos="2908"/>
        </w:tabs>
        <w:spacing w:line="360" w:lineRule="auto"/>
        <w:ind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1.系统稳定性：所有安装的产品均为成熟稳定的产品，在配置成功情况下能够长时间稳定可靠工作。</w:t>
      </w:r>
    </w:p>
    <w:p>
      <w:pPr>
        <w:numPr>
          <w:ilvl w:val="0"/>
          <w:numId w:val="0"/>
        </w:numPr>
        <w:shd w:val="clear" w:color="auto" w:fill="FFFFFF"/>
        <w:tabs>
          <w:tab w:val="left" w:pos="2908"/>
        </w:tabs>
        <w:spacing w:line="360" w:lineRule="auto"/>
        <w:ind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2.系统开放性：选用的运行软件系统支持各系统互连机制，系统可提供二次开发接口，可与其它系统、产品进行集成。</w:t>
      </w:r>
    </w:p>
    <w:p>
      <w:pPr>
        <w:numPr>
          <w:ilvl w:val="0"/>
          <w:numId w:val="0"/>
        </w:numPr>
        <w:shd w:val="clear" w:color="auto" w:fill="FFFFFF"/>
        <w:tabs>
          <w:tab w:val="left" w:pos="2908"/>
        </w:tabs>
        <w:spacing w:line="360" w:lineRule="auto"/>
        <w:ind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3.系统安全性：软件系统的程序有能力阻止未授权的使用、访问、篡改，或者毁坏的安全防卫级别。</w:t>
      </w:r>
    </w:p>
    <w:p>
      <w:pPr>
        <w:numPr>
          <w:ilvl w:val="0"/>
          <w:numId w:val="0"/>
        </w:numPr>
        <w:shd w:val="clear" w:color="auto" w:fill="FFFFFF"/>
        <w:tabs>
          <w:tab w:val="left" w:pos="2908"/>
        </w:tabs>
        <w:spacing w:line="360" w:lineRule="auto"/>
        <w:ind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Cs w:val="21"/>
          <w:highlight w:val="none"/>
        </w:rPr>
        <w:t>4.系统易操作性及实用性：采用全中文友好界面，方便准确地提供丰富的信息，帮助和提示操作人员进行操作，易学易用；操作简单、快捷、环节少，有非常强的容错操作能力，使得在各种可能发生的误操作下，不引起系统的混乱；支持热插拔，具有良好维护性。</w:t>
      </w:r>
    </w:p>
    <w:p>
      <w:pPr>
        <w:numPr>
          <w:ilvl w:val="0"/>
          <w:numId w:val="0"/>
        </w:numPr>
        <w:shd w:val="clear" w:color="auto" w:fill="FFFFFF"/>
        <w:tabs>
          <w:tab w:val="left" w:pos="2908"/>
        </w:tabs>
        <w:spacing w:line="360" w:lineRule="auto"/>
        <w:ind w:right="0" w:rightChars="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rPr>
        <w:t>二</w:t>
      </w:r>
      <w:r>
        <w:rPr>
          <w:rFonts w:hint="eastAsia" w:ascii="宋体" w:hAnsi="宋体" w:eastAsia="宋体" w:cs="宋体"/>
          <w:b w:val="0"/>
          <w:bCs w:val="0"/>
          <w:color w:val="auto"/>
          <w:kern w:val="2"/>
          <w:sz w:val="21"/>
          <w:szCs w:val="21"/>
          <w:highlight w:val="none"/>
          <w:lang w:eastAsia="zh-CN"/>
        </w:rPr>
        <w:t>）</w:t>
      </w:r>
      <w:r>
        <w:rPr>
          <w:rFonts w:hint="eastAsia" w:ascii="宋体" w:hAnsi="宋体" w:eastAsia="宋体" w:cs="宋体"/>
          <w:b w:val="0"/>
          <w:bCs w:val="0"/>
          <w:color w:val="auto"/>
          <w:kern w:val="2"/>
          <w:sz w:val="21"/>
          <w:szCs w:val="21"/>
          <w:highlight w:val="none"/>
        </w:rPr>
        <w:t>项目要求</w:t>
      </w:r>
    </w:p>
    <w:p>
      <w:pPr>
        <w:widowControl/>
        <w:shd w:val="clear" w:color="auto" w:fill="FFFFFF"/>
        <w:tabs>
          <w:tab w:val="left" w:pos="2908"/>
        </w:tabs>
        <w:spacing w:line="360" w:lineRule="auto"/>
        <w:ind w:firstLine="373" w:firstLineChars="177"/>
        <w:jc w:val="left"/>
        <w:rPr>
          <w:rFonts w:ascii="宋体" w:hAnsi="宋体" w:cs="宋体"/>
          <w:b/>
          <w:bCs/>
          <w:color w:val="auto"/>
          <w:szCs w:val="21"/>
          <w:highlight w:val="none"/>
        </w:rPr>
      </w:pPr>
      <w:r>
        <w:rPr>
          <w:rFonts w:hint="eastAsia" w:ascii="宋体" w:hAnsi="宋体" w:cs="宋体"/>
          <w:b/>
          <w:bCs/>
          <w:color w:val="auto"/>
          <w:szCs w:val="21"/>
          <w:highlight w:val="none"/>
        </w:rPr>
        <w:t>1.现有设备设施拆除</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1.1报告厅舞台背景墙拆除（包含背景墙电动幕布，背景墙上的各种网络，音视频及电源接口）；</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1.2报告厅舞台木地板拆除；</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1.3报告厅部分座椅拆除；</w:t>
      </w:r>
    </w:p>
    <w:p>
      <w:pPr>
        <w:widowControl/>
        <w:shd w:val="clear" w:color="auto" w:fill="FFFFFF"/>
        <w:tabs>
          <w:tab w:val="left" w:pos="2908"/>
        </w:tabs>
        <w:spacing w:line="360" w:lineRule="auto"/>
        <w:ind w:firstLine="373" w:firstLineChars="177"/>
        <w:jc w:val="left"/>
        <w:rPr>
          <w:rFonts w:ascii="宋体" w:hAnsi="宋体" w:cs="宋体"/>
          <w:b/>
          <w:bCs/>
          <w:color w:val="auto"/>
          <w:szCs w:val="21"/>
          <w:highlight w:val="none"/>
        </w:rPr>
      </w:pPr>
      <w:r>
        <w:rPr>
          <w:rFonts w:hint="eastAsia" w:ascii="宋体" w:hAnsi="宋体" w:cs="宋体"/>
          <w:b/>
          <w:bCs/>
          <w:color w:val="auto"/>
          <w:szCs w:val="21"/>
          <w:highlight w:val="none"/>
        </w:rPr>
        <w:t>2.LED大屏建设</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2.1建设高清数字LED大屏（含LED接收系统及转接卡、LED 12V电源等），满足如下系统功能要求：</w:t>
      </w:r>
    </w:p>
    <w:p>
      <w:pPr>
        <w:widowControl/>
        <w:shd w:val="clear" w:color="auto" w:fill="FFFFFF"/>
        <w:tabs>
          <w:tab w:val="left" w:pos="2908"/>
        </w:tabs>
        <w:spacing w:line="360" w:lineRule="auto"/>
        <w:ind w:left="420" w:leftChars="200"/>
        <w:jc w:val="left"/>
        <w:rPr>
          <w:rFonts w:cs="宋体"/>
          <w:color w:val="auto"/>
          <w:szCs w:val="24"/>
          <w:highlight w:val="none"/>
          <w:lang w:bidi="ar"/>
        </w:rPr>
      </w:pPr>
      <w:r>
        <w:rPr>
          <w:rFonts w:hint="eastAsia" w:ascii="宋体" w:hAnsi="宋体" w:cs="宋体"/>
          <w:color w:val="auto"/>
          <w:szCs w:val="21"/>
          <w:highlight w:val="none"/>
        </w:rPr>
        <w:t>2.1.1</w:t>
      </w:r>
      <w:r>
        <w:rPr>
          <w:rFonts w:hint="eastAsia" w:cs="宋体"/>
          <w:color w:val="auto"/>
          <w:szCs w:val="24"/>
          <w:highlight w:val="none"/>
          <w:lang w:val="en-US" w:eastAsia="zh-CN" w:bidi="ar"/>
        </w:rPr>
        <w:t>全彩显示屏</w:t>
      </w:r>
      <w:r>
        <w:rPr>
          <w:rFonts w:cs="宋体"/>
          <w:color w:val="auto"/>
          <w:szCs w:val="24"/>
          <w:highlight w:val="none"/>
          <w:lang w:bidi="ar"/>
        </w:rPr>
        <w:t>。</w:t>
      </w:r>
    </w:p>
    <w:p>
      <w:pPr>
        <w:widowControl/>
        <w:shd w:val="clear" w:color="auto" w:fill="FFFFFF"/>
        <w:tabs>
          <w:tab w:val="left" w:pos="2908"/>
        </w:tabs>
        <w:spacing w:line="360" w:lineRule="auto"/>
        <w:ind w:left="420" w:leftChars="200"/>
        <w:jc w:val="left"/>
        <w:rPr>
          <w:color w:val="auto"/>
          <w:highlight w:val="none"/>
        </w:rPr>
      </w:pPr>
      <w:r>
        <w:rPr>
          <w:rFonts w:hint="eastAsia" w:ascii="宋体" w:hAnsi="宋体" w:cs="宋体"/>
          <w:color w:val="auto"/>
          <w:szCs w:val="21"/>
          <w:highlight w:val="none"/>
        </w:rPr>
        <w:t>2.1.2▲LED显示屏生产厂家需通过CCC、CQC认证证书；</w:t>
      </w:r>
    </w:p>
    <w:p>
      <w:pPr>
        <w:widowControl/>
        <w:shd w:val="clear" w:color="auto" w:fill="FFFFFF"/>
        <w:tabs>
          <w:tab w:val="left" w:pos="2908"/>
        </w:tabs>
        <w:spacing w:line="360" w:lineRule="auto"/>
        <w:ind w:left="420" w:leftChars="200"/>
        <w:jc w:val="left"/>
        <w:rPr>
          <w:rFonts w:ascii="宋体" w:hAnsi="宋体" w:cs="宋体"/>
          <w:color w:val="auto"/>
          <w:szCs w:val="21"/>
          <w:highlight w:val="none"/>
        </w:rPr>
      </w:pPr>
      <w:r>
        <w:rPr>
          <w:rFonts w:hint="eastAsia" w:ascii="宋体" w:hAnsi="宋体" w:cs="宋体"/>
          <w:color w:val="auto"/>
          <w:szCs w:val="21"/>
          <w:highlight w:val="none"/>
        </w:rPr>
        <w:t>2.1.3像素失控率≤1ppm(1ppm = 1/1000000)，无连续失控点，无单列或单行像素失控现象，无隐亮,全黑场信号下无灯管发光。显示屏支持亮、色度逐点一致化校正；</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2.1.4▲箱体采用压铸铝材质，箱体及背板为一次性整体压铸成型，无后盖分体结构，</w:t>
      </w:r>
      <w:r>
        <w:rPr>
          <w:rFonts w:hint="eastAsia"/>
          <w:color w:val="auto"/>
          <w:highlight w:val="none"/>
          <w:lang w:val="en-US" w:eastAsia="zh-CN"/>
        </w:rPr>
        <w:t>符合国家或行业现行标准</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2.1.5</w:t>
      </w:r>
      <w:r>
        <w:rPr>
          <w:rFonts w:hint="eastAsia"/>
          <w:color w:val="auto"/>
          <w:highlight w:val="none"/>
        </w:rPr>
        <w:t>显示屏校正后亮度调节范围：0-800cd/㎡</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2.1.6</w:t>
      </w:r>
      <w:r>
        <w:rPr>
          <w:rFonts w:hint="eastAsia"/>
          <w:color w:val="auto"/>
          <w:highlight w:val="none"/>
        </w:rPr>
        <w:t>显示屏色温：1000-10000K可调</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2.1.7可视角度：水平视角：≥170°，垂直视角：≥170°；</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2.1.8</w:t>
      </w:r>
      <w:r>
        <w:rPr>
          <w:rFonts w:hint="eastAsia"/>
          <w:color w:val="auto"/>
          <w:highlight w:val="none"/>
        </w:rPr>
        <w:t>亮度均匀性：≥97%</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2.1.9▲色度均匀性：±0.00</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Cx,Cy 之内（须满足具备CMA、CNAS、ILAC-MRA标识的检测机构出具的第三方检测报告加盖</w:t>
      </w:r>
      <w:r>
        <w:rPr>
          <w:rFonts w:hint="eastAsia" w:ascii="宋体" w:hAnsi="宋体" w:cs="宋体"/>
          <w:color w:val="auto"/>
          <w:szCs w:val="21"/>
          <w:highlight w:val="none"/>
          <w:lang w:val="en-US" w:eastAsia="zh-CN"/>
        </w:rPr>
        <w:t>制造商</w:t>
      </w:r>
      <w:r>
        <w:rPr>
          <w:rFonts w:hint="eastAsia" w:ascii="宋体" w:hAnsi="宋体" w:cs="宋体"/>
          <w:color w:val="auto"/>
          <w:szCs w:val="21"/>
          <w:highlight w:val="none"/>
        </w:rPr>
        <w:t>公章）</w:t>
      </w:r>
      <w:r>
        <w:rPr>
          <w:rFonts w:hint="eastAsia"/>
          <w:color w:val="auto"/>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2.1.10▲</w:t>
      </w:r>
      <w:r>
        <w:rPr>
          <w:rFonts w:hint="eastAsia"/>
          <w:color w:val="auto"/>
          <w:highlight w:val="none"/>
        </w:rPr>
        <w:t>显示屏静态对比度：≥10000：1</w:t>
      </w:r>
      <w:r>
        <w:rPr>
          <w:rFonts w:hint="eastAsia"/>
          <w:color w:val="auto"/>
          <w:highlight w:val="none"/>
          <w:lang w:eastAsia="zh-CN"/>
        </w:rPr>
        <w:t>，</w:t>
      </w:r>
      <w:r>
        <w:rPr>
          <w:rFonts w:hint="eastAsia"/>
          <w:color w:val="auto"/>
          <w:highlight w:val="none"/>
          <w:lang w:val="en-US" w:eastAsia="zh-CN"/>
        </w:rPr>
        <w:t>动态</w:t>
      </w:r>
      <w:r>
        <w:rPr>
          <w:rFonts w:hint="eastAsia" w:ascii="宋体" w:hAnsi="宋体" w:cs="宋体"/>
          <w:color w:val="auto"/>
          <w:szCs w:val="21"/>
          <w:highlight w:val="none"/>
        </w:rPr>
        <w:t>对比度：≥20000：1（须满足具备CMA、CNAS、ILAC-MRA标识的检测机构出具的第三方检测报告加盖</w:t>
      </w:r>
      <w:r>
        <w:rPr>
          <w:rFonts w:hint="eastAsia" w:ascii="宋体" w:hAnsi="宋体" w:cs="宋体"/>
          <w:color w:val="auto"/>
          <w:szCs w:val="21"/>
          <w:highlight w:val="none"/>
          <w:lang w:val="en-US" w:eastAsia="zh-CN"/>
        </w:rPr>
        <w:t>制造商</w:t>
      </w:r>
      <w:r>
        <w:rPr>
          <w:rFonts w:hint="eastAsia" w:ascii="宋体" w:hAnsi="宋体" w:cs="宋体"/>
          <w:color w:val="auto"/>
          <w:szCs w:val="21"/>
          <w:highlight w:val="none"/>
        </w:rPr>
        <w:t>公章）；</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2.1.1</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▲色域覆盖率：≥</w:t>
      </w:r>
      <w:r>
        <w:rPr>
          <w:rFonts w:hint="eastAsia"/>
          <w:color w:val="auto"/>
          <w:highlight w:val="none"/>
        </w:rPr>
        <w:t>115%</w:t>
      </w:r>
      <w:r>
        <w:rPr>
          <w:rFonts w:hint="eastAsia" w:ascii="宋体" w:hAnsi="宋体" w:cs="宋体"/>
          <w:color w:val="auto"/>
          <w:szCs w:val="21"/>
          <w:highlight w:val="none"/>
        </w:rPr>
        <w:t>NTSC（须满足具备CMA、CNAS、ILAC-MRA标识的检测机构出具的第三方检测报告加盖</w:t>
      </w:r>
      <w:r>
        <w:rPr>
          <w:rFonts w:hint="eastAsia" w:ascii="宋体" w:hAnsi="宋体" w:cs="宋体"/>
          <w:color w:val="auto"/>
          <w:szCs w:val="21"/>
          <w:highlight w:val="none"/>
          <w:lang w:val="en-US" w:eastAsia="zh-CN"/>
        </w:rPr>
        <w:t>制造商</w:t>
      </w:r>
      <w:r>
        <w:rPr>
          <w:rFonts w:hint="eastAsia" w:ascii="宋体" w:hAnsi="宋体" w:cs="宋体"/>
          <w:color w:val="auto"/>
          <w:szCs w:val="21"/>
          <w:highlight w:val="none"/>
        </w:rPr>
        <w:t>公章）；</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2.1.1</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拼装精度：相邻箱体之间的平整度</w:t>
      </w:r>
      <w:r>
        <w:rPr>
          <w:rFonts w:hint="eastAsia" w:ascii="宋体" w:hAnsi="宋体" w:cs="宋体"/>
          <w:color w:val="auto"/>
          <w:szCs w:val="21"/>
          <w:highlight w:val="none"/>
          <w:lang w:val="en-US" w:eastAsia="zh-CN"/>
        </w:rPr>
        <w:t>和</w:t>
      </w:r>
      <w:r>
        <w:rPr>
          <w:rFonts w:hint="eastAsia"/>
          <w:color w:val="auto"/>
          <w:highlight w:val="none"/>
        </w:rPr>
        <w:t>拼接间隙</w:t>
      </w:r>
      <w:r>
        <w:rPr>
          <w:rFonts w:hint="eastAsia" w:ascii="宋体" w:hAnsi="宋体" w:cs="宋体"/>
          <w:color w:val="auto"/>
          <w:szCs w:val="21"/>
          <w:highlight w:val="none"/>
        </w:rPr>
        <w:t>≤0.1mm；</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2.1.1</w:t>
      </w:r>
      <w:r>
        <w:rPr>
          <w:rFonts w:hint="eastAsia" w:ascii="宋体" w:hAnsi="宋体" w:cs="宋体"/>
          <w:color w:val="auto"/>
          <w:szCs w:val="21"/>
          <w:highlight w:val="none"/>
          <w:lang w:val="en-US" w:eastAsia="zh-CN"/>
        </w:rPr>
        <w:t>3</w:t>
      </w:r>
      <w:r>
        <w:rPr>
          <w:rFonts w:hint="eastAsia"/>
          <w:color w:val="auto"/>
          <w:highlight w:val="none"/>
        </w:rPr>
        <w:t>▲为确保显示屏高清显示画质，显示屏应具有高动态色域表现能力，提供具有COB LED屏的HDR和8K超高清显示认证证书</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2.1.1</w:t>
      </w:r>
      <w:r>
        <w:rPr>
          <w:rFonts w:hint="eastAsia" w:ascii="宋体" w:hAnsi="宋体" w:cs="宋体"/>
          <w:color w:val="auto"/>
          <w:szCs w:val="21"/>
          <w:highlight w:val="none"/>
          <w:lang w:val="en-US" w:eastAsia="zh-CN"/>
        </w:rPr>
        <w:t>4</w:t>
      </w:r>
      <w:r>
        <w:rPr>
          <w:rFonts w:hint="eastAsia"/>
          <w:color w:val="auto"/>
          <w:highlight w:val="none"/>
        </w:rPr>
        <w:t>▲</w:t>
      </w:r>
      <w:r>
        <w:rPr>
          <w:rFonts w:hint="eastAsia" w:ascii="宋体" w:hAnsi="宋体" w:cs="宋体"/>
          <w:color w:val="auto"/>
          <w:szCs w:val="21"/>
          <w:highlight w:val="none"/>
        </w:rPr>
        <w:t>为确保显示屏节能降耗及使用人的视觉健康要求，显示屏应具备节能、环保认证。为确保显示屏使用人的视觉健康，显示屏应具有健康护眼能力，</w:t>
      </w:r>
      <w:r>
        <w:rPr>
          <w:rFonts w:hint="eastAsia" w:ascii="宋体" w:hAnsi="宋体" w:cs="宋体"/>
          <w:color w:val="auto"/>
          <w:sz w:val="21"/>
          <w:szCs w:val="21"/>
          <w:highlight w:val="none"/>
        </w:rPr>
        <w:t>提供视觉健康认证证书。</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▲低噪声：为确保工作环境安静并有利于工作正常进行，显示屏产品工作时应能保持低噪状态。按</w:t>
      </w:r>
      <w:r>
        <w:rPr>
          <w:rFonts w:hint="eastAsia"/>
          <w:color w:val="auto"/>
          <w:highlight w:val="none"/>
          <w:lang w:val="en-US" w:eastAsia="zh-CN"/>
        </w:rPr>
        <w:t>国家或行业现行标准，</w:t>
      </w:r>
      <w:r>
        <w:rPr>
          <w:rFonts w:hint="eastAsia" w:ascii="宋体" w:hAnsi="宋体" w:cs="宋体"/>
          <w:color w:val="auto"/>
          <w:szCs w:val="21"/>
          <w:highlight w:val="none"/>
        </w:rPr>
        <w:t>《声学信息技术设备和通信设备空气噪声的测量》屏体球面半径1米内，整屏噪声≤5db（须满足具备CMA、CNAS、ILAC-MRA标识的检测机构出具的第三方检测报告加盖</w:t>
      </w:r>
      <w:r>
        <w:rPr>
          <w:rFonts w:hint="eastAsia" w:ascii="宋体" w:hAnsi="宋体" w:cs="宋体"/>
          <w:color w:val="auto"/>
          <w:szCs w:val="21"/>
          <w:highlight w:val="none"/>
          <w:lang w:val="en-US" w:eastAsia="zh-CN"/>
        </w:rPr>
        <w:t>制造商</w:t>
      </w:r>
      <w:r>
        <w:rPr>
          <w:rFonts w:hint="eastAsia" w:ascii="宋体" w:hAnsi="宋体" w:cs="宋体"/>
          <w:color w:val="auto"/>
          <w:szCs w:val="21"/>
          <w:highlight w:val="none"/>
        </w:rPr>
        <w:t>公章）；</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2.1.1</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图像增强与调整处理功能：支持对图像清晰度、饱和度、色度调节、对比度、亮度进行综合式一键视觉修正，具备降噪、增强、运动补偿、色坐标色彩变换处理、钝化处理功能。支持 HDR高动态范围图像技术显示，具有提高显示效果的技术特点，较短距离观看时，可以一定程度上缓解颗粒感问题，以及可以提高整个图像显示的视觉过渡效果；</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2.1.1</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w:t>
      </w:r>
      <w:r>
        <w:rPr>
          <w:rFonts w:hint="eastAsia"/>
          <w:color w:val="auto"/>
          <w:highlight w:val="none"/>
        </w:rPr>
        <w:t>为确保显示屏具备较高防护与安全性能，要求其防腐蚀、防盐雾、防霉、防碰撞、防静电、阻燃、耐磨等参数符合国家相关标准规范，正面防护等级达到IP65。</w:t>
      </w:r>
      <w:r>
        <w:rPr>
          <w:rFonts w:hint="eastAsia" w:ascii="宋体" w:hAnsi="宋体" w:cs="宋体"/>
          <w:color w:val="auto"/>
          <w:szCs w:val="21"/>
          <w:highlight w:val="none"/>
        </w:rPr>
        <w:t>（须满足具备CMA、CNAS、ILAC-MRA标识的检测机构出具的第三方检测报告加盖</w:t>
      </w:r>
      <w:r>
        <w:rPr>
          <w:rFonts w:hint="eastAsia" w:ascii="宋体" w:hAnsi="宋体" w:cs="宋体"/>
          <w:color w:val="auto"/>
          <w:szCs w:val="21"/>
          <w:highlight w:val="none"/>
          <w:lang w:val="en-US" w:eastAsia="zh-CN"/>
        </w:rPr>
        <w:t>制造商</w:t>
      </w:r>
      <w:r>
        <w:rPr>
          <w:rFonts w:hint="eastAsia" w:ascii="宋体" w:hAnsi="宋体" w:cs="宋体"/>
          <w:color w:val="auto"/>
          <w:szCs w:val="21"/>
          <w:highlight w:val="none"/>
        </w:rPr>
        <w:t>公章）；</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2.1.1</w:t>
      </w:r>
      <w:r>
        <w:rPr>
          <w:rFonts w:hint="eastAsia" w:ascii="宋体" w:hAnsi="宋体" w:cs="宋体"/>
          <w:color w:val="auto"/>
          <w:szCs w:val="21"/>
          <w:highlight w:val="none"/>
          <w:lang w:val="en-US" w:eastAsia="zh-CN"/>
        </w:rPr>
        <w:t>8</w:t>
      </w:r>
      <w:r>
        <w:rPr>
          <w:rFonts w:hint="eastAsia"/>
          <w:color w:val="auto"/>
          <w:highlight w:val="none"/>
        </w:rPr>
        <w:t>无蓝光危害：为保证显示屏使用人的眼睛健康，产品应具备对危害蓝光的防护能力。按GB/T20145-2006《灯和灯系统的光生物安全性》辐亮度无危险标准即:辐亮度≤1W/(㎡*sr)</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19</w:t>
      </w:r>
      <w:r>
        <w:rPr>
          <w:rFonts w:hint="eastAsia" w:ascii="宋体" w:hAnsi="宋体" w:cs="宋体"/>
          <w:color w:val="auto"/>
          <w:szCs w:val="21"/>
          <w:highlight w:val="none"/>
        </w:rPr>
        <w:t>▲</w:t>
      </w:r>
      <w:r>
        <w:rPr>
          <w:rFonts w:hint="eastAsia"/>
          <w:color w:val="auto"/>
          <w:highlight w:val="none"/>
        </w:rPr>
        <w:t>箱体全前维护，为保证显示可靠性、降低维修成本，模组、电源、接收卡、HUB转接板均为独立结构设计</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2.1.2</w:t>
      </w:r>
      <w:r>
        <w:rPr>
          <w:rFonts w:hint="eastAsia" w:ascii="宋体" w:hAnsi="宋体" w:cs="宋体"/>
          <w:color w:val="auto"/>
          <w:szCs w:val="21"/>
          <w:highlight w:val="none"/>
          <w:lang w:val="en-US" w:eastAsia="zh-CN"/>
        </w:rPr>
        <w:t>0</w:t>
      </w:r>
      <w:r>
        <w:rPr>
          <w:rFonts w:hint="eastAsia"/>
          <w:color w:val="auto"/>
          <w:highlight w:val="none"/>
        </w:rPr>
        <w:t>显示屏具备良好日常维护性：表面符合3H硬度与HRC8级，可进行清洁、擦拭、可进行不低于中水平消毒法进行表面消毒，可承受一定程度按压</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2.1.2</w:t>
      </w:r>
      <w:r>
        <w:rPr>
          <w:rFonts w:hint="eastAsia" w:ascii="宋体" w:hAnsi="宋体" w:cs="宋体"/>
          <w:color w:val="auto"/>
          <w:szCs w:val="21"/>
          <w:highlight w:val="none"/>
          <w:lang w:val="en-US" w:eastAsia="zh-CN"/>
        </w:rPr>
        <w:t>1</w:t>
      </w:r>
      <w:r>
        <w:rPr>
          <w:rFonts w:hint="eastAsia"/>
          <w:color w:val="auto"/>
          <w:highlight w:val="none"/>
        </w:rPr>
        <w:t>▲有害物质：为确保显示大屏对人体和环境没有伤害性，使用物质满足限量要求。按</w:t>
      </w:r>
      <w:r>
        <w:rPr>
          <w:rFonts w:hint="eastAsia" w:ascii="宋体" w:hAnsi="宋体" w:cs="宋体"/>
          <w:color w:val="auto"/>
          <w:szCs w:val="21"/>
          <w:highlight w:val="none"/>
        </w:rPr>
        <w:t>知识产权管理体系认证</w:t>
      </w:r>
      <w:r>
        <w:rPr>
          <w:rFonts w:hint="eastAsia"/>
          <w:color w:val="auto"/>
          <w:highlight w:val="none"/>
          <w:lang w:eastAsia="zh-CN"/>
        </w:rPr>
        <w:t>，</w:t>
      </w:r>
      <w:r>
        <w:rPr>
          <w:rFonts w:hint="eastAsia"/>
          <w:color w:val="auto"/>
          <w:highlight w:val="none"/>
        </w:rPr>
        <w:t>《电子电气产品中限用物质的限量要求》对铅</w:t>
      </w:r>
      <w:r>
        <w:rPr>
          <w:rFonts w:hint="eastAsia"/>
          <w:color w:val="auto"/>
          <w:highlight w:val="none"/>
          <w:lang w:val="en-US" w:eastAsia="zh-CN"/>
        </w:rPr>
        <w:t xml:space="preserve"> </w:t>
      </w:r>
      <w:r>
        <w:rPr>
          <w:rFonts w:hint="eastAsia"/>
          <w:color w:val="auto"/>
          <w:highlight w:val="none"/>
        </w:rPr>
        <w:t>、汞、镉、六价铬、多溴联苯和多溴二苯醚含量检测，对人体、环境有害的物质含量均低于限量要求</w:t>
      </w:r>
      <w:r>
        <w:rPr>
          <w:rFonts w:hint="eastAsia" w:ascii="宋体" w:hAnsi="宋体" w:cs="宋体"/>
          <w:color w:val="auto"/>
          <w:szCs w:val="21"/>
          <w:highlight w:val="none"/>
        </w:rPr>
        <w:t>；（须满足具备CMA、CNAS、ILAC-MRA标识的检测机构出具的第三方检测报告加盖</w:t>
      </w:r>
      <w:r>
        <w:rPr>
          <w:rFonts w:hint="eastAsia" w:ascii="宋体" w:hAnsi="宋体" w:cs="宋体"/>
          <w:color w:val="auto"/>
          <w:szCs w:val="21"/>
          <w:highlight w:val="none"/>
          <w:lang w:val="en-US" w:eastAsia="zh-CN"/>
        </w:rPr>
        <w:t>制造商</w:t>
      </w:r>
      <w:r>
        <w:rPr>
          <w:rFonts w:hint="eastAsia" w:ascii="宋体" w:hAnsi="宋体" w:cs="宋体"/>
          <w:color w:val="auto"/>
          <w:szCs w:val="21"/>
          <w:highlight w:val="none"/>
        </w:rPr>
        <w:t>公章）；</w:t>
      </w:r>
    </w:p>
    <w:p>
      <w:pPr>
        <w:widowControl/>
        <w:shd w:val="clear" w:color="auto" w:fill="FFFFFF"/>
        <w:tabs>
          <w:tab w:val="left" w:pos="2908"/>
        </w:tabs>
        <w:spacing w:line="360" w:lineRule="auto"/>
        <w:ind w:firstLine="371" w:firstLineChars="177"/>
        <w:jc w:val="left"/>
        <w:rPr>
          <w:color w:val="auto"/>
          <w:highlight w:val="none"/>
        </w:rPr>
      </w:pPr>
      <w:r>
        <w:rPr>
          <w:rFonts w:hint="eastAsia" w:ascii="宋体" w:hAnsi="宋体" w:cs="宋体"/>
          <w:color w:val="auto"/>
          <w:szCs w:val="21"/>
          <w:highlight w:val="none"/>
        </w:rPr>
        <w:t>2.1.2</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▲LED显示屏生产厂家需通过《质量管理体系认证》、《环境管理体系认证》、《职业健康安全管理体系认证》、《知识产权管理体系认证》；</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2.1.2</w:t>
      </w:r>
      <w:r>
        <w:rPr>
          <w:rFonts w:hint="eastAsia" w:ascii="宋体" w:hAnsi="宋体" w:cs="宋体"/>
          <w:color w:val="auto"/>
          <w:szCs w:val="21"/>
          <w:highlight w:val="none"/>
          <w:lang w:val="en-US" w:eastAsia="zh-CN"/>
        </w:rPr>
        <w:t>3</w:t>
      </w:r>
      <w:r>
        <w:rPr>
          <w:rFonts w:ascii="宋体" w:hAnsi="宋体" w:cs="宋体"/>
          <w:color w:val="auto"/>
          <w:szCs w:val="21"/>
          <w:highlight w:val="none"/>
        </w:rPr>
        <w:t>LED显示屏生产厂家需通过</w:t>
      </w:r>
      <w:r>
        <w:rPr>
          <w:rFonts w:hint="eastAsia" w:ascii="宋体" w:hAnsi="宋体" w:cs="宋体"/>
          <w:color w:val="auto"/>
          <w:szCs w:val="21"/>
          <w:highlight w:val="none"/>
        </w:rPr>
        <w:t>《企业诚信管理体系要求》；</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2.1.2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为了保障服务质量，设备</w:t>
      </w:r>
      <w:r>
        <w:rPr>
          <w:rFonts w:hint="eastAsia" w:ascii="宋体" w:hAnsi="宋体" w:cs="宋体"/>
          <w:color w:val="auto"/>
          <w:szCs w:val="21"/>
          <w:highlight w:val="none"/>
          <w:lang w:val="en-US" w:eastAsia="zh-CN"/>
        </w:rPr>
        <w:t>制造商</w:t>
      </w:r>
      <w:r>
        <w:rPr>
          <w:rFonts w:hint="eastAsia" w:ascii="宋体" w:hAnsi="宋体" w:cs="宋体"/>
          <w:color w:val="auto"/>
          <w:szCs w:val="21"/>
          <w:highlight w:val="none"/>
        </w:rPr>
        <w:t>售后服务体系须通过符合</w:t>
      </w:r>
      <w:r>
        <w:rPr>
          <w:rFonts w:hint="eastAsia"/>
          <w:color w:val="auto"/>
          <w:highlight w:val="none"/>
          <w:lang w:val="en-US" w:eastAsia="zh-CN"/>
        </w:rPr>
        <w:t>国家或行业现行标准</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《商品售后服务评价体系》五星或以上认证；</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2.2建设LED大屏控制系统，满足如下系统功能要求：</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2.2.1需采用完全分布式架构，无需配置服务器即可构建无服务器的去中心化分布式音视频综合管控网络，运行中可断开任意分布式节点，系统运行不受影响；</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2.2.2需采用无风扇静音设计，嵌入式硬件，应具备≥</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路HDMI输入接口、≥1路HDMI环出接口、≥1路模拟音频输入接口、≥1路模拟音频输出接口、≥1路MIC接口、≥1路RJ45接口、≥1路SFP接口、≥1路232接口、≥1路485接口、≥3路IO/IR接口、≥3路RELAY接口、≥1路SEARCH复位按键。需提供产品高清实物图片，并加盖制造商公章；</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2.2.3</w:t>
      </w:r>
      <w:r>
        <w:rPr>
          <w:rFonts w:ascii="宋体" w:hAnsi="宋体" w:cs="宋体"/>
          <w:color w:val="auto"/>
          <w:szCs w:val="21"/>
          <w:highlight w:val="none"/>
        </w:rPr>
        <w:t>★</w:t>
      </w:r>
      <w:r>
        <w:rPr>
          <w:rFonts w:hint="eastAsia" w:ascii="宋体" w:hAnsi="宋体" w:cs="宋体"/>
          <w:color w:val="auto"/>
          <w:szCs w:val="21"/>
          <w:highlight w:val="none"/>
        </w:rPr>
        <w:t>需支持最高分辨率4K@60帧输入输出，且分辨率和帧率自适应向下兼容，确保图像动态细节和流畅性；</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2.2.4需具备输入信号丢失检测，便于对输入进行排查、处理，信号恢复正常后有信号正常指示；</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2.2.5支持系统中所有信号的预览，同时至少</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路以上信号源同时预览；</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2.2.6产品具有CE、ROSH、FCC证书，提供证书复印件，制造商需具备HDMI会员认证，提供网站查询截图,加盖制造商公章；</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2.2.7需支持本地环出，环出信号与输入信号一致；</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2.2.8分布式输入/输出节点支持7X24小时长时间连续开机工作能力；</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2.2.9为适应不同人员的操作习惯，菜单可提供该不少于3种信号接管方式：信号拖拽、鼠标双击、键盘按键；</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2.2.10支持场景保存，一键调用已保存的场景，恢复之前保存的视频的内容和窗口位置信息、音频的状态等相关参数的状态；</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2.2.11支持根据现场环境实际需求，灵活增加或减少控件，实现客户定制化的需求。支持多个控制页面以及页面的相互切换；</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2.2.12支持PC&amp;IWB对环控设备的直接控制，支持大屏的开关机，支持灯光、空调、窗帘、投影机、投影幕、会议摄像头等周边设备的控制；</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2.2.13支持鼠标、键盘透传，电脑主机不能直接通过节点的USB接口进行数据交互，从而保证系统保密性、安全性要求；</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2.2.14支持设备名称修改，支持设备名称的中英文创建和修改，保证输入节点的名称和所处位置相对应。</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2.2.15支持windows、Linux、MAC、国产Kylin等跨平台操作，无需额外软件支持，可实现用户账号设置并为账号分配权限。</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2.3建设LED辅屏，满足如下系统功能要求：</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 xml:space="preserve">2.3.1 </w:t>
      </w:r>
      <w:r>
        <w:rPr>
          <w:rFonts w:hint="eastAsia" w:ascii="宋体" w:hAnsi="宋体" w:cs="宋体"/>
          <w:color w:val="auto"/>
          <w:kern w:val="0"/>
          <w:sz w:val="20"/>
          <w:highlight w:val="none"/>
        </w:rPr>
        <w:t>采</w:t>
      </w:r>
      <w:r>
        <w:rPr>
          <w:rFonts w:hint="eastAsia" w:ascii="宋体" w:hAnsi="宋体" w:cs="宋体"/>
          <w:color w:val="auto"/>
          <w:kern w:val="2"/>
          <w:sz w:val="21"/>
          <w:szCs w:val="21"/>
          <w:highlight w:val="none"/>
        </w:rPr>
        <w:t>用无广告工业商显屏或一体机，尺寸≥98英寸</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2.3.2 LED辅屏分辨率为4K，画面</w:t>
      </w:r>
      <w:r>
        <w:rPr>
          <w:rFonts w:hint="eastAsia" w:ascii="宋体" w:hAnsi="宋体" w:cs="宋体"/>
          <w:color w:val="auto"/>
          <w:kern w:val="2"/>
          <w:sz w:val="21"/>
          <w:szCs w:val="21"/>
          <w:highlight w:val="none"/>
        </w:rPr>
        <w:t>需与主屏同步</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color w:val="auto"/>
          <w:highlight w:val="none"/>
        </w:rPr>
      </w:pPr>
      <w:r>
        <w:rPr>
          <w:rFonts w:hint="eastAsia" w:ascii="宋体" w:hAnsi="宋体" w:cs="宋体"/>
          <w:color w:val="auto"/>
          <w:szCs w:val="21"/>
          <w:highlight w:val="none"/>
        </w:rPr>
        <w:t>2.3.2 通过控制接口，可实现远程开关机、切换信源等操作；</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2.4建设LED无线控制端，满足如下系统功能要求：</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2.4.1无线控制端采用2024年款平板电脑；</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2.4.2 尺寸≥10.9寸，内存≥64G；</w:t>
      </w:r>
    </w:p>
    <w:p>
      <w:pPr>
        <w:widowControl/>
        <w:shd w:val="clear" w:color="auto" w:fill="FFFFFF"/>
        <w:tabs>
          <w:tab w:val="left" w:pos="2908"/>
        </w:tabs>
        <w:spacing w:line="360" w:lineRule="auto"/>
        <w:ind w:left="470" w:leftChars="200" w:hanging="50" w:hangingChars="24"/>
        <w:jc w:val="left"/>
        <w:rPr>
          <w:rFonts w:ascii="宋体" w:hAnsi="宋体" w:cs="宋体"/>
          <w:color w:val="auto"/>
          <w:kern w:val="0"/>
          <w:sz w:val="20"/>
          <w:highlight w:val="none"/>
        </w:rPr>
      </w:pPr>
      <w:r>
        <w:rPr>
          <w:rFonts w:hint="eastAsia" w:ascii="宋体" w:hAnsi="宋体" w:cs="宋体"/>
          <w:color w:val="auto"/>
          <w:szCs w:val="21"/>
          <w:highlight w:val="none"/>
        </w:rPr>
        <w:t>2.4.3</w:t>
      </w:r>
      <w:r>
        <w:rPr>
          <w:rFonts w:hint="eastAsia" w:ascii="宋体" w:hAnsi="宋体" w:cs="宋体"/>
          <w:color w:val="auto"/>
          <w:kern w:val="0"/>
          <w:sz w:val="20"/>
          <w:highlight w:val="none"/>
        </w:rPr>
        <w:t>平板上系统必须可满足大屏幕操作系统的运用；</w:t>
      </w:r>
    </w:p>
    <w:p>
      <w:pPr>
        <w:widowControl/>
        <w:shd w:val="clear" w:color="auto" w:fill="FFFFFF"/>
        <w:tabs>
          <w:tab w:val="left" w:pos="2908"/>
        </w:tabs>
        <w:spacing w:line="360" w:lineRule="auto"/>
        <w:ind w:left="470" w:leftChars="200" w:hanging="50" w:hangingChars="24"/>
        <w:jc w:val="left"/>
        <w:rPr>
          <w:rFonts w:ascii="宋体" w:hAnsi="宋体" w:cs="宋体"/>
          <w:color w:val="auto"/>
          <w:szCs w:val="21"/>
          <w:highlight w:val="none"/>
        </w:rPr>
      </w:pPr>
      <w:r>
        <w:rPr>
          <w:rFonts w:hint="eastAsia" w:ascii="宋体" w:hAnsi="宋体" w:cs="宋体"/>
          <w:color w:val="auto"/>
          <w:szCs w:val="21"/>
          <w:highlight w:val="none"/>
        </w:rPr>
        <w:t xml:space="preserve">2.4.4 </w:t>
      </w:r>
      <w:r>
        <w:rPr>
          <w:rFonts w:hint="eastAsia" w:ascii="宋体" w:hAnsi="宋体" w:cs="宋体"/>
          <w:color w:val="auto"/>
          <w:szCs w:val="21"/>
          <w:highlight w:val="none"/>
          <w:lang w:val="en-US" w:eastAsia="zh-CN"/>
        </w:rPr>
        <w:t>其中</w:t>
      </w:r>
      <w:r>
        <w:rPr>
          <w:rFonts w:hint="eastAsia" w:ascii="宋体" w:hAnsi="宋体" w:cs="宋体"/>
          <w:color w:val="auto"/>
          <w:szCs w:val="21"/>
          <w:highlight w:val="none"/>
        </w:rPr>
        <w:t>2台控制</w:t>
      </w:r>
      <w:r>
        <w:rPr>
          <w:rFonts w:hint="eastAsia" w:ascii="宋体" w:hAnsi="宋体" w:cs="宋体"/>
          <w:color w:val="auto"/>
          <w:szCs w:val="21"/>
          <w:highlight w:val="none"/>
          <w:lang w:val="en-US" w:eastAsia="zh-CN"/>
        </w:rPr>
        <w:t>端</w:t>
      </w:r>
      <w:r>
        <w:rPr>
          <w:rFonts w:hint="eastAsia" w:ascii="宋体" w:hAnsi="宋体" w:cs="宋体"/>
          <w:color w:val="auto"/>
          <w:szCs w:val="21"/>
          <w:highlight w:val="none"/>
        </w:rPr>
        <w:t>只有</w:t>
      </w:r>
      <w:r>
        <w:rPr>
          <w:rFonts w:hint="eastAsia" w:ascii="宋体" w:hAnsi="宋体" w:cs="宋体"/>
          <w:color w:val="auto"/>
          <w:szCs w:val="21"/>
          <w:highlight w:val="none"/>
          <w:lang w:val="en-US" w:eastAsia="zh-CN"/>
        </w:rPr>
        <w:t>简单化的</w:t>
      </w:r>
      <w:r>
        <w:rPr>
          <w:rFonts w:hint="eastAsia" w:ascii="宋体" w:hAnsi="宋体" w:cs="宋体"/>
          <w:color w:val="auto"/>
          <w:szCs w:val="21"/>
          <w:highlight w:val="none"/>
        </w:rPr>
        <w:t>单一功能权限，另外1台拥有</w:t>
      </w:r>
      <w:r>
        <w:rPr>
          <w:rFonts w:hint="eastAsia" w:ascii="宋体" w:hAnsi="宋体" w:cs="宋体"/>
          <w:color w:val="auto"/>
          <w:szCs w:val="21"/>
          <w:highlight w:val="none"/>
          <w:lang w:val="en-US" w:eastAsia="zh-CN"/>
        </w:rPr>
        <w:t>控制</w:t>
      </w:r>
      <w:r>
        <w:rPr>
          <w:rFonts w:hint="eastAsia" w:ascii="宋体" w:hAnsi="宋体" w:cs="宋体"/>
          <w:color w:val="auto"/>
          <w:szCs w:val="21"/>
          <w:highlight w:val="none"/>
        </w:rPr>
        <w:t>软件</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所有</w:t>
      </w:r>
      <w:r>
        <w:rPr>
          <w:rFonts w:hint="eastAsia" w:ascii="宋体" w:hAnsi="宋体" w:cs="宋体"/>
          <w:color w:val="auto"/>
          <w:szCs w:val="21"/>
          <w:highlight w:val="none"/>
          <w:lang w:val="en-US" w:eastAsia="zh-CN"/>
        </w:rPr>
        <w:t>功能</w:t>
      </w:r>
      <w:r>
        <w:rPr>
          <w:rFonts w:hint="eastAsia" w:ascii="宋体" w:hAnsi="宋体" w:cs="宋体"/>
          <w:color w:val="auto"/>
          <w:szCs w:val="21"/>
          <w:highlight w:val="none"/>
        </w:rPr>
        <w:t>权限</w:t>
      </w:r>
      <w:r>
        <w:rPr>
          <w:rFonts w:hint="eastAsia" w:ascii="宋体" w:hAnsi="宋体" w:cs="宋体"/>
          <w:color w:val="auto"/>
          <w:kern w:val="0"/>
          <w:sz w:val="20"/>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2.5建设控制服务器，满足如下系统功能要求：</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2.5.1 CPU:1</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代I</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，内存：64G，硬盘：1TSSD*2；显卡：RTXA400</w:t>
      </w:r>
      <w:r>
        <w:rPr>
          <w:rFonts w:hint="eastAsia" w:ascii="宋体" w:hAnsi="宋体" w:cs="宋体"/>
          <w:color w:val="auto"/>
          <w:szCs w:val="21"/>
          <w:highlight w:val="none"/>
          <w:lang w:val="en-US" w:eastAsia="zh-CN"/>
        </w:rPr>
        <w:t>0</w:t>
      </w:r>
      <w:r>
        <w:rPr>
          <w:rFonts w:hint="eastAsia" w:ascii="宋体" w:hAnsi="宋体" w:cs="宋体"/>
          <w:color w:val="auto"/>
          <w:szCs w:val="21"/>
          <w:highlight w:val="none"/>
        </w:rPr>
        <w:t>，16G显存；显示器：≥27寸；</w:t>
      </w:r>
      <w:r>
        <w:rPr>
          <w:rFonts w:hint="eastAsia" w:ascii="宋体" w:hAnsi="宋体" w:cs="宋体"/>
          <w:color w:val="auto"/>
          <w:szCs w:val="21"/>
          <w:highlight w:val="none"/>
          <w:lang w:val="en-US" w:eastAsia="zh-CN"/>
        </w:rPr>
        <w:t>正版操作系统</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2.5.2 机架式安装；</w:t>
      </w:r>
    </w:p>
    <w:p>
      <w:pPr>
        <w:widowControl/>
        <w:shd w:val="clear" w:color="auto" w:fill="FFFFFF"/>
        <w:tabs>
          <w:tab w:val="left" w:pos="2908"/>
        </w:tabs>
        <w:spacing w:line="360" w:lineRule="auto"/>
        <w:ind w:firstLine="373" w:firstLineChars="177"/>
        <w:jc w:val="left"/>
        <w:rPr>
          <w:rFonts w:ascii="宋体" w:hAnsi="宋体" w:cs="宋体"/>
          <w:b/>
          <w:bCs/>
          <w:color w:val="auto"/>
          <w:szCs w:val="21"/>
          <w:highlight w:val="none"/>
        </w:rPr>
      </w:pPr>
      <w:r>
        <w:rPr>
          <w:rFonts w:hint="eastAsia" w:ascii="宋体" w:hAnsi="宋体" w:cs="宋体"/>
          <w:b/>
          <w:bCs/>
          <w:color w:val="auto"/>
          <w:szCs w:val="21"/>
          <w:highlight w:val="none"/>
        </w:rPr>
        <w:t>3.配套工程建设</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3.1</w:t>
      </w:r>
      <w:r>
        <w:rPr>
          <w:rFonts w:hint="eastAsia" w:ascii="宋体" w:hAnsi="宋体" w:cs="宋体"/>
          <w:color w:val="auto"/>
          <w:szCs w:val="21"/>
          <w:highlight w:val="none"/>
          <w:lang w:val="en-US" w:eastAsia="zh-CN"/>
        </w:rPr>
        <w:t>配置</w:t>
      </w:r>
      <w:r>
        <w:rPr>
          <w:rFonts w:hint="eastAsia" w:ascii="宋体" w:hAnsi="宋体" w:cs="宋体"/>
          <w:color w:val="auto"/>
          <w:szCs w:val="21"/>
          <w:highlight w:val="none"/>
        </w:rPr>
        <w:t>1台数字调音台</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需要和原</w:t>
      </w:r>
      <w:r>
        <w:rPr>
          <w:rFonts w:hint="eastAsia" w:ascii="宋体" w:hAnsi="宋体" w:cs="宋体"/>
          <w:color w:val="auto"/>
          <w:szCs w:val="21"/>
          <w:highlight w:val="none"/>
        </w:rPr>
        <w:t>迈达斯M32</w:t>
      </w:r>
      <w:r>
        <w:rPr>
          <w:rFonts w:hint="eastAsia" w:ascii="宋体" w:hAnsi="宋体" w:cs="宋体"/>
          <w:color w:val="auto"/>
          <w:szCs w:val="21"/>
          <w:highlight w:val="none"/>
          <w:lang w:val="en-US" w:eastAsia="zh-CN"/>
        </w:rPr>
        <w:t>数字调音台和接口箱连接匹配并操作方式保持一致</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3.2</w:t>
      </w:r>
      <w:r>
        <w:rPr>
          <w:rFonts w:hint="eastAsia" w:ascii="宋体" w:hAnsi="宋体" w:cs="宋体"/>
          <w:color w:val="auto"/>
          <w:szCs w:val="21"/>
          <w:highlight w:val="none"/>
          <w:lang w:val="en-US" w:eastAsia="zh-CN"/>
        </w:rPr>
        <w:t>配置</w:t>
      </w:r>
      <w:r>
        <w:rPr>
          <w:rFonts w:hint="eastAsia" w:ascii="宋体" w:hAnsi="宋体" w:cs="宋体"/>
          <w:color w:val="auto"/>
          <w:szCs w:val="21"/>
          <w:highlight w:val="none"/>
        </w:rPr>
        <w:t>1套</w:t>
      </w:r>
      <w:r>
        <w:rPr>
          <w:rFonts w:hint="eastAsia" w:ascii="宋体" w:hAnsi="宋体" w:cs="宋体"/>
          <w:color w:val="auto"/>
          <w:szCs w:val="21"/>
          <w:highlight w:val="none"/>
          <w:lang w:val="en-US" w:eastAsia="zh-CN"/>
        </w:rPr>
        <w:t>有源</w:t>
      </w:r>
      <w:r>
        <w:rPr>
          <w:rFonts w:hint="eastAsia" w:ascii="宋体" w:hAnsi="宋体" w:cs="宋体"/>
          <w:color w:val="auto"/>
          <w:szCs w:val="21"/>
          <w:highlight w:val="none"/>
        </w:rPr>
        <w:t>移动音响系统</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全频和低频音箱左右各一组，需带轮子方便移动使用</w:t>
      </w:r>
      <w:r>
        <w:rPr>
          <w:rFonts w:hint="eastAsia" w:ascii="宋体" w:hAnsi="宋体" w:cs="宋体"/>
          <w:color w:val="auto"/>
          <w:szCs w:val="21"/>
          <w:highlight w:val="none"/>
          <w:lang w:eastAsia="zh-CN"/>
        </w:rPr>
        <w:t>）</w:t>
      </w:r>
      <w:r>
        <w:rPr>
          <w:rFonts w:hint="eastAsia" w:ascii="宋体" w:hAnsi="宋体" w:cs="宋体"/>
          <w:color w:val="auto"/>
          <w:szCs w:val="21"/>
          <w:highlight w:val="none"/>
        </w:rPr>
        <w:t>，要求能覆盖200-300平方会议室</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3.3</w:t>
      </w:r>
      <w:r>
        <w:rPr>
          <w:rFonts w:hint="eastAsia" w:ascii="宋体" w:hAnsi="宋体" w:cs="宋体"/>
          <w:color w:val="auto"/>
          <w:szCs w:val="21"/>
          <w:highlight w:val="none"/>
          <w:lang w:val="en-US" w:eastAsia="zh-CN"/>
        </w:rPr>
        <w:t>配置</w:t>
      </w:r>
      <w:r>
        <w:rPr>
          <w:rFonts w:hint="eastAsia" w:ascii="宋体" w:hAnsi="宋体" w:cs="宋体"/>
          <w:color w:val="auto"/>
          <w:szCs w:val="21"/>
          <w:highlight w:val="none"/>
        </w:rPr>
        <w:t>2支翻页笔。主要要求：含无线演示器/ppt翻页笔功能，无线连</w:t>
      </w:r>
      <w:r>
        <w:rPr>
          <w:rFonts w:hint="eastAsia" w:ascii="宋体" w:hAnsi="宋体" w:cs="宋体"/>
          <w:color w:val="auto"/>
          <w:szCs w:val="21"/>
          <w:highlight w:val="none"/>
          <w:lang w:val="en-US" w:eastAsia="zh-CN"/>
        </w:rPr>
        <w:t>接</w:t>
      </w:r>
      <w:r>
        <w:rPr>
          <w:rFonts w:hint="eastAsia" w:ascii="宋体" w:hAnsi="宋体" w:cs="宋体"/>
          <w:color w:val="auto"/>
          <w:szCs w:val="21"/>
          <w:highlight w:val="none"/>
        </w:rPr>
        <w:t>，使用范围</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0-</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00米内，</w:t>
      </w:r>
      <w:r>
        <w:rPr>
          <w:rFonts w:hint="eastAsia" w:ascii="宋体" w:hAnsi="宋体" w:cs="宋体"/>
          <w:color w:val="auto"/>
          <w:szCs w:val="21"/>
          <w:highlight w:val="none"/>
          <w:lang w:val="en-US" w:eastAsia="zh-CN"/>
        </w:rPr>
        <w:t>抗干扰能力强，满足覆盖</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500平方大型会议室内满人情况下正常使用，</w:t>
      </w:r>
      <w:r>
        <w:rPr>
          <w:rFonts w:hint="eastAsia" w:ascii="宋体" w:hAnsi="宋体" w:cs="宋体"/>
          <w:color w:val="auto"/>
          <w:szCs w:val="21"/>
          <w:highlight w:val="none"/>
        </w:rPr>
        <w:t>可兼容Windows、Mac OS及其他主流演示软件</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3.4建设1套集线箱。主要要求：4芯光纤2条，8口光纤盒1个，六类网线接口4个，HDMI接口 2个，音频接口8个，电源口8个</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3.5建设1套3位二级操作台</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3.6建设1条LED屏供电线路，主要要求：ZR-YJV22 5*16电缆及配电箱，配电箱1路主开关，4路分开关，2种备用开关</w:t>
      </w:r>
    </w:p>
    <w:p>
      <w:pPr>
        <w:widowControl/>
        <w:shd w:val="clear" w:color="auto" w:fill="FFFFFF"/>
        <w:tabs>
          <w:tab w:val="left" w:pos="2908"/>
        </w:tabs>
        <w:spacing w:line="360" w:lineRule="auto"/>
        <w:ind w:firstLine="371" w:firstLineChars="177"/>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3.7建设1台42U机柜</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3.8建设主席台地板</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3.9建设LED隔热墙。主要要求：大厦玻璃</w:t>
      </w:r>
      <w:r>
        <w:rPr>
          <w:rFonts w:hint="eastAsia" w:ascii="宋体" w:hAnsi="宋体" w:cs="宋体"/>
          <w:color w:val="auto"/>
          <w:szCs w:val="21"/>
          <w:highlight w:val="none"/>
          <w:lang w:val="en-US" w:eastAsia="zh-CN"/>
        </w:rPr>
        <w:t>内</w:t>
      </w:r>
      <w:r>
        <w:rPr>
          <w:rFonts w:hint="eastAsia" w:ascii="宋体" w:hAnsi="宋体" w:cs="宋体"/>
          <w:color w:val="auto"/>
          <w:szCs w:val="21"/>
          <w:highlight w:val="none"/>
        </w:rPr>
        <w:t>墙贴隔热膜，在LED后建设隔热墙</w:t>
      </w:r>
      <w:r>
        <w:rPr>
          <w:rFonts w:hint="eastAsia" w:ascii="宋体" w:hAnsi="宋体" w:cs="宋体"/>
          <w:color w:val="auto"/>
          <w:szCs w:val="21"/>
          <w:highlight w:val="none"/>
          <w:lang w:eastAsia="zh-CN"/>
        </w:rPr>
        <w:t>、</w:t>
      </w:r>
      <w:r>
        <w:rPr>
          <w:rFonts w:hint="eastAsia" w:ascii="宋体" w:hAnsi="宋体" w:cs="宋体"/>
          <w:color w:val="auto"/>
          <w:szCs w:val="21"/>
          <w:highlight w:val="none"/>
        </w:rPr>
        <w:t>玻璃隔热帘</w:t>
      </w:r>
      <w:r>
        <w:rPr>
          <w:rFonts w:hint="eastAsia" w:ascii="宋体" w:hAnsi="宋体" w:cs="宋体"/>
          <w:color w:val="auto"/>
          <w:szCs w:val="21"/>
          <w:highlight w:val="none"/>
          <w:lang w:val="en-US" w:eastAsia="zh-CN"/>
        </w:rPr>
        <w:t>或</w:t>
      </w:r>
      <w:r>
        <w:rPr>
          <w:rFonts w:hint="eastAsia" w:ascii="宋体" w:hAnsi="宋体" w:cs="宋体"/>
          <w:color w:val="auto"/>
          <w:szCs w:val="21"/>
          <w:highlight w:val="none"/>
        </w:rPr>
        <w:t>采用更优方案</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安装前需提供施工方案与样板</w:t>
      </w:r>
      <w:r>
        <w:rPr>
          <w:rFonts w:hint="eastAsia" w:ascii="宋体" w:hAnsi="宋体" w:cs="宋体"/>
          <w:color w:val="auto"/>
          <w:szCs w:val="21"/>
          <w:highlight w:val="none"/>
        </w:rPr>
        <w:t>。</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3.10建设隐匿式电动遥控幕布，天花导轨安装</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3.11音频、视频、网络、电源线路布放</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3.12大屏安装装饰假墙及包边</w:t>
      </w:r>
    </w:p>
    <w:p>
      <w:pPr>
        <w:widowControl/>
        <w:shd w:val="clear" w:color="auto" w:fill="FFFFFF"/>
        <w:tabs>
          <w:tab w:val="left" w:pos="2908"/>
        </w:tabs>
        <w:spacing w:line="360" w:lineRule="auto"/>
        <w:ind w:firstLine="371" w:firstLineChars="177"/>
        <w:jc w:val="left"/>
        <w:rPr>
          <w:rFonts w:ascii="宋体" w:hAnsi="宋体" w:cs="宋体"/>
          <w:color w:val="auto"/>
          <w:szCs w:val="21"/>
          <w:highlight w:val="none"/>
        </w:rPr>
      </w:pPr>
      <w:r>
        <w:rPr>
          <w:rFonts w:hint="eastAsia" w:ascii="宋体" w:hAnsi="宋体" w:cs="宋体"/>
          <w:color w:val="auto"/>
          <w:szCs w:val="21"/>
          <w:highlight w:val="none"/>
        </w:rPr>
        <w:t>3.13拆除原有背景墙、主席台地板及垃圾清运</w:t>
      </w:r>
    </w:p>
    <w:p>
      <w:pPr>
        <w:widowControl/>
        <w:shd w:val="clear" w:color="auto" w:fill="FFFFFF"/>
        <w:tabs>
          <w:tab w:val="left" w:pos="2908"/>
        </w:tabs>
        <w:spacing w:line="360" w:lineRule="auto"/>
        <w:ind w:firstLine="371" w:firstLineChars="177"/>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3.14</w:t>
      </w:r>
      <w:r>
        <w:rPr>
          <w:rFonts w:hint="eastAsia" w:ascii="宋体" w:hAnsi="宋体" w:cs="宋体"/>
          <w:color w:val="auto"/>
          <w:szCs w:val="21"/>
          <w:highlight w:val="none"/>
          <w:lang w:val="en-US" w:eastAsia="zh-CN"/>
        </w:rPr>
        <w:t>组织并做好</w:t>
      </w:r>
      <w:r>
        <w:rPr>
          <w:rFonts w:hint="eastAsia" w:ascii="宋体" w:hAnsi="宋体" w:cs="宋体"/>
          <w:color w:val="auto"/>
          <w:szCs w:val="21"/>
          <w:highlight w:val="none"/>
        </w:rPr>
        <w:t>二次搬运</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如有</w:t>
      </w:r>
      <w:r>
        <w:rPr>
          <w:rFonts w:hint="eastAsia" w:ascii="宋体" w:hAnsi="宋体" w:cs="宋体"/>
          <w:color w:val="auto"/>
          <w:szCs w:val="21"/>
          <w:highlight w:val="none"/>
          <w:lang w:eastAsia="zh-CN"/>
        </w:rPr>
        <w:t>）</w:t>
      </w:r>
      <w:r>
        <w:rPr>
          <w:rFonts w:hint="eastAsia" w:ascii="宋体" w:hAnsi="宋体" w:cs="宋体"/>
          <w:color w:val="auto"/>
          <w:szCs w:val="21"/>
          <w:highlight w:val="none"/>
        </w:rPr>
        <w:t>，现场清洁，</w:t>
      </w:r>
      <w:r>
        <w:rPr>
          <w:rFonts w:hint="eastAsia" w:ascii="宋体" w:hAnsi="宋体" w:cs="宋体"/>
          <w:color w:val="auto"/>
          <w:szCs w:val="21"/>
          <w:highlight w:val="none"/>
          <w:lang w:val="en-US" w:eastAsia="zh-CN"/>
        </w:rPr>
        <w:t>设施</w:t>
      </w:r>
      <w:r>
        <w:rPr>
          <w:rFonts w:hint="eastAsia" w:ascii="宋体" w:hAnsi="宋体" w:cs="宋体"/>
          <w:color w:val="auto"/>
          <w:szCs w:val="21"/>
          <w:highlight w:val="none"/>
        </w:rPr>
        <w:t>保护</w:t>
      </w:r>
      <w:r>
        <w:rPr>
          <w:rFonts w:hint="eastAsia" w:ascii="宋体" w:hAnsi="宋体" w:cs="宋体"/>
          <w:color w:val="auto"/>
          <w:szCs w:val="21"/>
          <w:highlight w:val="none"/>
          <w:lang w:val="en-US" w:eastAsia="zh-CN"/>
        </w:rPr>
        <w:t>等工作。</w:t>
      </w:r>
    </w:p>
    <w:p>
      <w:pPr>
        <w:widowControl/>
        <w:shd w:val="clear" w:color="auto" w:fill="FFFFFF"/>
        <w:tabs>
          <w:tab w:val="left" w:pos="2908"/>
        </w:tabs>
        <w:spacing w:line="360" w:lineRule="auto"/>
        <w:ind w:firstLine="371" w:firstLineChars="177"/>
        <w:jc w:val="left"/>
        <w:rPr>
          <w:color w:val="auto"/>
          <w:highlight w:val="none"/>
        </w:rPr>
      </w:pPr>
      <w:r>
        <w:rPr>
          <w:rFonts w:hint="eastAsia" w:ascii="宋体" w:hAnsi="宋体" w:cs="宋体"/>
          <w:color w:val="auto"/>
          <w:szCs w:val="21"/>
          <w:highlight w:val="none"/>
        </w:rPr>
        <w:t>4.主要材料清单及品牌需求</w:t>
      </w:r>
    </w:p>
    <w:tbl>
      <w:tblPr>
        <w:tblStyle w:val="54"/>
        <w:tblpPr w:leftFromText="180" w:rightFromText="180" w:vertAnchor="text" w:horzAnchor="page" w:tblpX="610" w:tblpY="489"/>
        <w:tblOverlap w:val="never"/>
        <w:tblW w:w="9873" w:type="dxa"/>
        <w:tblInd w:w="0" w:type="dxa"/>
        <w:tblLayout w:type="fixed"/>
        <w:tblCellMar>
          <w:top w:w="0" w:type="dxa"/>
          <w:left w:w="108" w:type="dxa"/>
          <w:bottom w:w="0" w:type="dxa"/>
          <w:right w:w="108" w:type="dxa"/>
        </w:tblCellMar>
      </w:tblPr>
      <w:tblGrid>
        <w:gridCol w:w="797"/>
        <w:gridCol w:w="2902"/>
        <w:gridCol w:w="927"/>
        <w:gridCol w:w="747"/>
        <w:gridCol w:w="4500"/>
      </w:tblGrid>
      <w:tr>
        <w:tblPrEx>
          <w:tblCellMar>
            <w:top w:w="0" w:type="dxa"/>
            <w:left w:w="108" w:type="dxa"/>
            <w:bottom w:w="0" w:type="dxa"/>
            <w:right w:w="108" w:type="dxa"/>
          </w:tblCellMar>
        </w:tblPrEx>
        <w:trPr>
          <w:trHeight w:val="285" w:hRule="atLeast"/>
        </w:trPr>
        <w:tc>
          <w:tcPr>
            <w:tcW w:w="797"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序号</w:t>
            </w:r>
          </w:p>
        </w:tc>
        <w:tc>
          <w:tcPr>
            <w:tcW w:w="2902" w:type="dxa"/>
            <w:tcBorders>
              <w:top w:val="single" w:color="auto" w:sz="4" w:space="0"/>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设备名称</w:t>
            </w:r>
          </w:p>
        </w:tc>
        <w:tc>
          <w:tcPr>
            <w:tcW w:w="927" w:type="dxa"/>
            <w:tcBorders>
              <w:top w:val="single" w:color="auto" w:sz="4" w:space="0"/>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单位</w:t>
            </w:r>
          </w:p>
        </w:tc>
        <w:tc>
          <w:tcPr>
            <w:tcW w:w="747" w:type="dxa"/>
            <w:tcBorders>
              <w:top w:val="single" w:color="auto" w:sz="4" w:space="0"/>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数量</w:t>
            </w:r>
          </w:p>
        </w:tc>
        <w:tc>
          <w:tcPr>
            <w:tcW w:w="4500" w:type="dxa"/>
            <w:tcBorders>
              <w:top w:val="single" w:color="auto" w:sz="4" w:space="0"/>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参考品牌</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或相当于</w:t>
            </w:r>
            <w:r>
              <w:rPr>
                <w:rFonts w:hint="eastAsia" w:ascii="宋体" w:hAnsi="宋体" w:cs="宋体"/>
                <w:color w:val="auto"/>
                <w:szCs w:val="21"/>
                <w:highlight w:val="none"/>
                <w:lang w:eastAsia="zh-CN"/>
              </w:rPr>
              <w:t>）</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一</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小间距LED显示系统</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506"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小间距LED屏幕</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平方</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kern w:val="0"/>
                <w:sz w:val="24"/>
                <w:highlight w:val="none"/>
                <w:lang w:bidi="ar"/>
              </w:rPr>
              <w:t>40</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利亚德、洲明、希达、雷曼</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海康威视、九洲光电同等档次品牌</w:t>
            </w:r>
          </w:p>
        </w:tc>
      </w:tr>
      <w:tr>
        <w:tblPrEx>
          <w:tblCellMar>
            <w:top w:w="0" w:type="dxa"/>
            <w:left w:w="108" w:type="dxa"/>
            <w:bottom w:w="0" w:type="dxa"/>
            <w:right w:w="108" w:type="dxa"/>
          </w:tblCellMar>
        </w:tblPrEx>
        <w:trPr>
          <w:trHeight w:val="912"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2</w:t>
            </w:r>
          </w:p>
        </w:tc>
        <w:tc>
          <w:tcPr>
            <w:tcW w:w="2902"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LED屏控制系统（含双路电源及双路信号接收发送）</w:t>
            </w:r>
          </w:p>
        </w:tc>
        <w:tc>
          <w:tcPr>
            <w:tcW w:w="927"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套</w:t>
            </w:r>
          </w:p>
        </w:tc>
        <w:tc>
          <w:tcPr>
            <w:tcW w:w="747"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shd w:val="clear" w:color="auto" w:fill="auto"/>
            <w:noWrap/>
            <w:vAlign w:val="center"/>
          </w:tcPr>
          <w:p>
            <w:pPr>
              <w:widowControl/>
              <w:shd w:val="clear" w:color="auto" w:fill="FFFFFF"/>
              <w:tabs>
                <w:tab w:val="left" w:pos="892"/>
              </w:tabs>
              <w:spacing w:line="360" w:lineRule="auto"/>
              <w:rPr>
                <w:rFonts w:ascii="宋体" w:hAnsi="宋体" w:cs="宋体"/>
                <w:color w:val="auto"/>
                <w:szCs w:val="21"/>
                <w:highlight w:val="none"/>
              </w:rPr>
            </w:pPr>
            <w:r>
              <w:rPr>
                <w:rFonts w:hint="eastAsia" w:ascii="宋体" w:hAnsi="宋体" w:cs="宋体"/>
                <w:color w:val="auto"/>
                <w:szCs w:val="21"/>
                <w:highlight w:val="none"/>
              </w:rPr>
              <w:t>利亚德、洲明、希达、雷曼</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海康威视、九洲光电同等档次品牌</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3</w:t>
            </w:r>
          </w:p>
        </w:tc>
        <w:tc>
          <w:tcPr>
            <w:tcW w:w="2902"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综合可视化管控平台</w:t>
            </w:r>
          </w:p>
        </w:tc>
        <w:tc>
          <w:tcPr>
            <w:tcW w:w="927"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套</w:t>
            </w:r>
          </w:p>
        </w:tc>
        <w:tc>
          <w:tcPr>
            <w:tcW w:w="747"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shd w:val="clear" w:color="auto" w:fill="auto"/>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lang w:val="en-US" w:eastAsia="zh-CN"/>
              </w:rPr>
              <w:t>与LED大屏同品牌或诺瓦，嗨动、</w:t>
            </w:r>
            <w:r>
              <w:rPr>
                <w:rFonts w:hint="eastAsia" w:ascii="宋体" w:hAnsi="宋体" w:cs="宋体"/>
                <w:color w:val="auto"/>
                <w:szCs w:val="21"/>
                <w:highlight w:val="none"/>
              </w:rPr>
              <w:t>魅视、淳中、小鸟</w:t>
            </w:r>
            <w:r>
              <w:rPr>
                <w:rFonts w:hint="eastAsia" w:ascii="宋体" w:hAnsi="宋体" w:cs="宋体"/>
                <w:color w:val="auto"/>
                <w:szCs w:val="21"/>
                <w:highlight w:val="none"/>
                <w:lang w:val="en-US" w:eastAsia="zh-CN"/>
              </w:rPr>
              <w:t>等同档次品牌。</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4</w:t>
            </w:r>
          </w:p>
        </w:tc>
        <w:tc>
          <w:tcPr>
            <w:tcW w:w="2902"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分布式输入节点</w:t>
            </w:r>
          </w:p>
        </w:tc>
        <w:tc>
          <w:tcPr>
            <w:tcW w:w="927"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台</w:t>
            </w:r>
          </w:p>
        </w:tc>
        <w:tc>
          <w:tcPr>
            <w:tcW w:w="747"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≥8</w:t>
            </w:r>
          </w:p>
        </w:tc>
        <w:tc>
          <w:tcPr>
            <w:tcW w:w="4500" w:type="dxa"/>
            <w:tcBorders>
              <w:top w:val="nil"/>
              <w:left w:val="nil"/>
              <w:bottom w:val="single" w:color="auto" w:sz="4" w:space="0"/>
              <w:right w:val="single" w:color="auto" w:sz="4" w:space="0"/>
            </w:tcBorders>
            <w:shd w:val="clear" w:color="auto" w:fill="auto"/>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lang w:val="en-US" w:eastAsia="zh-CN"/>
              </w:rPr>
              <w:t>与LED大屏同品牌或诺瓦，嗨动、</w:t>
            </w:r>
            <w:r>
              <w:rPr>
                <w:rFonts w:hint="eastAsia" w:ascii="宋体" w:hAnsi="宋体" w:cs="宋体"/>
                <w:color w:val="auto"/>
                <w:szCs w:val="21"/>
                <w:highlight w:val="none"/>
              </w:rPr>
              <w:t>魅视、淳中、小鸟</w:t>
            </w:r>
            <w:r>
              <w:rPr>
                <w:rFonts w:hint="eastAsia" w:ascii="宋体" w:hAnsi="宋体" w:cs="宋体"/>
                <w:color w:val="auto"/>
                <w:szCs w:val="21"/>
                <w:highlight w:val="none"/>
                <w:lang w:val="en-US" w:eastAsia="zh-CN"/>
              </w:rPr>
              <w:t>等同档次品牌。</w:t>
            </w:r>
          </w:p>
        </w:tc>
      </w:tr>
      <w:tr>
        <w:tblPrEx>
          <w:tblCellMar>
            <w:top w:w="0" w:type="dxa"/>
            <w:left w:w="108" w:type="dxa"/>
            <w:bottom w:w="0" w:type="dxa"/>
            <w:right w:w="108" w:type="dxa"/>
          </w:tblCellMar>
        </w:tblPrEx>
        <w:trPr>
          <w:trHeight w:val="510"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5</w:t>
            </w:r>
          </w:p>
        </w:tc>
        <w:tc>
          <w:tcPr>
            <w:tcW w:w="2902"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分布式输出节点（</w:t>
            </w:r>
            <w:r>
              <w:rPr>
                <w:rFonts w:hint="eastAsia" w:ascii="宋体" w:hAnsi="宋体" w:cs="宋体"/>
                <w:color w:val="auto"/>
                <w:szCs w:val="21"/>
                <w:highlight w:val="none"/>
                <w:lang w:val="en-US" w:eastAsia="zh-CN"/>
              </w:rPr>
              <w:t>满足LED</w:t>
            </w:r>
            <w:r>
              <w:rPr>
                <w:rFonts w:hint="eastAsia" w:ascii="宋体" w:hAnsi="宋体" w:cs="宋体"/>
                <w:color w:val="auto"/>
                <w:szCs w:val="21"/>
                <w:highlight w:val="none"/>
              </w:rPr>
              <w:t>双路信号输出）</w:t>
            </w:r>
          </w:p>
        </w:tc>
        <w:tc>
          <w:tcPr>
            <w:tcW w:w="927"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台</w:t>
            </w:r>
          </w:p>
        </w:tc>
        <w:tc>
          <w:tcPr>
            <w:tcW w:w="747" w:type="dxa"/>
            <w:tcBorders>
              <w:top w:val="nil"/>
              <w:left w:val="nil"/>
              <w:bottom w:val="single" w:color="auto" w:sz="4" w:space="0"/>
              <w:right w:val="single" w:color="auto" w:sz="4" w:space="0"/>
            </w:tcBorders>
            <w:shd w:val="clear" w:color="auto" w:fill="auto"/>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≥14</w:t>
            </w:r>
          </w:p>
        </w:tc>
        <w:tc>
          <w:tcPr>
            <w:tcW w:w="4500" w:type="dxa"/>
            <w:tcBorders>
              <w:top w:val="nil"/>
              <w:left w:val="nil"/>
              <w:bottom w:val="single" w:color="auto" w:sz="4" w:space="0"/>
              <w:right w:val="single" w:color="auto" w:sz="4" w:space="0"/>
            </w:tcBorders>
            <w:shd w:val="clear" w:color="auto" w:fill="auto"/>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lang w:val="en-US" w:eastAsia="zh-CN"/>
              </w:rPr>
              <w:t>与LED大屏同品牌或诺瓦，嗨动、</w:t>
            </w:r>
            <w:r>
              <w:rPr>
                <w:rFonts w:hint="eastAsia" w:ascii="宋体" w:hAnsi="宋体" w:cs="宋体"/>
                <w:color w:val="auto"/>
                <w:szCs w:val="21"/>
                <w:highlight w:val="none"/>
              </w:rPr>
              <w:t>魅视、淳中、小鸟</w:t>
            </w:r>
            <w:r>
              <w:rPr>
                <w:rFonts w:hint="eastAsia" w:ascii="宋体" w:hAnsi="宋体" w:cs="宋体"/>
                <w:color w:val="auto"/>
                <w:szCs w:val="21"/>
                <w:highlight w:val="none"/>
                <w:lang w:val="en-US" w:eastAsia="zh-CN"/>
              </w:rPr>
              <w:t>等同档次品牌。</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6</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辅屏</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块</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2</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kern w:val="0"/>
                <w:szCs w:val="21"/>
                <w:highlight w:val="none"/>
              </w:rPr>
              <w:t>皓丽、MAXHUB、京东方</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7</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无线控制端</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个</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3</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苹果、华为</w:t>
            </w:r>
            <w:r>
              <w:rPr>
                <w:rFonts w:hint="eastAsia"/>
                <w:color w:val="auto"/>
                <w:highlight w:val="none"/>
              </w:rPr>
              <w:t>、小米</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8</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控制服务器</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台</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DELL</w:t>
            </w:r>
            <w:r>
              <w:rPr>
                <w:rFonts w:hint="eastAsia" w:ascii="宋体" w:hAnsi="宋体" w:cs="宋体"/>
                <w:color w:val="auto"/>
                <w:szCs w:val="21"/>
                <w:highlight w:val="none"/>
                <w:lang w:eastAsia="zh-CN"/>
              </w:rPr>
              <w:t>、</w:t>
            </w:r>
            <w:r>
              <w:rPr>
                <w:rFonts w:hint="eastAsia" w:ascii="宋体" w:hAnsi="宋体" w:cs="宋体"/>
                <w:color w:val="auto"/>
                <w:szCs w:val="21"/>
                <w:highlight w:val="none"/>
              </w:rPr>
              <w:t>联想</w:t>
            </w:r>
            <w:r>
              <w:rPr>
                <w:rFonts w:hint="eastAsia" w:ascii="宋体" w:hAnsi="宋体" w:cs="宋体"/>
                <w:color w:val="auto"/>
                <w:szCs w:val="21"/>
                <w:highlight w:val="none"/>
                <w:lang w:eastAsia="zh-CN"/>
              </w:rPr>
              <w:t>、</w:t>
            </w:r>
            <w:r>
              <w:rPr>
                <w:rFonts w:hint="eastAsia" w:ascii="宋体" w:hAnsi="宋体" w:cs="宋体"/>
                <w:color w:val="auto"/>
                <w:szCs w:val="21"/>
                <w:highlight w:val="none"/>
              </w:rPr>
              <w:t>惠普</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二</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配套工程设备</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　</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　</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　</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调音台</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台</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迈达斯M32R</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2</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移动音响</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套</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3</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翻页笔</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个</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2</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Poverpoint Cuc</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4</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集线箱</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套</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康普、AMP、TCL</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5</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二级操作台（三位）</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套</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6</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专用供电线路（ZR-YJV22-5*16)</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项</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天虹、胜宇、珠江</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7</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机柜</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台</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金盾、图腾、大唐</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8</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交换机</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台</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H3C、华为、锐捷　</w:t>
            </w: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9</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主席台地板更换</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项</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10</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玻璃隔热帘或更优措施</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项</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11</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电动导轨幕布</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套</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12</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大屏安装装饰假墙及包边</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项</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285"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13</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音频、视频、网络线路布放</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项</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音频/视频：秋叶原、绿联、胜为</w:t>
            </w:r>
          </w:p>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光纤/网线：康普、安普、TCL</w:t>
            </w:r>
          </w:p>
        </w:tc>
      </w:tr>
      <w:tr>
        <w:tblPrEx>
          <w:tblCellMar>
            <w:top w:w="0" w:type="dxa"/>
            <w:left w:w="108" w:type="dxa"/>
            <w:bottom w:w="0" w:type="dxa"/>
            <w:right w:w="108" w:type="dxa"/>
          </w:tblCellMar>
        </w:tblPrEx>
        <w:trPr>
          <w:trHeight w:val="510" w:hRule="atLeast"/>
        </w:trPr>
        <w:tc>
          <w:tcPr>
            <w:tcW w:w="797" w:type="dxa"/>
            <w:tcBorders>
              <w:top w:val="nil"/>
              <w:left w:val="single" w:color="auto" w:sz="4" w:space="0"/>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14</w:t>
            </w:r>
          </w:p>
        </w:tc>
        <w:tc>
          <w:tcPr>
            <w:tcW w:w="2902"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拆除原有背景墙、主席台地板及垃圾清运</w:t>
            </w:r>
          </w:p>
        </w:tc>
        <w:tc>
          <w:tcPr>
            <w:tcW w:w="92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项</w:t>
            </w:r>
          </w:p>
        </w:tc>
        <w:tc>
          <w:tcPr>
            <w:tcW w:w="747" w:type="dxa"/>
            <w:tcBorders>
              <w:top w:val="nil"/>
              <w:left w:val="nil"/>
              <w:bottom w:val="single" w:color="auto" w:sz="4" w:space="0"/>
              <w:right w:val="single" w:color="auto" w:sz="4" w:space="0"/>
            </w:tcBorders>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w:t>
            </w:r>
          </w:p>
        </w:tc>
        <w:tc>
          <w:tcPr>
            <w:tcW w:w="4500" w:type="dxa"/>
            <w:tcBorders>
              <w:top w:val="nil"/>
              <w:left w:val="nil"/>
              <w:bottom w:val="single" w:color="auto" w:sz="4" w:space="0"/>
              <w:right w:val="single" w:color="auto" w:sz="4" w:space="0"/>
            </w:tcBorders>
            <w:noWrap/>
            <w:vAlign w:val="center"/>
          </w:tcPr>
          <w:p>
            <w:pPr>
              <w:widowControl/>
              <w:shd w:val="clear" w:color="auto" w:fill="FFFFFF"/>
              <w:tabs>
                <w:tab w:val="left" w:pos="2908"/>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　</w:t>
            </w:r>
          </w:p>
        </w:tc>
      </w:tr>
    </w:tbl>
    <w:p>
      <w:pPr>
        <w:rPr>
          <w:color w:val="auto"/>
          <w:highlight w:val="none"/>
        </w:rPr>
      </w:pPr>
    </w:p>
    <w:p>
      <w:pPr>
        <w:pStyle w:val="21"/>
        <w:spacing w:line="360" w:lineRule="auto"/>
        <w:ind w:firstLine="420" w:firstLineChars="200"/>
        <w:rPr>
          <w:rFonts w:hint="eastAsia" w:ascii="宋体" w:hAnsi="宋体" w:cs="宋体"/>
          <w:color w:val="auto"/>
          <w:sz w:val="21"/>
          <w:szCs w:val="21"/>
          <w:highlight w:val="none"/>
          <w:lang w:val="zh-CN"/>
        </w:rPr>
      </w:pPr>
      <w:r>
        <w:rPr>
          <w:rFonts w:hint="eastAsia" w:ascii="宋体" w:hAnsi="宋体" w:cs="宋体"/>
          <w:color w:val="auto"/>
          <w:sz w:val="21"/>
          <w:szCs w:val="21"/>
          <w:highlight w:val="none"/>
          <w:lang w:val="zh-CN"/>
        </w:rPr>
        <w:t>★投标人须承诺：保证所投设备各项指标与投标响应情况一致，</w:t>
      </w:r>
      <w:r>
        <w:rPr>
          <w:rFonts w:hint="eastAsia" w:ascii="宋体" w:hAnsi="宋体" w:eastAsia="宋体" w:cs="宋体"/>
          <w:color w:val="auto"/>
          <w:sz w:val="21"/>
          <w:szCs w:val="21"/>
          <w:highlight w:val="none"/>
          <w:lang w:val="en-US" w:eastAsia="zh-CN"/>
        </w:rPr>
        <w:t>招标人</w:t>
      </w:r>
      <w:r>
        <w:rPr>
          <w:rFonts w:hint="eastAsia" w:ascii="宋体" w:hAnsi="宋体" w:cs="宋体"/>
          <w:color w:val="auto"/>
          <w:sz w:val="21"/>
          <w:szCs w:val="21"/>
          <w:highlight w:val="none"/>
          <w:lang w:val="zh-CN"/>
        </w:rPr>
        <w:t>有权对中标人所提供的设备进行功能和性能测试，有权要求中标人按投标文件响应情况提供检测报告或证书原件。若出现实际供货产品与投标响应不一致的，</w:t>
      </w:r>
      <w:r>
        <w:rPr>
          <w:rFonts w:hint="eastAsia" w:ascii="宋体" w:hAnsi="宋体" w:eastAsia="宋体" w:cs="宋体"/>
          <w:color w:val="auto"/>
          <w:sz w:val="21"/>
          <w:szCs w:val="21"/>
          <w:highlight w:val="none"/>
          <w:lang w:val="en-US" w:eastAsia="zh-CN"/>
        </w:rPr>
        <w:t>招标人</w:t>
      </w:r>
      <w:r>
        <w:rPr>
          <w:rFonts w:hint="eastAsia" w:ascii="宋体" w:hAnsi="宋体" w:cs="宋体"/>
          <w:color w:val="auto"/>
          <w:sz w:val="21"/>
          <w:szCs w:val="21"/>
          <w:highlight w:val="none"/>
          <w:lang w:val="zh-CN"/>
        </w:rPr>
        <w:t>有权将中标人涉嫌虚假响应的实际情况上报监督管理部门，由此引起的后果由中标人承担。（投标时提供承诺书，格式自拟）</w:t>
      </w:r>
    </w:p>
    <w:p>
      <w:pPr>
        <w:pStyle w:val="21"/>
        <w:spacing w:line="360" w:lineRule="auto"/>
        <w:ind w:firstLine="420" w:firstLineChars="200"/>
        <w:rPr>
          <w:rFonts w:hint="default" w:ascii="宋体" w:hAnsi="宋体" w:cs="宋体"/>
          <w:color w:val="auto"/>
          <w:sz w:val="21"/>
          <w:szCs w:val="21"/>
          <w:highlight w:val="none"/>
          <w:lang w:val="en-US"/>
        </w:rPr>
      </w:pPr>
    </w:p>
    <w:p>
      <w:pPr>
        <w:pStyle w:val="21"/>
        <w:spacing w:line="360" w:lineRule="auto"/>
        <w:ind w:firstLine="420" w:firstLineChars="200"/>
        <w:rPr>
          <w:rFonts w:hint="eastAsia" w:ascii="宋体" w:hAnsi="宋体" w:eastAsia="宋体" w:cs="宋体"/>
          <w:color w:val="auto"/>
          <w:sz w:val="21"/>
          <w:szCs w:val="21"/>
          <w:highlight w:val="none"/>
          <w:lang w:val="en-US" w:eastAsia="zh-CN"/>
        </w:rPr>
      </w:pPr>
    </w:p>
    <w:p>
      <w:pPr>
        <w:shd w:val="clear" w:color="auto" w:fill="FFFFFF"/>
        <w:tabs>
          <w:tab w:val="left" w:pos="2908"/>
        </w:tabs>
        <w:spacing w:line="360" w:lineRule="auto"/>
        <w:ind w:right="0" w:firstLine="0" w:firstLineChars="0"/>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五</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招标</w:t>
      </w:r>
      <w:r>
        <w:rPr>
          <w:rFonts w:hint="eastAsia" w:ascii="宋体" w:hAnsi="宋体" w:eastAsia="宋体" w:cs="宋体"/>
          <w:b/>
          <w:bCs/>
          <w:color w:val="auto"/>
          <w:sz w:val="21"/>
          <w:szCs w:val="21"/>
          <w:highlight w:val="none"/>
          <w:lang w:eastAsia="zh-CN"/>
        </w:rPr>
        <w:t>工程的要求</w:t>
      </w:r>
    </w:p>
    <w:p>
      <w:pPr>
        <w:shd w:val="clear" w:color="auto" w:fill="FFFFFF"/>
        <w:tabs>
          <w:tab w:val="left" w:pos="2908"/>
        </w:tabs>
        <w:spacing w:line="360" w:lineRule="auto"/>
        <w:ind w:right="0" w:firstLine="371" w:firstLineChars="177"/>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1.项目设计</w:t>
      </w:r>
    </w:p>
    <w:p>
      <w:pPr>
        <w:pStyle w:val="21"/>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eastAsia="zh-CN"/>
        </w:rPr>
        <w:t>1.1</w:t>
      </w:r>
      <w:r>
        <w:rPr>
          <w:rFonts w:hint="eastAsia" w:ascii="宋体" w:hAnsi="宋体" w:eastAsia="宋体" w:cs="宋体"/>
          <w:color w:val="auto"/>
          <w:sz w:val="21"/>
          <w:szCs w:val="21"/>
          <w:highlight w:val="none"/>
          <w:lang w:val="zh-CN"/>
        </w:rPr>
        <w:t>中标单位必须根据招标</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lang w:val="zh-CN"/>
        </w:rPr>
        <w:t>所提出的意见修改设计方案。</w:t>
      </w:r>
    </w:p>
    <w:p>
      <w:pPr>
        <w:pStyle w:val="21"/>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eastAsia="zh-CN"/>
        </w:rPr>
        <w:t>1.2</w:t>
      </w:r>
      <w:r>
        <w:rPr>
          <w:rFonts w:hint="eastAsia" w:ascii="宋体" w:hAnsi="宋体" w:eastAsia="宋体" w:cs="宋体"/>
          <w:color w:val="auto"/>
          <w:sz w:val="21"/>
          <w:szCs w:val="21"/>
          <w:highlight w:val="none"/>
          <w:lang w:val="zh-CN"/>
        </w:rPr>
        <w:t>设计周期要求：</w:t>
      </w:r>
    </w:p>
    <w:p>
      <w:pPr>
        <w:pStyle w:val="21"/>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（1）概念设计方案阶段：自合同签订之日起，2个日历天内按招标单位提出的需求完成设计方案（投标人应仔细踏勘项目现场，并对项目提供不少于两张的设计效果图）；</w:t>
      </w:r>
    </w:p>
    <w:p>
      <w:pPr>
        <w:pStyle w:val="21"/>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（2）施工图设计阶段：初步设计方案审查合格后7个日历天之内应向招标单位提交满足设计深度要求和施工招标要求的施工图设计文件；</w:t>
      </w:r>
    </w:p>
    <w:p>
      <w:pPr>
        <w:pStyle w:val="21"/>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（3）施工现场配合服务：直至工程通过竣工验收合格。</w:t>
      </w:r>
    </w:p>
    <w:p>
      <w:pPr>
        <w:pStyle w:val="21"/>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eastAsia="zh-CN"/>
        </w:rPr>
        <w:t>1.3</w:t>
      </w:r>
      <w:r>
        <w:rPr>
          <w:rFonts w:hint="eastAsia" w:ascii="宋体" w:hAnsi="宋体" w:eastAsia="宋体" w:cs="宋体"/>
          <w:color w:val="auto"/>
          <w:sz w:val="21"/>
          <w:szCs w:val="21"/>
          <w:highlight w:val="none"/>
          <w:lang w:val="zh-CN"/>
        </w:rPr>
        <w:t>投标人应按国家技术规范、标准、规程和招标人提出的设计要求对项目进行工程设计，按合同要求提交质量合格的设计资料，并对其负责。</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 w:val="21"/>
          <w:szCs w:val="21"/>
          <w:highlight w:val="none"/>
          <w:lang w:val="zh-CN" w:eastAsia="zh-CN"/>
        </w:rPr>
        <w:t>工程量清单要求</w:t>
      </w:r>
    </w:p>
    <w:p>
      <w:pPr>
        <w:shd w:val="clear" w:color="auto" w:fill="FFFFFF"/>
        <w:tabs>
          <w:tab w:val="left" w:pos="2908"/>
        </w:tabs>
        <w:spacing w:line="360" w:lineRule="auto"/>
        <w:ind w:firstLine="371" w:firstLineChars="177"/>
        <w:jc w:val="left"/>
        <w:rPr>
          <w:rFonts w:hint="eastAsia"/>
          <w:color w:val="auto"/>
          <w:highlight w:val="none"/>
          <w:lang w:val="zh-CN"/>
        </w:rPr>
      </w:pPr>
      <w:r>
        <w:rPr>
          <w:rFonts w:hint="eastAsia" w:ascii="宋体" w:hAnsi="宋体" w:eastAsia="宋体" w:cs="宋体"/>
          <w:color w:val="auto"/>
          <w:sz w:val="21"/>
          <w:szCs w:val="21"/>
          <w:highlight w:val="none"/>
          <w:lang w:val="en-US" w:eastAsia="zh-CN"/>
        </w:rPr>
        <w:t>施工图经招标人审核确认后在7个日历天内投标人向招标人提供符合本项目要求的工程量清单。</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.升级改造施工</w:t>
      </w:r>
    </w:p>
    <w:p>
      <w:pPr>
        <w:pStyle w:val="21"/>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.1</w:t>
      </w:r>
      <w:r>
        <w:rPr>
          <w:rFonts w:hint="eastAsia" w:ascii="宋体" w:hAnsi="宋体" w:cs="宋体"/>
          <w:color w:val="auto"/>
          <w:sz w:val="21"/>
          <w:szCs w:val="21"/>
          <w:highlight w:val="none"/>
          <w:lang w:val="en-US" w:eastAsia="zh-CN"/>
        </w:rPr>
        <w:t>为保证项目顺利实施，投标人应派遣项目团队实施本项目，团队人员分工明确，职责清晰，且具有相关经验和能力。</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eastAsia="zh-CN"/>
        </w:rPr>
        <w:t>施工期间须保持安防系统正常运行，因传输线路更换、光纤熔接等施工确需停机时，须提前一天向主管部门报备，在得到同意后方可停机，且停机施工时间须控制在4小时以内，停机施工须安排在夜间进行。</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传输网线（光纤）须绑扎结实并附加标签，确保整齐美观及清晰可辩；电力线路须套管保护，严禁裸露。</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每周一至周五午间时段（12:00--14:00)不许施工。</w:t>
      </w:r>
      <w:r>
        <w:rPr>
          <w:rFonts w:hint="eastAsia" w:ascii="宋体" w:hAnsi="宋体" w:cs="宋体"/>
          <w:color w:val="auto"/>
          <w:szCs w:val="21"/>
          <w:highlight w:val="none"/>
          <w:lang w:val="en-US" w:eastAsia="zh-CN"/>
        </w:rPr>
        <w:t>本项目因工期要求需要</w:t>
      </w:r>
      <w:r>
        <w:rPr>
          <w:rFonts w:hint="eastAsia" w:ascii="宋体" w:hAnsi="宋体" w:eastAsia="宋体" w:cs="宋体"/>
          <w:color w:val="auto"/>
          <w:szCs w:val="21"/>
          <w:highlight w:val="none"/>
          <w:lang w:val="zh-CN"/>
        </w:rPr>
        <w:t>夜间施工，中标人施工期间应当符合国家相关规范的要求，且招标人不再额外支付费用。</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zh-CN" w:eastAsia="zh-CN"/>
        </w:rPr>
        <w:t>需制定详细的施工进度表，合理安排投入施工人员，确保工程按期完工。</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val="zh-CN" w:eastAsia="zh-CN"/>
        </w:rPr>
        <w:t>施工人员须严格遵守南方报业传媒集团相关管理规定，进入大院前须报备，施工期间不得赤身露体、不得无故进入非施工区域。</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.售后服务</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.1中标人在提交竣工验收报告时，应出具质量保修书。质量保修书中应当明确工程的保修范围，保修期限和保修责任等。本项目保修期为验收合格之日</w:t>
      </w:r>
      <w:r>
        <w:rPr>
          <w:rFonts w:hint="eastAsia"/>
          <w:color w:val="auto"/>
          <w:highlight w:val="none"/>
          <w:lang w:val="en-US" w:eastAsia="zh-CN"/>
        </w:rPr>
        <w:t>起</w:t>
      </w:r>
      <w:r>
        <w:rPr>
          <w:rFonts w:hint="eastAsia" w:ascii="宋体" w:hAnsi="宋体" w:eastAsia="宋体" w:cs="宋体"/>
          <w:color w:val="auto"/>
          <w:sz w:val="21"/>
          <w:szCs w:val="21"/>
          <w:highlight w:val="none"/>
          <w:lang w:val="en-US" w:eastAsia="zh-CN"/>
        </w:rPr>
        <w:t>三年</w:t>
      </w:r>
      <w:r>
        <w:rPr>
          <w:rFonts w:hint="eastAsia" w:ascii="宋体" w:hAnsi="宋体" w:eastAsia="宋体" w:cs="宋体"/>
          <w:color w:val="auto"/>
          <w:sz w:val="21"/>
          <w:szCs w:val="21"/>
          <w:highlight w:val="none"/>
          <w:lang w:val="zh-CN" w:eastAsia="zh-CN"/>
        </w:rPr>
        <w:t>。</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.2质保期间，需提供专门对接人员，安排相对固定的技术团队，跟进新建系统设备的运行情况，及时提供上门维修服务，由此产生的一切费用均由中标人承担。</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.3质保期间，对于出现的故障问题，在接到报障通知后，须在2小时内响应并到达现场排除故障，5小时内无法修复故障问题的，须提供替代设备保证正常运行。</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.4质保期内，中标人负责对其提供的整个项目进行维修和维护，不再收取任何费用，但非中标人责任的人为因素、自然因素（如火灾、雷击等）造成的故障除外。</w:t>
      </w:r>
    </w:p>
    <w:p>
      <w:pPr>
        <w:shd w:val="clear" w:color="auto" w:fill="FFFFFF"/>
        <w:tabs>
          <w:tab w:val="left" w:pos="2908"/>
        </w:tabs>
        <w:spacing w:line="360" w:lineRule="auto"/>
        <w:ind w:firstLine="371" w:firstLineChars="177"/>
        <w:jc w:val="left"/>
        <w:rPr>
          <w:rFonts w:hint="eastAsia"/>
          <w:color w:val="auto"/>
          <w:highlight w:val="none"/>
          <w:lang w:val="zh-CN"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.5中标人要安排技术人员对使用方人员进行培训，确保使用方人员正常操作运用系统设备。</w:t>
      </w:r>
    </w:p>
    <w:p>
      <w:pPr>
        <w:shd w:val="clear" w:color="auto" w:fill="FFFFFF"/>
        <w:tabs>
          <w:tab w:val="left" w:pos="2908"/>
        </w:tabs>
        <w:spacing w:line="360" w:lineRule="auto"/>
        <w:ind w:right="0" w:firstLine="0" w:firstLineChars="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lang w:eastAsia="zh-CN"/>
        </w:rPr>
        <w:t>、</w:t>
      </w:r>
      <w:r>
        <w:rPr>
          <w:rFonts w:hint="eastAsia" w:ascii="宋体" w:hAnsi="宋体" w:cs="宋体"/>
          <w:b/>
          <w:bCs/>
          <w:color w:val="auto"/>
          <w:sz w:val="21"/>
          <w:szCs w:val="21"/>
          <w:highlight w:val="none"/>
          <w:lang w:val="en-US" w:eastAsia="zh-CN"/>
        </w:rPr>
        <w:t>合同款</w:t>
      </w:r>
      <w:r>
        <w:rPr>
          <w:rFonts w:hint="eastAsia" w:ascii="宋体" w:hAnsi="宋体" w:eastAsia="宋体" w:cs="宋体"/>
          <w:b/>
          <w:bCs/>
          <w:color w:val="auto"/>
          <w:sz w:val="21"/>
          <w:szCs w:val="21"/>
          <w:highlight w:val="none"/>
          <w:lang w:eastAsia="zh-CN"/>
        </w:rPr>
        <w:t>支付</w:t>
      </w:r>
      <w:r>
        <w:rPr>
          <w:rFonts w:hint="eastAsia" w:ascii="宋体" w:hAnsi="宋体" w:eastAsia="宋体" w:cs="宋体"/>
          <w:b/>
          <w:bCs/>
          <w:color w:val="auto"/>
          <w:sz w:val="21"/>
          <w:szCs w:val="21"/>
          <w:highlight w:val="none"/>
          <w:lang w:val="en-US" w:eastAsia="zh-CN"/>
        </w:rPr>
        <w:t>方式</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1.合同签订后10天内，支付项目款的</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0%为预付款。</w:t>
      </w:r>
    </w:p>
    <w:p>
      <w:pPr>
        <w:shd w:val="clear" w:color="auto" w:fill="FFFFFF"/>
        <w:tabs>
          <w:tab w:val="left" w:pos="2908"/>
        </w:tabs>
        <w:spacing w:line="360" w:lineRule="auto"/>
        <w:ind w:right="0" w:firstLine="371" w:firstLineChars="177"/>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2.主要设备（LED大屏）到货后10天内，支付项目款30%为进度款</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2.</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lang w:val="zh-CN" w:eastAsia="zh-CN"/>
        </w:rPr>
        <w:t>款支付：</w:t>
      </w:r>
      <w:r>
        <w:rPr>
          <w:rFonts w:hint="eastAsia" w:ascii="宋体" w:hAnsi="宋体" w:cs="宋体"/>
          <w:color w:val="auto"/>
          <w:sz w:val="21"/>
          <w:szCs w:val="21"/>
          <w:highlight w:val="none"/>
          <w:lang w:val="en-US" w:eastAsia="zh-CN"/>
        </w:rPr>
        <w:t>项目</w:t>
      </w:r>
      <w:r>
        <w:rPr>
          <w:rFonts w:hint="eastAsia" w:ascii="宋体" w:hAnsi="宋体" w:eastAsia="宋体" w:cs="宋体"/>
          <w:color w:val="auto"/>
          <w:sz w:val="21"/>
          <w:szCs w:val="21"/>
          <w:highlight w:val="none"/>
          <w:lang w:val="zh-CN" w:eastAsia="zh-CN"/>
        </w:rPr>
        <w:t>竣工验收后10天内，支付</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lang w:val="zh-CN" w:eastAsia="zh-CN"/>
        </w:rPr>
        <w:t>款的</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eastAsia="zh-CN"/>
        </w:rPr>
        <w:t>0%。</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3.</w:t>
      </w:r>
      <w:r>
        <w:rPr>
          <w:rFonts w:hint="eastAsia" w:ascii="宋体" w:hAnsi="宋体" w:cs="宋体"/>
          <w:color w:val="auto"/>
          <w:sz w:val="21"/>
          <w:szCs w:val="21"/>
          <w:highlight w:val="none"/>
          <w:lang w:val="en-US" w:eastAsia="zh-CN"/>
        </w:rPr>
        <w:t>项目</w:t>
      </w:r>
      <w:r>
        <w:rPr>
          <w:rFonts w:hint="eastAsia" w:ascii="宋体" w:hAnsi="宋体" w:eastAsia="宋体" w:cs="宋体"/>
          <w:color w:val="auto"/>
          <w:sz w:val="21"/>
          <w:szCs w:val="21"/>
          <w:highlight w:val="none"/>
          <w:lang w:val="zh-CN" w:eastAsia="zh-CN"/>
        </w:rPr>
        <w:t>竣工结算，提交结算书经相关部门/单位/第三方结算审计确认后10天内，支付至结算价的97%。</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4.结算价余款3%，</w:t>
      </w:r>
      <w:r>
        <w:rPr>
          <w:rFonts w:hint="eastAsia" w:ascii="宋体" w:hAnsi="宋体" w:eastAsia="宋体" w:cs="宋体"/>
          <w:color w:val="auto"/>
          <w:kern w:val="2"/>
          <w:sz w:val="21"/>
          <w:szCs w:val="21"/>
          <w:highlight w:val="none"/>
          <w:lang w:val="zh-CN"/>
        </w:rPr>
        <w:t>余款在</w:t>
      </w:r>
      <w:r>
        <w:rPr>
          <w:rFonts w:hint="eastAsia" w:ascii="宋体" w:hAnsi="宋体" w:cs="宋体"/>
          <w:color w:val="auto"/>
          <w:kern w:val="2"/>
          <w:sz w:val="21"/>
          <w:szCs w:val="21"/>
          <w:highlight w:val="none"/>
          <w:lang w:val="en-US" w:eastAsia="zh-CN"/>
        </w:rPr>
        <w:t>项目竣工结算</w:t>
      </w:r>
      <w:r>
        <w:rPr>
          <w:rFonts w:hint="eastAsia" w:ascii="宋体" w:hAnsi="宋体" w:eastAsia="宋体" w:cs="宋体"/>
          <w:color w:val="auto"/>
          <w:kern w:val="2"/>
          <w:sz w:val="21"/>
          <w:szCs w:val="21"/>
          <w:highlight w:val="none"/>
          <w:lang w:val="zh-CN"/>
        </w:rPr>
        <w:t>满</w:t>
      </w:r>
      <w:r>
        <w:rPr>
          <w:rFonts w:hint="eastAsia" w:ascii="宋体" w:hAnsi="宋体" w:eastAsia="宋体" w:cs="宋体"/>
          <w:color w:val="auto"/>
          <w:kern w:val="2"/>
          <w:sz w:val="21"/>
          <w:szCs w:val="21"/>
          <w:highlight w:val="none"/>
          <w:lang w:val="zh-CN" w:eastAsia="zh-CN"/>
        </w:rPr>
        <w:t>后</w:t>
      </w:r>
      <w:r>
        <w:rPr>
          <w:rFonts w:hint="eastAsia" w:ascii="宋体" w:hAnsi="宋体" w:cs="宋体"/>
          <w:color w:val="auto"/>
          <w:kern w:val="2"/>
          <w:sz w:val="21"/>
          <w:szCs w:val="21"/>
          <w:highlight w:val="none"/>
          <w:lang w:val="en-US" w:eastAsia="zh-CN"/>
        </w:rPr>
        <w:t>1年后</w:t>
      </w:r>
      <w:r>
        <w:rPr>
          <w:rFonts w:hint="eastAsia" w:ascii="宋体" w:hAnsi="宋体" w:eastAsia="宋体" w:cs="宋体"/>
          <w:color w:val="auto"/>
          <w:kern w:val="2"/>
          <w:sz w:val="21"/>
          <w:szCs w:val="21"/>
          <w:highlight w:val="none"/>
          <w:lang w:val="zh-CN" w:eastAsia="zh-CN"/>
        </w:rPr>
        <w:t>中标人无违约行为情形下</w:t>
      </w:r>
      <w:r>
        <w:rPr>
          <w:rFonts w:hint="eastAsia" w:ascii="宋体" w:hAnsi="宋体" w:eastAsia="宋体" w:cs="宋体"/>
          <w:color w:val="auto"/>
          <w:kern w:val="2"/>
          <w:sz w:val="21"/>
          <w:szCs w:val="21"/>
          <w:highlight w:val="none"/>
          <w:lang w:val="zh-CN"/>
        </w:rPr>
        <w:t>无息付清。</w:t>
      </w:r>
    </w:p>
    <w:p>
      <w:pPr>
        <w:shd w:val="clear" w:color="auto" w:fill="FFFFFF"/>
        <w:tabs>
          <w:tab w:val="left" w:pos="2908"/>
        </w:tabs>
        <w:spacing w:line="360" w:lineRule="auto"/>
        <w:ind w:right="0" w:firstLine="371" w:firstLineChars="177"/>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lang w:val="zh-CN" w:eastAsia="zh-CN"/>
        </w:rPr>
        <w:t>5.上述每阶段中标人均须提供增值税专用发票。</w:t>
      </w:r>
    </w:p>
    <w:p>
      <w:pPr>
        <w:shd w:val="clear" w:color="auto" w:fill="FFFFFF"/>
        <w:tabs>
          <w:tab w:val="left" w:pos="2908"/>
        </w:tabs>
        <w:spacing w:line="360" w:lineRule="auto"/>
        <w:ind w:right="0" w:firstLine="0" w:firstLineChars="0"/>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七</w:t>
      </w:r>
      <w:r>
        <w:rPr>
          <w:rFonts w:hint="eastAsia" w:ascii="宋体" w:hAnsi="宋体" w:eastAsia="宋体" w:cs="宋体"/>
          <w:b/>
          <w:bCs/>
          <w:color w:val="auto"/>
          <w:sz w:val="21"/>
          <w:szCs w:val="21"/>
          <w:highlight w:val="none"/>
          <w:lang w:eastAsia="zh-CN"/>
        </w:rPr>
        <w:t>、承包方式</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本</w:t>
      </w:r>
      <w:r>
        <w:rPr>
          <w:rFonts w:hint="eastAsia" w:ascii="宋体" w:hAnsi="宋体" w:cs="宋体"/>
          <w:color w:val="auto"/>
          <w:sz w:val="21"/>
          <w:szCs w:val="21"/>
          <w:highlight w:val="none"/>
          <w:lang w:val="en-US" w:eastAsia="zh-CN"/>
        </w:rPr>
        <w:t>项目</w:t>
      </w:r>
      <w:r>
        <w:rPr>
          <w:rFonts w:hint="eastAsia" w:ascii="宋体" w:hAnsi="宋体" w:eastAsia="宋体" w:cs="宋体"/>
          <w:color w:val="auto"/>
          <w:sz w:val="21"/>
          <w:szCs w:val="21"/>
          <w:highlight w:val="none"/>
          <w:lang w:val="zh-CN" w:eastAsia="zh-CN"/>
        </w:rPr>
        <w:t>采用总价包干的形式，投标人根据招标人提供的需求内容进行投标报价，以汇总价格作为总包价格。投标人所填写的总包价格在合同实施期间不因任何客观条件变化而变动，投标人在计算报价时应考虑其风险系数。总包价格包括投标人中标后为完成合同工程范围及工期的全部需支付的一切费用（包括但不仅限于设计费、物料供应费、施工费、技术支持费等）和拟获得的利润，并考虑应承担的一切风险。</w:t>
      </w:r>
    </w:p>
    <w:p>
      <w:pPr>
        <w:shd w:val="clear" w:color="auto" w:fill="FFFFFF"/>
        <w:tabs>
          <w:tab w:val="left" w:pos="2908"/>
        </w:tabs>
        <w:spacing w:line="360" w:lineRule="auto"/>
        <w:ind w:right="0" w:firstLine="0" w:firstLineChars="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八、其他要求</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1.投标人设计符合相关的建筑、消防规范和标准。</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2.投标人负责该项目的总设计、技术服务(包括技术资料、图纸的提供)、质保期保障等的全部内容及费用，达到招标人要求移交使用为目的。</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eastAsia="zh-CN"/>
        </w:rPr>
        <w:t>.</w:t>
      </w:r>
      <w:r>
        <w:rPr>
          <w:rFonts w:hint="eastAsia" w:ascii="宋体" w:hAnsi="宋体" w:cs="宋体"/>
          <w:color w:val="auto"/>
          <w:sz w:val="21"/>
          <w:szCs w:val="21"/>
          <w:highlight w:val="none"/>
          <w:lang w:val="en-US" w:eastAsia="zh-CN"/>
        </w:rPr>
        <w:t>投标人</w:t>
      </w:r>
      <w:r>
        <w:rPr>
          <w:rFonts w:hint="eastAsia" w:ascii="宋体" w:hAnsi="宋体" w:eastAsia="宋体" w:cs="宋体"/>
          <w:color w:val="auto"/>
          <w:sz w:val="21"/>
          <w:szCs w:val="21"/>
          <w:highlight w:val="none"/>
          <w:lang w:val="zh-CN" w:eastAsia="zh-CN"/>
        </w:rPr>
        <w:t>在施工期间应严格遵守国家、省、市有关防火、防爆和施工安全以及文明施工、夜</w:t>
      </w:r>
      <w:r>
        <w:rPr>
          <w:rFonts w:hint="eastAsia" w:ascii="宋体" w:hAnsi="宋体" w:eastAsia="宋体" w:cs="宋体"/>
          <w:color w:val="auto"/>
          <w:sz w:val="21"/>
          <w:szCs w:val="21"/>
          <w:highlight w:val="none"/>
          <w:lang w:val="en-US" w:eastAsia="zh-CN"/>
        </w:rPr>
        <w:t>间</w:t>
      </w:r>
      <w:r>
        <w:rPr>
          <w:rFonts w:hint="eastAsia" w:ascii="宋体" w:hAnsi="宋体" w:eastAsia="宋体" w:cs="宋体"/>
          <w:color w:val="auto"/>
          <w:sz w:val="21"/>
          <w:szCs w:val="21"/>
          <w:highlight w:val="none"/>
          <w:lang w:val="zh-CN" w:eastAsia="zh-CN"/>
        </w:rPr>
        <w:t>施工、环保和城管等规定，建立规章制度，并承担自身措施不力造成事故责任和发生的费用。</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zh-CN" w:eastAsia="zh-CN"/>
        </w:rPr>
        <w:t>.</w:t>
      </w:r>
      <w:r>
        <w:rPr>
          <w:rFonts w:hint="eastAsia" w:ascii="宋体" w:hAnsi="宋体" w:cs="宋体"/>
          <w:color w:val="auto"/>
          <w:sz w:val="21"/>
          <w:szCs w:val="21"/>
          <w:highlight w:val="none"/>
          <w:lang w:val="en-US" w:eastAsia="zh-CN"/>
        </w:rPr>
        <w:t>投标人</w:t>
      </w:r>
      <w:r>
        <w:rPr>
          <w:rFonts w:hint="eastAsia" w:ascii="宋体" w:hAnsi="宋体" w:eastAsia="宋体" w:cs="宋体"/>
          <w:color w:val="auto"/>
          <w:sz w:val="21"/>
          <w:szCs w:val="21"/>
          <w:highlight w:val="none"/>
          <w:lang w:val="en-US" w:eastAsia="zh-CN"/>
        </w:rPr>
        <w:t>应在施工前向有关部门了解施工现场其他设备情况，并在施工时加以保护。施工过程中损坏其他设备所造成的损失概由</w:t>
      </w:r>
      <w:r>
        <w:rPr>
          <w:rFonts w:hint="eastAsia" w:ascii="宋体" w:hAnsi="宋体" w:cs="宋体"/>
          <w:color w:val="auto"/>
          <w:sz w:val="21"/>
          <w:szCs w:val="21"/>
          <w:highlight w:val="none"/>
          <w:lang w:val="en-US" w:eastAsia="zh-CN"/>
        </w:rPr>
        <w:t>投标人</w:t>
      </w:r>
      <w:r>
        <w:rPr>
          <w:rFonts w:hint="eastAsia" w:ascii="宋体" w:hAnsi="宋体" w:eastAsia="宋体" w:cs="宋体"/>
          <w:color w:val="auto"/>
          <w:sz w:val="21"/>
          <w:szCs w:val="21"/>
          <w:highlight w:val="none"/>
          <w:lang w:val="en-US" w:eastAsia="zh-CN"/>
        </w:rPr>
        <w:t>负责。</w:t>
      </w:r>
    </w:p>
    <w:p>
      <w:pPr>
        <w:shd w:val="clear" w:color="auto" w:fill="FFFFFF"/>
        <w:tabs>
          <w:tab w:val="left" w:pos="2908"/>
        </w:tabs>
        <w:spacing w:line="360" w:lineRule="auto"/>
        <w:ind w:right="0" w:firstLine="371" w:firstLineChars="177"/>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5.所有投标资料均不作退回。</w:t>
      </w:r>
    </w:p>
    <w:p>
      <w:pPr>
        <w:shd w:val="clear" w:color="auto" w:fill="FFFFFF"/>
        <w:tabs>
          <w:tab w:val="left" w:pos="2908"/>
        </w:tabs>
        <w:spacing w:line="360" w:lineRule="auto"/>
        <w:ind w:firstLine="371" w:firstLineChars="177"/>
        <w:jc w:val="left"/>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zh-CN"/>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Cs w:val="21"/>
          <w:highlight w:val="none"/>
          <w:lang w:val="en-US" w:eastAsia="zh-CN"/>
        </w:rPr>
        <w:t>根据招标文件规定，本项目需提供样品演示，</w:t>
      </w:r>
      <w:r>
        <w:rPr>
          <w:rFonts w:hint="eastAsia" w:ascii="宋体" w:hAnsi="宋体" w:cs="宋体"/>
          <w:color w:val="auto"/>
          <w:sz w:val="21"/>
          <w:szCs w:val="21"/>
          <w:highlight w:val="none"/>
          <w:lang w:val="zh-CN"/>
        </w:rPr>
        <w:t>演示的设备需与投标型号完全一致。</w:t>
      </w:r>
      <w:r>
        <w:rPr>
          <w:rFonts w:hint="eastAsia" w:ascii="宋体" w:hAnsi="宋体" w:eastAsia="宋体" w:cs="宋体"/>
          <w:color w:val="auto"/>
          <w:szCs w:val="21"/>
          <w:highlight w:val="none"/>
          <w:lang w:val="en-US" w:eastAsia="zh-CN"/>
        </w:rPr>
        <w:t>投标人应在投标截止时间前完成安装调试工作。</w:t>
      </w:r>
    </w:p>
    <w:p>
      <w:pPr>
        <w:shd w:val="clear" w:color="auto" w:fill="FFFFFF"/>
        <w:tabs>
          <w:tab w:val="left" w:pos="2908"/>
        </w:tabs>
        <w:spacing w:line="360" w:lineRule="auto"/>
        <w:ind w:firstLine="371" w:firstLineChars="177"/>
        <w:jc w:val="left"/>
        <w:rPr>
          <w:rFonts w:hint="eastAsia" w:ascii="宋体" w:hAnsi="宋体" w:eastAsia="宋体" w:cs="宋体"/>
          <w:bCs w:val="0"/>
          <w:color w:val="auto"/>
          <w:kern w:val="2"/>
          <w:szCs w:val="21"/>
          <w:highlight w:val="none"/>
        </w:rPr>
      </w:pPr>
      <w:r>
        <w:rPr>
          <w:rFonts w:hint="eastAsia" w:ascii="宋体" w:hAnsi="宋体" w:eastAsia="宋体" w:cs="宋体"/>
          <w:color w:val="auto"/>
          <w:szCs w:val="21"/>
          <w:highlight w:val="none"/>
          <w:lang w:val="en-US" w:eastAsia="zh-CN"/>
        </w:rPr>
        <w:t>投标样品安装地点：</w:t>
      </w:r>
      <w:r>
        <w:rPr>
          <w:rFonts w:hint="eastAsia" w:ascii="宋体" w:hAnsi="宋体" w:eastAsia="宋体" w:cs="宋体"/>
          <w:color w:val="auto"/>
          <w:szCs w:val="21"/>
          <w:highlight w:val="none"/>
          <w:lang w:eastAsia="zh-CN"/>
        </w:rPr>
        <w:t>南方报业传媒集团</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号楼</w:t>
      </w:r>
      <w:r>
        <w:rPr>
          <w:rFonts w:hint="eastAsia" w:ascii="宋体" w:hAnsi="宋体" w:eastAsia="宋体" w:cs="宋体"/>
          <w:bCs w:val="0"/>
          <w:color w:val="auto"/>
          <w:kern w:val="2"/>
          <w:szCs w:val="21"/>
          <w:highlight w:val="none"/>
          <w:lang w:val="en-US" w:eastAsia="zh-CN"/>
        </w:rPr>
        <w:t>4层</w:t>
      </w:r>
      <w:r>
        <w:rPr>
          <w:rFonts w:hint="eastAsia" w:ascii="宋体" w:hAnsi="宋体" w:cs="宋体"/>
          <w:color w:val="auto"/>
          <w:sz w:val="21"/>
          <w:szCs w:val="21"/>
          <w:highlight w:val="none"/>
          <w:lang w:val="en-US" w:eastAsia="zh-CN"/>
        </w:rPr>
        <w:t>402报告厅</w:t>
      </w:r>
      <w:r>
        <w:rPr>
          <w:rFonts w:hint="eastAsia" w:ascii="宋体" w:hAnsi="宋体" w:eastAsia="宋体" w:cs="宋体"/>
          <w:bCs w:val="0"/>
          <w:color w:val="auto"/>
          <w:kern w:val="2"/>
          <w:szCs w:val="21"/>
          <w:highlight w:val="none"/>
        </w:rPr>
        <w:t>（地址：</w:t>
      </w:r>
      <w:r>
        <w:rPr>
          <w:rFonts w:hint="eastAsia" w:ascii="宋体" w:hAnsi="宋体" w:eastAsia="宋体" w:cs="宋体"/>
          <w:color w:val="auto"/>
          <w:szCs w:val="21"/>
          <w:highlight w:val="none"/>
          <w:lang w:val="en-US" w:eastAsia="zh-CN"/>
        </w:rPr>
        <w:t>广东省广州市越秀区广州大道中289号</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号楼</w:t>
      </w:r>
      <w:r>
        <w:rPr>
          <w:rFonts w:hint="eastAsia" w:ascii="宋体" w:hAnsi="宋体" w:eastAsia="宋体" w:cs="宋体"/>
          <w:bCs w:val="0"/>
          <w:color w:val="auto"/>
          <w:kern w:val="2"/>
          <w:szCs w:val="21"/>
          <w:highlight w:val="none"/>
          <w:lang w:val="en-US" w:eastAsia="zh-CN"/>
        </w:rPr>
        <w:t>4层</w:t>
      </w:r>
      <w:r>
        <w:rPr>
          <w:rFonts w:hint="eastAsia" w:ascii="宋体" w:hAnsi="宋体" w:cs="宋体"/>
          <w:color w:val="auto"/>
          <w:sz w:val="21"/>
          <w:szCs w:val="21"/>
          <w:highlight w:val="none"/>
          <w:lang w:val="en-US" w:eastAsia="zh-CN"/>
        </w:rPr>
        <w:t>402报告厅</w:t>
      </w:r>
      <w:r>
        <w:rPr>
          <w:rFonts w:hint="eastAsia" w:ascii="宋体" w:hAnsi="宋体" w:eastAsia="宋体" w:cs="宋体"/>
          <w:bCs w:val="0"/>
          <w:color w:val="auto"/>
          <w:kern w:val="2"/>
          <w:szCs w:val="21"/>
          <w:highlight w:val="none"/>
        </w:rPr>
        <w:t>）</w:t>
      </w:r>
      <w:bookmarkStart w:id="200" w:name="_GoBack"/>
      <w:bookmarkEnd w:id="200"/>
    </w:p>
    <w:p>
      <w:pPr>
        <w:shd w:val="clear" w:color="auto" w:fill="FFFFFF"/>
        <w:tabs>
          <w:tab w:val="left" w:pos="2908"/>
        </w:tabs>
        <w:spacing w:line="360" w:lineRule="auto"/>
        <w:ind w:firstLine="371" w:firstLineChars="177"/>
        <w:jc w:val="left"/>
        <w:rPr>
          <w:rFonts w:hint="eastAsia" w:ascii="宋体" w:hAnsi="宋体" w:eastAsia="宋体" w:cs="宋体"/>
          <w:bCs w:val="0"/>
          <w:color w:val="auto"/>
          <w:kern w:val="2"/>
          <w:szCs w:val="21"/>
          <w:highlight w:val="none"/>
          <w:lang w:val="en-US" w:eastAsia="zh-CN"/>
        </w:rPr>
      </w:pPr>
      <w:r>
        <w:rPr>
          <w:rFonts w:hint="eastAsia" w:ascii="宋体" w:hAnsi="宋体" w:cs="宋体"/>
          <w:bCs w:val="0"/>
          <w:color w:val="auto"/>
          <w:kern w:val="2"/>
          <w:szCs w:val="21"/>
          <w:highlight w:val="none"/>
          <w:lang w:val="en-US" w:eastAsia="zh-CN"/>
        </w:rPr>
        <w:t>样品</w:t>
      </w:r>
      <w:r>
        <w:rPr>
          <w:rFonts w:hint="eastAsia" w:ascii="宋体" w:hAnsi="宋体" w:eastAsia="宋体" w:cs="宋体"/>
          <w:bCs w:val="0"/>
          <w:color w:val="auto"/>
          <w:kern w:val="2"/>
          <w:szCs w:val="21"/>
          <w:highlight w:val="none"/>
          <w:lang w:val="en-US" w:eastAsia="zh-CN"/>
        </w:rPr>
        <w:t>联系人：廖先生</w:t>
      </w:r>
    </w:p>
    <w:p>
      <w:pPr>
        <w:shd w:val="clear" w:color="auto" w:fill="FFFFFF"/>
        <w:tabs>
          <w:tab w:val="left" w:pos="2908"/>
        </w:tabs>
        <w:spacing w:line="360" w:lineRule="auto"/>
        <w:ind w:firstLine="371" w:firstLineChars="177"/>
        <w:jc w:val="left"/>
        <w:rPr>
          <w:rFonts w:hint="eastAsia" w:ascii="宋体" w:hAnsi="宋体" w:eastAsia="宋体" w:cs="宋体"/>
          <w:color w:val="auto"/>
          <w:szCs w:val="21"/>
          <w:highlight w:val="none"/>
        </w:rPr>
      </w:pPr>
      <w:r>
        <w:rPr>
          <w:rFonts w:hint="eastAsia" w:ascii="宋体" w:hAnsi="宋体" w:eastAsia="宋体" w:cs="宋体"/>
          <w:bCs w:val="0"/>
          <w:color w:val="auto"/>
          <w:kern w:val="2"/>
          <w:szCs w:val="21"/>
          <w:highlight w:val="none"/>
          <w:lang w:val="en-US" w:eastAsia="zh-CN"/>
        </w:rPr>
        <w:t>联系方式：020-83003381（</w:t>
      </w:r>
      <w:r>
        <w:rPr>
          <w:rFonts w:hint="eastAsia" w:ascii="宋体" w:hAnsi="宋体" w:cs="宋体"/>
          <w:bCs w:val="0"/>
          <w:color w:val="auto"/>
          <w:kern w:val="2"/>
          <w:szCs w:val="21"/>
          <w:highlight w:val="none"/>
          <w:lang w:val="en-US" w:eastAsia="zh-CN"/>
        </w:rPr>
        <w:t>2024年8月26日8</w:t>
      </w:r>
      <w:r>
        <w:rPr>
          <w:rFonts w:hint="eastAsia" w:ascii="宋体" w:hAnsi="宋体" w:eastAsia="宋体" w:cs="宋体"/>
          <w:bCs w:val="0"/>
          <w:color w:val="auto"/>
          <w:kern w:val="2"/>
          <w:szCs w:val="21"/>
          <w:highlight w:val="none"/>
          <w:lang w:val="en-US" w:eastAsia="zh-CN"/>
        </w:rPr>
        <w:t>:</w:t>
      </w:r>
      <w:r>
        <w:rPr>
          <w:rFonts w:hint="eastAsia" w:ascii="宋体" w:hAnsi="宋体" w:cs="宋体"/>
          <w:bCs w:val="0"/>
          <w:color w:val="auto"/>
          <w:kern w:val="2"/>
          <w:szCs w:val="21"/>
          <w:highlight w:val="none"/>
          <w:lang w:val="en-US" w:eastAsia="zh-CN"/>
        </w:rPr>
        <w:t>3</w:t>
      </w:r>
      <w:r>
        <w:rPr>
          <w:rFonts w:hint="eastAsia" w:ascii="宋体" w:hAnsi="宋体" w:eastAsia="宋体" w:cs="宋体"/>
          <w:bCs w:val="0"/>
          <w:color w:val="auto"/>
          <w:kern w:val="2"/>
          <w:szCs w:val="21"/>
          <w:highlight w:val="none"/>
          <w:lang w:val="en-US" w:eastAsia="zh-CN"/>
        </w:rPr>
        <w:t>0-</w:t>
      </w:r>
      <w:r>
        <w:rPr>
          <w:rFonts w:hint="eastAsia" w:ascii="宋体" w:hAnsi="宋体" w:cs="宋体"/>
          <w:bCs w:val="0"/>
          <w:color w:val="auto"/>
          <w:kern w:val="2"/>
          <w:szCs w:val="21"/>
          <w:highlight w:val="none"/>
          <w:lang w:val="en-US" w:eastAsia="zh-CN"/>
        </w:rPr>
        <w:t>14</w:t>
      </w:r>
      <w:r>
        <w:rPr>
          <w:rFonts w:hint="eastAsia" w:ascii="宋体" w:hAnsi="宋体" w:eastAsia="宋体" w:cs="宋体"/>
          <w:bCs w:val="0"/>
          <w:color w:val="auto"/>
          <w:kern w:val="2"/>
          <w:szCs w:val="21"/>
          <w:highlight w:val="none"/>
          <w:lang w:val="en-US" w:eastAsia="zh-CN"/>
        </w:rPr>
        <w:t>:00）。</w:t>
      </w:r>
    </w:p>
    <w:p>
      <w:pPr>
        <w:pStyle w:val="21"/>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br w:type="page"/>
      </w:r>
    </w:p>
    <w:p>
      <w:pPr>
        <w:spacing w:line="360" w:lineRule="auto"/>
        <w:ind w:firstLine="482" w:firstLineChars="200"/>
        <w:jc w:val="left"/>
        <w:rPr>
          <w:rFonts w:hint="eastAsia" w:ascii="宋体" w:hAnsi="宋体" w:eastAsia="宋体" w:cs="宋体"/>
          <w:b/>
          <w:color w:val="auto"/>
          <w:kern w:val="0"/>
          <w:sz w:val="48"/>
          <w:szCs w:val="48"/>
          <w:highlight w:val="none"/>
          <w:shd w:val="clear" w:color="auto" w:fill="F8FCFF"/>
        </w:rPr>
      </w:pPr>
      <w:r>
        <w:rPr>
          <w:rFonts w:hint="eastAsia" w:ascii="宋体" w:hAnsi="宋体" w:eastAsia="宋体" w:cs="宋体"/>
          <w:b/>
          <w:bCs/>
          <w:color w:val="auto"/>
          <w:sz w:val="24"/>
          <w:szCs w:val="24"/>
          <w:highlight w:val="none"/>
        </w:rPr>
        <w:t>（合同条款仅供参考，合同具体细则最终以招标人与中标人协定为准， 但不得对招标文件、投标文件作实质性修改）</w:t>
      </w:r>
    </w:p>
    <w:p>
      <w:pPr>
        <w:pStyle w:val="53"/>
        <w:ind w:firstLine="482"/>
        <w:rPr>
          <w:rFonts w:hint="eastAsia" w:ascii="宋体" w:hAnsi="宋体" w:eastAsia="宋体" w:cs="宋体"/>
          <w:b/>
          <w:color w:val="auto"/>
          <w:kern w:val="0"/>
          <w:sz w:val="48"/>
          <w:szCs w:val="48"/>
          <w:highlight w:val="none"/>
          <w:shd w:val="clear" w:color="auto" w:fill="F8FCFF"/>
        </w:rPr>
      </w:pPr>
    </w:p>
    <w:p>
      <w:pPr>
        <w:pStyle w:val="53"/>
        <w:ind w:firstLine="482"/>
        <w:rPr>
          <w:rFonts w:hint="eastAsia" w:ascii="宋体" w:hAnsi="宋体" w:eastAsia="宋体" w:cs="宋体"/>
          <w:b/>
          <w:color w:val="auto"/>
          <w:kern w:val="0"/>
          <w:sz w:val="48"/>
          <w:szCs w:val="48"/>
          <w:highlight w:val="none"/>
          <w:shd w:val="clear" w:color="auto" w:fill="F8FCFF"/>
        </w:rPr>
      </w:pPr>
    </w:p>
    <w:p>
      <w:pPr>
        <w:pStyle w:val="53"/>
        <w:ind w:firstLine="482"/>
        <w:rPr>
          <w:rFonts w:hint="eastAsia" w:ascii="宋体" w:hAnsi="宋体" w:eastAsia="宋体" w:cs="宋体"/>
          <w:b/>
          <w:color w:val="auto"/>
          <w:kern w:val="0"/>
          <w:sz w:val="48"/>
          <w:szCs w:val="48"/>
          <w:highlight w:val="none"/>
          <w:shd w:val="clear" w:color="auto" w:fill="F8FCFF"/>
        </w:rPr>
      </w:pPr>
    </w:p>
    <w:p>
      <w:pPr>
        <w:pStyle w:val="53"/>
        <w:ind w:firstLine="482"/>
        <w:rPr>
          <w:rFonts w:hint="eastAsia" w:ascii="宋体" w:hAnsi="宋体" w:eastAsia="宋体" w:cs="宋体"/>
          <w:b/>
          <w:color w:val="auto"/>
          <w:kern w:val="0"/>
          <w:sz w:val="48"/>
          <w:szCs w:val="48"/>
          <w:highlight w:val="none"/>
          <w:shd w:val="clear" w:color="auto" w:fill="F8FCFF"/>
        </w:rPr>
      </w:pPr>
    </w:p>
    <w:p>
      <w:pPr>
        <w:pStyle w:val="53"/>
        <w:ind w:firstLine="482"/>
        <w:rPr>
          <w:rFonts w:hint="eastAsia" w:ascii="宋体" w:hAnsi="宋体" w:eastAsia="宋体" w:cs="宋体"/>
          <w:b/>
          <w:color w:val="auto"/>
          <w:kern w:val="0"/>
          <w:sz w:val="48"/>
          <w:szCs w:val="48"/>
          <w:highlight w:val="none"/>
          <w:shd w:val="clear" w:color="auto" w:fill="F8FCFF"/>
        </w:rPr>
      </w:pPr>
    </w:p>
    <w:p>
      <w:pPr>
        <w:pStyle w:val="53"/>
        <w:ind w:firstLine="482"/>
        <w:rPr>
          <w:rFonts w:hint="eastAsia" w:ascii="宋体" w:hAnsi="宋体" w:eastAsia="宋体" w:cs="宋体"/>
          <w:b/>
          <w:color w:val="auto"/>
          <w:kern w:val="0"/>
          <w:sz w:val="48"/>
          <w:szCs w:val="48"/>
          <w:highlight w:val="none"/>
          <w:shd w:val="clear" w:color="auto" w:fill="F8FCFF"/>
        </w:rPr>
      </w:pPr>
    </w:p>
    <w:p>
      <w:pPr>
        <w:pStyle w:val="53"/>
        <w:ind w:firstLine="0" w:firstLineChars="0"/>
        <w:rPr>
          <w:rFonts w:hint="eastAsia" w:ascii="宋体" w:hAnsi="宋体" w:eastAsia="宋体" w:cs="宋体"/>
          <w:b/>
          <w:color w:val="auto"/>
          <w:kern w:val="0"/>
          <w:sz w:val="48"/>
          <w:szCs w:val="48"/>
          <w:highlight w:val="none"/>
          <w:shd w:val="clear" w:color="auto" w:fill="F8FCFF"/>
        </w:rPr>
      </w:pPr>
    </w:p>
    <w:p>
      <w:pPr>
        <w:pStyle w:val="264"/>
        <w:jc w:val="center"/>
        <w:rPr>
          <w:rFonts w:hint="eastAsia" w:ascii="宋体" w:hAnsi="宋体" w:eastAsia="宋体" w:cs="宋体"/>
          <w:b/>
          <w:bCs/>
          <w:color w:val="auto"/>
          <w:sz w:val="36"/>
          <w:szCs w:val="36"/>
          <w:highlight w:val="none"/>
        </w:rPr>
      </w:pPr>
    </w:p>
    <w:p>
      <w:pPr>
        <w:pStyle w:val="264"/>
        <w:jc w:val="center"/>
        <w:outlineLvl w:val="0"/>
        <w:rPr>
          <w:rFonts w:hint="eastAsia" w:ascii="宋体" w:hAnsi="宋体" w:eastAsia="宋体" w:cs="宋体"/>
          <w:b/>
          <w:bCs/>
          <w:color w:val="auto"/>
          <w:sz w:val="36"/>
          <w:szCs w:val="36"/>
          <w:highlight w:val="none"/>
        </w:rPr>
      </w:pPr>
      <w:bookmarkStart w:id="76" w:name="_Toc30591"/>
      <w:r>
        <w:rPr>
          <w:rFonts w:hint="eastAsia" w:ascii="宋体" w:hAnsi="宋体" w:eastAsia="宋体" w:cs="宋体"/>
          <w:b/>
          <w:bCs/>
          <w:color w:val="auto"/>
          <w:sz w:val="36"/>
          <w:szCs w:val="36"/>
          <w:highlight w:val="none"/>
        </w:rPr>
        <w:t>第四章  合同格式（参考）</w:t>
      </w:r>
      <w:bookmarkEnd w:id="76"/>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pStyle w:val="264"/>
        <w:rPr>
          <w:rFonts w:hint="eastAsia" w:ascii="宋体" w:hAnsi="宋体" w:eastAsia="宋体" w:cs="宋体"/>
          <w:color w:val="auto"/>
          <w:highlight w:val="none"/>
        </w:rPr>
      </w:pPr>
    </w:p>
    <w:p>
      <w:pPr>
        <w:spacing w:before="33" w:line="181" w:lineRule="auto"/>
        <w:rPr>
          <w:rFonts w:hint="eastAsia" w:ascii="宋体" w:hAnsi="宋体" w:eastAsia="宋体" w:cs="宋体"/>
          <w:color w:val="auto"/>
          <w:sz w:val="24"/>
          <w:szCs w:val="24"/>
          <w:highlight w:val="none"/>
        </w:rPr>
      </w:pPr>
      <w:r>
        <w:rPr>
          <w:rFonts w:hint="eastAsia" w:ascii="宋体" w:hAnsi="宋体" w:eastAsia="宋体" w:cs="宋体"/>
          <w:color w:val="auto"/>
          <w:highlight w:val="none"/>
        </w:rPr>
        <w:br w:type="page"/>
      </w:r>
    </w:p>
    <w:p>
      <w:pPr>
        <w:spacing w:line="190" w:lineRule="auto"/>
        <w:ind w:left="5917"/>
        <w:rPr>
          <w:rFonts w:hint="eastAsia" w:ascii="宋体" w:hAnsi="宋体" w:eastAsia="宋体" w:cs="宋体"/>
          <w:color w:val="auto"/>
          <w:sz w:val="32"/>
          <w:szCs w:val="32"/>
          <w:highlight w:val="none"/>
        </w:rPr>
      </w:pPr>
    </w:p>
    <w:p>
      <w:pPr>
        <w:spacing w:line="269" w:lineRule="auto"/>
        <w:rPr>
          <w:rFonts w:hint="eastAsia" w:ascii="宋体" w:hAnsi="宋体" w:eastAsia="宋体" w:cs="宋体"/>
          <w:color w:val="auto"/>
          <w:sz w:val="21"/>
          <w:highlight w:val="none"/>
        </w:rPr>
      </w:pPr>
    </w:p>
    <w:p>
      <w:pPr>
        <w:spacing w:line="269" w:lineRule="auto"/>
        <w:rPr>
          <w:rFonts w:hint="eastAsia" w:ascii="宋体" w:hAnsi="宋体" w:eastAsia="宋体" w:cs="宋体"/>
          <w:color w:val="auto"/>
          <w:sz w:val="21"/>
          <w:highlight w:val="none"/>
        </w:rPr>
      </w:pPr>
    </w:p>
    <w:p>
      <w:pPr>
        <w:keepNext w:val="0"/>
        <w:keepLines w:val="0"/>
        <w:widowControl/>
        <w:suppressLineNumbers w:val="0"/>
        <w:ind w:firstLine="0" w:firstLineChars="0"/>
        <w:jc w:val="center"/>
        <w:rPr>
          <w:rFonts w:hint="eastAsia" w:ascii="宋体" w:hAnsi="宋体" w:eastAsia="宋体" w:cs="宋体"/>
          <w:color w:val="auto"/>
          <w:highlight w:val="none"/>
        </w:rPr>
      </w:pPr>
      <w:r>
        <w:rPr>
          <w:rFonts w:hint="eastAsia" w:ascii="宋体" w:hAnsi="宋体" w:eastAsia="宋体" w:cs="宋体"/>
          <w:b/>
          <w:bCs/>
          <w:snapToGrid w:val="0"/>
          <w:color w:val="auto"/>
          <w:kern w:val="0"/>
          <w:sz w:val="52"/>
          <w:szCs w:val="52"/>
          <w:highlight w:val="none"/>
          <w:lang w:val="en-US" w:eastAsia="zh-CN" w:bidi="ar"/>
        </w:rPr>
        <w:t>合 同 书</w:t>
      </w:r>
    </w:p>
    <w:p>
      <w:pPr>
        <w:pStyle w:val="24"/>
        <w:spacing w:before="166" w:line="223" w:lineRule="auto"/>
        <w:ind w:left="2480"/>
        <w:outlineLvl w:val="0"/>
        <w:rPr>
          <w:rFonts w:hint="eastAsia" w:ascii="宋体" w:hAnsi="宋体" w:eastAsia="宋体" w:cs="宋体"/>
          <w:color w:val="auto"/>
          <w:spacing w:val="-49"/>
          <w:w w:val="98"/>
          <w:sz w:val="51"/>
          <w:szCs w:val="51"/>
          <w:highlight w:val="none"/>
        </w:rPr>
      </w:pPr>
    </w:p>
    <w:p>
      <w:pPr>
        <w:spacing w:line="244" w:lineRule="auto"/>
        <w:rPr>
          <w:rFonts w:hint="eastAsia" w:ascii="宋体" w:hAnsi="宋体" w:eastAsia="宋体" w:cs="宋体"/>
          <w:color w:val="auto"/>
          <w:sz w:val="21"/>
          <w:highlight w:val="none"/>
        </w:rPr>
      </w:pPr>
    </w:p>
    <w:p>
      <w:pPr>
        <w:spacing w:line="245" w:lineRule="auto"/>
        <w:rPr>
          <w:rFonts w:hint="eastAsia" w:ascii="宋体" w:hAnsi="宋体" w:eastAsia="宋体" w:cs="宋体"/>
          <w:color w:val="auto"/>
          <w:sz w:val="21"/>
          <w:highlight w:val="none"/>
        </w:rPr>
      </w:pPr>
    </w:p>
    <w:p>
      <w:pPr>
        <w:spacing w:line="245" w:lineRule="auto"/>
        <w:rPr>
          <w:rFonts w:hint="eastAsia" w:ascii="宋体" w:hAnsi="宋体" w:eastAsia="宋体" w:cs="宋体"/>
          <w:color w:val="auto"/>
          <w:sz w:val="21"/>
          <w:highlight w:val="none"/>
        </w:rPr>
      </w:pPr>
    </w:p>
    <w:p>
      <w:pPr>
        <w:spacing w:line="245" w:lineRule="auto"/>
        <w:rPr>
          <w:rFonts w:hint="eastAsia" w:ascii="宋体" w:hAnsi="宋体" w:eastAsia="宋体" w:cs="宋体"/>
          <w:color w:val="auto"/>
          <w:sz w:val="21"/>
          <w:highlight w:val="none"/>
        </w:rPr>
      </w:pPr>
    </w:p>
    <w:p>
      <w:pPr>
        <w:spacing w:line="245" w:lineRule="auto"/>
        <w:rPr>
          <w:rFonts w:hint="eastAsia" w:ascii="宋体" w:hAnsi="宋体" w:eastAsia="宋体" w:cs="宋体"/>
          <w:color w:val="auto"/>
          <w:sz w:val="21"/>
          <w:highlight w:val="none"/>
        </w:rPr>
      </w:pPr>
    </w:p>
    <w:p>
      <w:pPr>
        <w:spacing w:line="245" w:lineRule="auto"/>
        <w:rPr>
          <w:rFonts w:hint="eastAsia" w:ascii="宋体" w:hAnsi="宋体" w:eastAsia="宋体" w:cs="宋体"/>
          <w:color w:val="auto"/>
          <w:sz w:val="21"/>
          <w:highlight w:val="none"/>
        </w:rPr>
      </w:pPr>
    </w:p>
    <w:p>
      <w:pPr>
        <w:spacing w:line="245" w:lineRule="auto"/>
        <w:rPr>
          <w:rFonts w:hint="eastAsia" w:ascii="宋体" w:hAnsi="宋体" w:eastAsia="宋体" w:cs="宋体"/>
          <w:color w:val="auto"/>
          <w:sz w:val="21"/>
          <w:highlight w:val="none"/>
        </w:rPr>
      </w:pPr>
    </w:p>
    <w:p>
      <w:pPr>
        <w:spacing w:line="245" w:lineRule="auto"/>
        <w:rPr>
          <w:rFonts w:hint="eastAsia" w:ascii="宋体" w:hAnsi="宋体" w:eastAsia="宋体" w:cs="宋体"/>
          <w:color w:val="auto"/>
          <w:sz w:val="21"/>
          <w:highlight w:val="none"/>
        </w:rPr>
      </w:pPr>
    </w:p>
    <w:p>
      <w:pPr>
        <w:spacing w:line="245" w:lineRule="auto"/>
        <w:rPr>
          <w:rFonts w:hint="eastAsia" w:ascii="宋体" w:hAnsi="宋体" w:eastAsia="宋体" w:cs="宋体"/>
          <w:color w:val="auto"/>
          <w:sz w:val="21"/>
          <w:highlight w:val="none"/>
        </w:rPr>
      </w:pPr>
    </w:p>
    <w:p>
      <w:pPr>
        <w:spacing w:line="245" w:lineRule="auto"/>
        <w:rPr>
          <w:rFonts w:hint="eastAsia" w:ascii="宋体" w:hAnsi="宋体" w:eastAsia="宋体" w:cs="宋体"/>
          <w:color w:val="auto"/>
          <w:sz w:val="21"/>
          <w:highlight w:val="none"/>
        </w:rPr>
      </w:pPr>
    </w:p>
    <w:p>
      <w:pPr>
        <w:pStyle w:val="24"/>
        <w:tabs>
          <w:tab w:val="left" w:pos="8989"/>
        </w:tabs>
        <w:spacing w:before="104" w:line="378" w:lineRule="auto"/>
        <w:ind w:left="1808" w:right="664"/>
        <w:jc w:val="both"/>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项目</w:t>
      </w:r>
      <w:r>
        <w:rPr>
          <w:rFonts w:hint="eastAsia" w:ascii="宋体" w:hAnsi="宋体" w:eastAsia="宋体" w:cs="宋体"/>
          <w:color w:val="auto"/>
          <w:kern w:val="0"/>
          <w:sz w:val="24"/>
          <w:szCs w:val="24"/>
          <w:highlight w:val="none"/>
          <w:lang w:val="en-US" w:eastAsia="zh-CN" w:bidi="ar-SA"/>
        </w:rPr>
        <w:t>名称：</w:t>
      </w:r>
      <w:r>
        <w:rPr>
          <w:rFonts w:hint="eastAsia" w:ascii="宋体" w:hAnsi="宋体" w:eastAsia="宋体" w:cs="宋体"/>
          <w:color w:val="auto"/>
          <w:kern w:val="0"/>
          <w:sz w:val="24"/>
          <w:szCs w:val="24"/>
          <w:highlight w:val="none"/>
          <w:u w:val="single"/>
          <w:lang w:val="en-US" w:eastAsia="zh-CN" w:bidi="ar-SA"/>
        </w:rPr>
        <w:t xml:space="preserve"> 南方报业传媒集团402报告厅LED显示屏建设项目             </w:t>
      </w:r>
      <w:r>
        <w:rPr>
          <w:rFonts w:hint="eastAsia" w:ascii="宋体" w:hAnsi="宋体" w:eastAsia="宋体" w:cs="宋体"/>
          <w:color w:val="auto"/>
          <w:spacing w:val="-39"/>
          <w:highlight w:val="none"/>
        </w:rPr>
        <w:t xml:space="preserve"> </w:t>
      </w:r>
      <w:r>
        <w:rPr>
          <w:rFonts w:hint="eastAsia" w:ascii="宋体" w:hAnsi="宋体" w:eastAsia="宋体" w:cs="宋体"/>
          <w:color w:val="auto"/>
          <w:spacing w:val="-39"/>
          <w:highlight w:val="none"/>
        </w:rPr>
        <w:tab/>
      </w:r>
      <w:r>
        <w:rPr>
          <w:rFonts w:hint="eastAsia" w:ascii="宋体" w:hAnsi="宋体" w:eastAsia="宋体" w:cs="宋体"/>
          <w:color w:val="auto"/>
          <w:spacing w:val="-39"/>
          <w:highlight w:val="none"/>
        </w:rPr>
        <w:t xml:space="preserve"> </w:t>
      </w:r>
      <w:r>
        <w:rPr>
          <w:rFonts w:hint="eastAsia" w:ascii="宋体" w:hAnsi="宋体" w:cs="宋体"/>
          <w:color w:val="auto"/>
          <w:kern w:val="0"/>
          <w:sz w:val="24"/>
          <w:szCs w:val="24"/>
          <w:highlight w:val="none"/>
          <w:lang w:val="en-US" w:eastAsia="zh-CN" w:bidi="ar-SA"/>
        </w:rPr>
        <w:t>项目</w:t>
      </w:r>
      <w:r>
        <w:rPr>
          <w:rFonts w:hint="eastAsia" w:ascii="宋体" w:hAnsi="宋体" w:eastAsia="宋体" w:cs="宋体"/>
          <w:color w:val="auto"/>
          <w:kern w:val="0"/>
          <w:sz w:val="24"/>
          <w:szCs w:val="24"/>
          <w:highlight w:val="none"/>
          <w:lang w:val="en-US" w:eastAsia="zh-CN" w:bidi="ar-SA"/>
        </w:rPr>
        <w:t>地点：</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eastAsia="zh-CN"/>
        </w:rPr>
        <w:t>广州市越秀区</w:t>
      </w:r>
      <w:r>
        <w:rPr>
          <w:rFonts w:hint="eastAsia" w:ascii="宋体" w:hAnsi="宋体" w:eastAsia="宋体" w:cs="宋体"/>
          <w:color w:val="auto"/>
          <w:kern w:val="0"/>
          <w:sz w:val="24"/>
          <w:szCs w:val="24"/>
          <w:highlight w:val="none"/>
          <w:u w:val="single"/>
          <w:lang w:val="en-US" w:eastAsia="zh-CN"/>
        </w:rPr>
        <w:t>广州大道中289号</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spacing w:val="-39"/>
          <w:highlight w:val="none"/>
        </w:rPr>
        <w:tab/>
      </w:r>
      <w:r>
        <w:rPr>
          <w:rFonts w:hint="eastAsia" w:ascii="宋体" w:hAnsi="宋体" w:eastAsia="宋体" w:cs="宋体"/>
          <w:color w:val="auto"/>
          <w:spacing w:val="-39"/>
          <w:highlight w:val="none"/>
        </w:rPr>
        <w:t xml:space="preserve"> </w:t>
      </w:r>
      <w:r>
        <w:rPr>
          <w:rFonts w:hint="eastAsia" w:ascii="宋体" w:hAnsi="宋体" w:eastAsia="宋体" w:cs="宋体"/>
          <w:color w:val="auto"/>
          <w:kern w:val="0"/>
          <w:sz w:val="24"/>
          <w:szCs w:val="24"/>
          <w:highlight w:val="none"/>
          <w:lang w:val="en-US" w:eastAsia="zh-CN" w:bidi="ar-SA"/>
        </w:rPr>
        <w:t>发 包 人：</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eastAsia="zh-CN"/>
        </w:rPr>
        <w:t>广东南方报业传媒集团有限公司</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 xml:space="preserve">                                    </w:t>
      </w:r>
    </w:p>
    <w:p>
      <w:pPr>
        <w:pStyle w:val="24"/>
        <w:spacing w:line="220" w:lineRule="auto"/>
        <w:ind w:left="1804"/>
        <w:rPr>
          <w:rFonts w:hint="eastAsia" w:ascii="宋体" w:hAnsi="宋体" w:eastAsia="宋体" w:cs="宋体"/>
          <w:color w:val="auto"/>
          <w:highlight w:val="none"/>
          <w:u w:val="single"/>
          <w:lang w:val="en-US"/>
        </w:rPr>
      </w:pPr>
      <w:r>
        <w:rPr>
          <w:rFonts w:hint="eastAsia" w:ascii="宋体" w:hAnsi="宋体" w:eastAsia="宋体" w:cs="宋体"/>
          <w:color w:val="auto"/>
          <w:kern w:val="0"/>
          <w:sz w:val="24"/>
          <w:szCs w:val="24"/>
          <w:highlight w:val="none"/>
          <w:lang w:val="en-US" w:eastAsia="zh-CN" w:bidi="ar-SA"/>
        </w:rPr>
        <w:t>承 包 人：</w:t>
      </w:r>
      <w:r>
        <w:rPr>
          <w:rFonts w:hint="eastAsia" w:ascii="宋体" w:hAnsi="宋体" w:eastAsia="宋体" w:cs="宋体"/>
          <w:color w:val="auto"/>
          <w:kern w:val="0"/>
          <w:sz w:val="24"/>
          <w:szCs w:val="24"/>
          <w:highlight w:val="none"/>
          <w:u w:val="single"/>
          <w:lang w:val="en-US" w:eastAsia="zh-CN" w:bidi="ar-SA"/>
        </w:rPr>
        <w:t xml:space="preserve">                                           </w:t>
      </w:r>
    </w:p>
    <w:p>
      <w:pPr>
        <w:spacing w:line="263" w:lineRule="auto"/>
        <w:rPr>
          <w:rFonts w:hint="eastAsia" w:ascii="宋体" w:hAnsi="宋体" w:eastAsia="宋体" w:cs="宋体"/>
          <w:color w:val="auto"/>
          <w:sz w:val="21"/>
          <w:highlight w:val="none"/>
        </w:rPr>
      </w:pPr>
    </w:p>
    <w:p>
      <w:pPr>
        <w:spacing w:line="263" w:lineRule="auto"/>
        <w:rPr>
          <w:rFonts w:hint="eastAsia" w:ascii="宋体" w:hAnsi="宋体" w:eastAsia="宋体" w:cs="宋体"/>
          <w:color w:val="auto"/>
          <w:sz w:val="21"/>
          <w:highlight w:val="none"/>
        </w:rPr>
      </w:pPr>
    </w:p>
    <w:p>
      <w:pPr>
        <w:spacing w:line="263" w:lineRule="auto"/>
        <w:rPr>
          <w:rFonts w:hint="eastAsia" w:ascii="宋体" w:hAnsi="宋体" w:eastAsia="宋体" w:cs="宋体"/>
          <w:color w:val="auto"/>
          <w:sz w:val="21"/>
          <w:highlight w:val="none"/>
        </w:rPr>
      </w:pPr>
    </w:p>
    <w:p>
      <w:pPr>
        <w:spacing w:line="263" w:lineRule="auto"/>
        <w:rPr>
          <w:rFonts w:hint="eastAsia" w:ascii="宋体" w:hAnsi="宋体" w:eastAsia="宋体" w:cs="宋体"/>
          <w:color w:val="auto"/>
          <w:sz w:val="21"/>
          <w:highlight w:val="none"/>
        </w:rPr>
      </w:pPr>
    </w:p>
    <w:p>
      <w:pPr>
        <w:spacing w:line="263" w:lineRule="auto"/>
        <w:rPr>
          <w:rFonts w:hint="eastAsia" w:ascii="宋体" w:hAnsi="宋体" w:eastAsia="宋体" w:cs="宋体"/>
          <w:color w:val="auto"/>
          <w:sz w:val="21"/>
          <w:highlight w:val="none"/>
        </w:rPr>
      </w:pPr>
    </w:p>
    <w:p>
      <w:pPr>
        <w:spacing w:line="263" w:lineRule="auto"/>
        <w:rPr>
          <w:rFonts w:hint="eastAsia" w:ascii="宋体" w:hAnsi="宋体" w:eastAsia="宋体" w:cs="宋体"/>
          <w:color w:val="auto"/>
          <w:sz w:val="21"/>
          <w:highlight w:val="none"/>
        </w:rPr>
      </w:pPr>
    </w:p>
    <w:p>
      <w:pPr>
        <w:pStyle w:val="5"/>
        <w:rPr>
          <w:rFonts w:hint="eastAsia"/>
          <w:color w:val="auto"/>
          <w:highlight w:val="none"/>
        </w:rPr>
      </w:pPr>
    </w:p>
    <w:p>
      <w:pPr>
        <w:spacing w:line="263" w:lineRule="auto"/>
        <w:rPr>
          <w:rFonts w:hint="eastAsia" w:ascii="宋体" w:hAnsi="宋体" w:eastAsia="宋体" w:cs="宋体"/>
          <w:color w:val="auto"/>
          <w:sz w:val="21"/>
          <w:highlight w:val="none"/>
        </w:rPr>
      </w:pPr>
    </w:p>
    <w:p>
      <w:pPr>
        <w:spacing w:line="263" w:lineRule="auto"/>
        <w:rPr>
          <w:rFonts w:hint="eastAsia" w:ascii="宋体" w:hAnsi="宋体" w:eastAsia="宋体" w:cs="宋体"/>
          <w:color w:val="auto"/>
          <w:sz w:val="21"/>
          <w:highlight w:val="none"/>
        </w:rPr>
      </w:pPr>
    </w:p>
    <w:p>
      <w:pPr>
        <w:spacing w:line="264" w:lineRule="auto"/>
        <w:rPr>
          <w:rFonts w:hint="eastAsia" w:ascii="宋体" w:hAnsi="宋体" w:eastAsia="宋体" w:cs="宋体"/>
          <w:color w:val="auto"/>
          <w:sz w:val="21"/>
          <w:highlight w:val="none"/>
        </w:rPr>
      </w:pPr>
    </w:p>
    <w:p>
      <w:pPr>
        <w:pStyle w:val="24"/>
        <w:spacing w:before="35" w:line="229" w:lineRule="auto"/>
        <w:ind w:left="2838" w:right="1412" w:firstLine="4736"/>
        <w:rPr>
          <w:rFonts w:hint="eastAsia" w:ascii="宋体" w:hAnsi="宋体" w:eastAsia="宋体" w:cs="宋体"/>
          <w:color w:val="auto"/>
          <w:sz w:val="28"/>
          <w:szCs w:val="28"/>
          <w:highlight w:val="none"/>
        </w:rPr>
      </w:pPr>
    </w:p>
    <w:p>
      <w:pPr>
        <w:spacing w:line="229" w:lineRule="auto"/>
        <w:rPr>
          <w:rFonts w:hint="eastAsia" w:ascii="宋体" w:hAnsi="宋体" w:eastAsia="宋体" w:cs="宋体"/>
          <w:color w:val="auto"/>
          <w:sz w:val="28"/>
          <w:szCs w:val="28"/>
          <w:highlight w:val="none"/>
        </w:rPr>
        <w:sectPr>
          <w:pgSz w:w="11905" w:h="16840"/>
          <w:pgMar w:top="1204" w:right="1502" w:bottom="0" w:left="746" w:header="0" w:footer="0" w:gutter="0"/>
          <w:pgNumType w:fmt="decimal" w:start="1"/>
          <w:cols w:space="720" w:num="1"/>
        </w:sectPr>
      </w:pP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甲方（</w:t>
      </w:r>
      <w:r>
        <w:rPr>
          <w:rFonts w:hint="eastAsia" w:ascii="宋体" w:hAnsi="宋体" w:eastAsia="宋体" w:cs="宋体"/>
          <w:color w:val="auto"/>
          <w:kern w:val="0"/>
          <w:sz w:val="21"/>
          <w:szCs w:val="21"/>
          <w:highlight w:val="none"/>
        </w:rPr>
        <w:t>发包</w:t>
      </w:r>
      <w:r>
        <w:rPr>
          <w:rFonts w:hint="eastAsia" w:ascii="宋体" w:hAnsi="宋体" w:eastAsia="宋体" w:cs="宋体"/>
          <w:color w:val="auto"/>
          <w:kern w:val="0"/>
          <w:sz w:val="21"/>
          <w:szCs w:val="21"/>
          <w:highlight w:val="none"/>
          <w:lang w:val="en-US" w:eastAsia="zh-CN"/>
        </w:rPr>
        <w:t>人</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u w:val="single"/>
          <w:lang w:eastAsia="zh-CN"/>
        </w:rPr>
        <w:t>广东南方报业传媒集团有限公司</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通讯地址：</w:t>
      </w:r>
      <w:r>
        <w:rPr>
          <w:rFonts w:hint="eastAsia" w:ascii="宋体" w:hAnsi="宋体" w:eastAsia="宋体" w:cs="宋体"/>
          <w:color w:val="auto"/>
          <w:kern w:val="0"/>
          <w:sz w:val="21"/>
          <w:szCs w:val="21"/>
          <w:highlight w:val="none"/>
          <w:u w:val="single"/>
          <w:lang w:eastAsia="zh-CN"/>
        </w:rPr>
        <w:t>广州市越秀区</w:t>
      </w:r>
      <w:r>
        <w:rPr>
          <w:rFonts w:hint="eastAsia" w:ascii="宋体" w:hAnsi="宋体" w:eastAsia="宋体" w:cs="宋体"/>
          <w:color w:val="auto"/>
          <w:kern w:val="0"/>
          <w:sz w:val="21"/>
          <w:szCs w:val="21"/>
          <w:highlight w:val="none"/>
          <w:u w:val="single"/>
          <w:lang w:val="en-US" w:eastAsia="zh-CN"/>
        </w:rPr>
        <w:t>广州大道中289号1号楼6楼</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rPr>
        <w:t xml:space="preserve">       </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收件联系人：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联系电话：</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法定代表人：</w:t>
      </w:r>
      <w:r>
        <w:rPr>
          <w:rFonts w:hint="eastAsia" w:ascii="宋体" w:hAnsi="宋体" w:eastAsia="宋体" w:cs="宋体"/>
          <w:color w:val="auto"/>
          <w:kern w:val="0"/>
          <w:sz w:val="21"/>
          <w:szCs w:val="21"/>
          <w:highlight w:val="none"/>
          <w:u w:val="single"/>
        </w:rPr>
        <w:t xml:space="preserve">                                      </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auto"/>
          <w:kern w:val="0"/>
          <w:sz w:val="21"/>
          <w:szCs w:val="21"/>
          <w:highlight w:val="none"/>
        </w:rPr>
      </w:pP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rPr>
        <w:t>乙方（</w:t>
      </w:r>
      <w:r>
        <w:rPr>
          <w:rFonts w:hint="eastAsia" w:ascii="宋体" w:hAnsi="宋体" w:eastAsia="宋体" w:cs="宋体"/>
          <w:color w:val="auto"/>
          <w:kern w:val="0"/>
          <w:sz w:val="21"/>
          <w:szCs w:val="21"/>
          <w:highlight w:val="none"/>
        </w:rPr>
        <w:t>承包</w:t>
      </w:r>
      <w:r>
        <w:rPr>
          <w:rFonts w:hint="eastAsia" w:ascii="宋体" w:hAnsi="宋体" w:eastAsia="宋体" w:cs="宋体"/>
          <w:color w:val="auto"/>
          <w:kern w:val="0"/>
          <w:sz w:val="21"/>
          <w:szCs w:val="21"/>
          <w:highlight w:val="none"/>
          <w:lang w:val="en-US" w:eastAsia="zh-CN"/>
        </w:rPr>
        <w:t>人</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通讯地址：</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收件联系人：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联系电话：</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法定代表人：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p>
    <w:p>
      <w:pPr>
        <w:keepNext w:val="0"/>
        <w:keepLines w:val="0"/>
        <w:pageBreakBefore w:val="0"/>
        <w:widowControl/>
        <w:tabs>
          <w:tab w:val="left" w:pos="5273"/>
        </w:tabs>
        <w:kinsoku/>
        <w:wordWrap/>
        <w:overflowPunct/>
        <w:topLinePunct w:val="0"/>
        <w:autoSpaceDE/>
        <w:autoSpaceDN/>
        <w:bidi w:val="0"/>
        <w:spacing w:line="44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rPr>
        <w:t>施工负责人：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联系电话：</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pPr>
        <w:keepNext w:val="0"/>
        <w:keepLines w:val="0"/>
        <w:pageBreakBefore w:val="0"/>
        <w:kinsoku/>
        <w:wordWrap/>
        <w:overflowPunct/>
        <w:topLinePunct w:val="0"/>
        <w:autoSpaceDE/>
        <w:autoSpaceDN/>
        <w:bidi w:val="0"/>
        <w:snapToGrid w:val="0"/>
        <w:spacing w:line="440" w:lineRule="exact"/>
        <w:ind w:firstLine="0"/>
        <w:textAlignment w:val="auto"/>
        <w:rPr>
          <w:rFonts w:hint="eastAsia" w:ascii="宋体" w:hAnsi="宋体" w:cs="宋体"/>
          <w:color w:val="auto"/>
          <w:szCs w:val="21"/>
          <w:highlight w:val="none"/>
        </w:rPr>
      </w:pPr>
      <w:r>
        <w:rPr>
          <w:rFonts w:hint="eastAsia" w:ascii="宋体" w:hAnsi="宋体" w:eastAsia="宋体" w:cs="宋体"/>
          <w:color w:val="auto"/>
          <w:kern w:val="0"/>
          <w:sz w:val="21"/>
          <w:szCs w:val="21"/>
          <w:highlight w:val="none"/>
        </w:rPr>
        <w:t>本</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rPr>
        <w:t>设计负责人：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联系电话：</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cs="宋体"/>
          <w:color w:val="auto"/>
          <w:kern w:val="0"/>
          <w:szCs w:val="21"/>
          <w:highlight w:val="none"/>
        </w:rPr>
      </w:pP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依照《中华人民共和国民法典》及规范性文件，甲、乙双方在平等、自愿、协商一致的基础上，就乙方以设备采购和设备配套工程建设的总承包方式，承包甲方402报告厅LED显示屏建设项目（以下简称“工程”或“项目”）有关事宜，达成如下条款：</w:t>
      </w:r>
    </w:p>
    <w:p>
      <w:pPr>
        <w:pStyle w:val="53"/>
        <w:keepNext w:val="0"/>
        <w:keepLines w:val="0"/>
        <w:pageBreakBefore w:val="0"/>
        <w:kinsoku/>
        <w:wordWrap/>
        <w:overflowPunct/>
        <w:topLinePunct w:val="0"/>
        <w:autoSpaceDE/>
        <w:autoSpaceDN/>
        <w:bidi w:val="0"/>
        <w:spacing w:line="440" w:lineRule="exact"/>
        <w:textAlignment w:val="auto"/>
        <w:rPr>
          <w:rFonts w:hint="eastAsia"/>
          <w:color w:val="auto"/>
          <w:highlight w:val="none"/>
        </w:rPr>
      </w:pPr>
    </w:p>
    <w:p>
      <w:pPr>
        <w:keepNext w:val="0"/>
        <w:keepLines w:val="0"/>
        <w:pageBreakBefore w:val="0"/>
        <w:kinsoku/>
        <w:wordWrap/>
        <w:overflowPunct/>
        <w:topLinePunct w:val="0"/>
        <w:autoSpaceDE/>
        <w:autoSpaceDN/>
        <w:bidi w:val="0"/>
        <w:adjustRightInd w:val="0"/>
        <w:snapToGrid w:val="0"/>
        <w:spacing w:line="440" w:lineRule="exact"/>
        <w:ind w:firstLine="480"/>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第一条  采购的</w:t>
      </w:r>
      <w:r>
        <w:rPr>
          <w:rFonts w:hint="eastAsia" w:ascii="宋体" w:hAnsi="宋体" w:cs="宋体"/>
          <w:b/>
          <w:bCs/>
          <w:color w:val="auto"/>
          <w:kern w:val="0"/>
          <w:sz w:val="21"/>
          <w:szCs w:val="21"/>
          <w:highlight w:val="none"/>
          <w:lang w:val="en-US" w:eastAsia="zh-CN"/>
        </w:rPr>
        <w:t>项目</w:t>
      </w:r>
      <w:r>
        <w:rPr>
          <w:rFonts w:hint="eastAsia" w:ascii="宋体" w:hAnsi="宋体" w:eastAsia="宋体" w:cs="宋体"/>
          <w:b/>
          <w:bCs/>
          <w:color w:val="auto"/>
          <w:kern w:val="0"/>
          <w:sz w:val="21"/>
          <w:szCs w:val="21"/>
          <w:highlight w:val="none"/>
        </w:rPr>
        <w:t>（含</w:t>
      </w:r>
      <w:r>
        <w:rPr>
          <w:rFonts w:hint="eastAsia" w:ascii="宋体" w:hAnsi="宋体" w:cs="宋体"/>
          <w:b/>
          <w:bCs/>
          <w:color w:val="auto"/>
          <w:kern w:val="0"/>
          <w:sz w:val="21"/>
          <w:szCs w:val="21"/>
          <w:highlight w:val="none"/>
          <w:lang w:val="en-US" w:eastAsia="zh-CN"/>
        </w:rPr>
        <w:t>设备采购和设备配套工程建设</w:t>
      </w:r>
      <w:r>
        <w:rPr>
          <w:rFonts w:hint="eastAsia" w:ascii="宋体" w:hAnsi="宋体" w:eastAsia="宋体" w:cs="宋体"/>
          <w:b/>
          <w:bCs/>
          <w:color w:val="auto"/>
          <w:kern w:val="0"/>
          <w:sz w:val="21"/>
          <w:szCs w:val="21"/>
          <w:highlight w:val="none"/>
        </w:rPr>
        <w:t>）</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1.1本合同项下采购的</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rPr>
        <w:t>（含附属</w:t>
      </w:r>
      <w:r>
        <w:rPr>
          <w:rFonts w:hint="eastAsia" w:ascii="宋体" w:hAnsi="宋体" w:eastAsia="宋体" w:cs="宋体"/>
          <w:color w:val="auto"/>
          <w:kern w:val="0"/>
          <w:sz w:val="21"/>
          <w:szCs w:val="21"/>
          <w:highlight w:val="none"/>
          <w:lang w:val="en-US" w:eastAsia="zh-CN"/>
        </w:rPr>
        <w:t>工程</w:t>
      </w:r>
      <w:r>
        <w:rPr>
          <w:rFonts w:hint="eastAsia" w:ascii="宋体" w:hAnsi="宋体" w:eastAsia="宋体" w:cs="宋体"/>
          <w:color w:val="auto"/>
          <w:kern w:val="0"/>
          <w:sz w:val="21"/>
          <w:szCs w:val="21"/>
          <w:highlight w:val="none"/>
        </w:rPr>
        <w:t>服务）。</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本合同采购的内容包括：项目的</w:t>
      </w:r>
      <w:r>
        <w:rPr>
          <w:rFonts w:hint="eastAsia" w:ascii="宋体" w:hAnsi="宋体" w:eastAsia="宋体" w:cs="宋体"/>
          <w:color w:val="auto"/>
          <w:kern w:val="0"/>
          <w:sz w:val="21"/>
          <w:szCs w:val="21"/>
          <w:highlight w:val="none"/>
          <w:lang w:val="en-US" w:eastAsia="zh-CN"/>
        </w:rPr>
        <w:t>拆除、</w:t>
      </w:r>
      <w:r>
        <w:rPr>
          <w:rFonts w:hint="eastAsia" w:ascii="宋体" w:hAnsi="宋体" w:eastAsia="宋体" w:cs="宋体"/>
          <w:color w:val="auto"/>
          <w:kern w:val="0"/>
          <w:sz w:val="21"/>
          <w:szCs w:val="21"/>
          <w:highlight w:val="none"/>
        </w:rPr>
        <w:t>设计、</w:t>
      </w:r>
      <w:r>
        <w:rPr>
          <w:rFonts w:hint="eastAsia" w:ascii="宋体" w:hAnsi="宋体" w:eastAsia="宋体" w:cs="宋体"/>
          <w:color w:val="auto"/>
          <w:kern w:val="0"/>
          <w:sz w:val="21"/>
          <w:szCs w:val="21"/>
          <w:highlight w:val="none"/>
          <w:lang w:val="en-US" w:eastAsia="zh-CN"/>
        </w:rPr>
        <w:t>制造</w:t>
      </w:r>
      <w:r>
        <w:rPr>
          <w:rFonts w:hint="eastAsia" w:ascii="宋体" w:hAnsi="宋体" w:eastAsia="宋体" w:cs="宋体"/>
          <w:color w:val="auto"/>
          <w:kern w:val="0"/>
          <w:sz w:val="21"/>
          <w:szCs w:val="21"/>
          <w:highlight w:val="none"/>
        </w:rPr>
        <w:t>、包装、运输（含保险）、安装、调试的工程，并由乙方提供相关的技术资料及操作和维修人员的培训等。详细规格及清单以本合同附件技术协议为准。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1.2本项目具体实施内容：拆除402报告厅舞台背景墙及墙面装修、拆除舞台木地板。设计及建设一套LED大屏（包含LED屏，LED屏控制系统，舞台两侧的</w:t>
      </w:r>
      <w:r>
        <w:rPr>
          <w:rFonts w:hint="eastAsia" w:ascii="宋体" w:hAnsi="宋体" w:cs="宋体"/>
          <w:color w:val="auto"/>
          <w:kern w:val="0"/>
          <w:sz w:val="21"/>
          <w:szCs w:val="21"/>
          <w:highlight w:val="none"/>
          <w:lang w:val="en-US" w:eastAsia="zh-CN"/>
        </w:rPr>
        <w:t>辅</w:t>
      </w:r>
      <w:r>
        <w:rPr>
          <w:rFonts w:hint="eastAsia" w:ascii="宋体" w:hAnsi="宋体" w:eastAsia="宋体" w:cs="宋体"/>
          <w:color w:val="auto"/>
          <w:kern w:val="0"/>
          <w:sz w:val="21"/>
          <w:szCs w:val="21"/>
          <w:highlight w:val="none"/>
          <w:lang w:val="en-US" w:eastAsia="zh-CN"/>
        </w:rPr>
        <w:t>屏）；购置一套32路数字调音台；建设1套3位二级操作台；设计及建设一套各线类的集成系统（可接包括光纤、网络、音频、视频、电源等接口）；设计及建设402报告厅舞台地面；设计及建设LED大屏独立电源供电系统（供电线需使用ZR-YJV22-5 x 16平方线径电缆，电箱需要具有备用开关并支持接入第三方公司搭建的LED大屏）；设计及建设LED大屏隔热墙、防晒膜；购置一套移动音响系统（左右全频音箱2个，低频音箱2个）。以上建设内容需提供效果图及施工图，并提供相应设备物料完成项目施工。</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1.3本项目承包方式：采用总价包干的形式，投标人根据招标人提供的需求内容进行投标报价，以汇总价格作为总包价格。投标人所填写的总包价格在合同实施期间不因任何客观条件变化而变动，投标人在计算报价时应考虑其风险系数。总包价格包括投标人中标后为完成合同工程范围及工期的全部需支付的一切费用（包括但不仅限于设计费、物料供应费、施工费、技术支持费</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u w:val="none"/>
        </w:rPr>
        <w:t>税费、维护人员高空作业费</w:t>
      </w:r>
      <w:r>
        <w:rPr>
          <w:rFonts w:hint="eastAsia" w:ascii="宋体" w:hAnsi="宋体" w:eastAsia="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lang w:val="en-US" w:eastAsia="zh-CN"/>
        </w:rPr>
        <w:t>夜间施工费、赶工措施费</w:t>
      </w:r>
      <w:r>
        <w:rPr>
          <w:rFonts w:hint="eastAsia" w:ascii="宋体" w:hAnsi="宋体" w:eastAsia="宋体" w:cs="宋体"/>
          <w:color w:val="auto"/>
          <w:kern w:val="0"/>
          <w:sz w:val="21"/>
          <w:szCs w:val="21"/>
          <w:highlight w:val="none"/>
          <w:u w:val="none"/>
        </w:rPr>
        <w:t>及其引发的意外伤亡、医疗、补助等全部费用在内</w:t>
      </w:r>
      <w:r>
        <w:rPr>
          <w:rFonts w:hint="eastAsia" w:ascii="宋体" w:hAnsi="宋体" w:eastAsia="宋体" w:cs="宋体"/>
          <w:color w:val="auto"/>
          <w:kern w:val="0"/>
          <w:sz w:val="21"/>
          <w:szCs w:val="21"/>
          <w:highlight w:val="none"/>
          <w:lang w:val="en-US" w:eastAsia="zh-CN"/>
        </w:rPr>
        <w:t>）和拟获得的利润，并考虑应承担的一切风险</w:t>
      </w:r>
      <w:r>
        <w:rPr>
          <w:rFonts w:hint="eastAsia" w:ascii="宋体" w:hAnsi="宋体" w:eastAsia="宋体" w:cs="宋体"/>
          <w:color w:val="auto"/>
          <w:kern w:val="0"/>
          <w:sz w:val="21"/>
          <w:szCs w:val="21"/>
          <w:highlight w:val="none"/>
          <w:lang w:val="zh-CN" w:eastAsia="zh-CN"/>
        </w:rPr>
        <w:t>。</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乙方提供的设备及</w:t>
      </w:r>
      <w:r>
        <w:rPr>
          <w:rFonts w:hint="eastAsia" w:ascii="宋体" w:hAnsi="宋体" w:eastAsia="宋体" w:cs="宋体"/>
          <w:color w:val="auto"/>
          <w:kern w:val="0"/>
          <w:sz w:val="21"/>
          <w:szCs w:val="21"/>
          <w:highlight w:val="none"/>
          <w:lang w:val="en-US" w:eastAsia="zh-CN"/>
        </w:rPr>
        <w:t>工程服务</w:t>
      </w:r>
      <w:r>
        <w:rPr>
          <w:rFonts w:hint="eastAsia" w:ascii="宋体" w:hAnsi="宋体" w:eastAsia="宋体" w:cs="宋体"/>
          <w:color w:val="auto"/>
          <w:kern w:val="0"/>
          <w:sz w:val="21"/>
          <w:szCs w:val="21"/>
          <w:highlight w:val="none"/>
        </w:rPr>
        <w:t>应符合本合同及其附件的约定。</w:t>
      </w:r>
    </w:p>
    <w:p>
      <w:pPr>
        <w:keepNext w:val="0"/>
        <w:keepLines w:val="0"/>
        <w:pageBreakBefore w:val="0"/>
        <w:kinsoku/>
        <w:wordWrap/>
        <w:overflowPunct/>
        <w:topLinePunct w:val="0"/>
        <w:autoSpaceDE/>
        <w:autoSpaceDN/>
        <w:bidi w:val="0"/>
        <w:adjustRightInd w:val="0"/>
        <w:snapToGrid w:val="0"/>
        <w:spacing w:line="440" w:lineRule="exact"/>
        <w:ind w:firstLine="413" w:firstLineChars="196"/>
        <w:textAlignment w:val="auto"/>
        <w:rPr>
          <w:rFonts w:hint="eastAsia" w:ascii="宋体" w:hAnsi="宋体" w:cs="宋体"/>
          <w:b/>
          <w:color w:val="auto"/>
          <w:szCs w:val="21"/>
          <w:highlight w:val="none"/>
        </w:rPr>
      </w:pPr>
    </w:p>
    <w:p>
      <w:pPr>
        <w:keepNext w:val="0"/>
        <w:keepLines w:val="0"/>
        <w:pageBreakBefore w:val="0"/>
        <w:kinsoku/>
        <w:wordWrap/>
        <w:overflowPunct/>
        <w:topLinePunct w:val="0"/>
        <w:autoSpaceDE/>
        <w:autoSpaceDN/>
        <w:bidi w:val="0"/>
        <w:adjustRightInd w:val="0"/>
        <w:snapToGrid w:val="0"/>
        <w:spacing w:line="440" w:lineRule="exact"/>
        <w:ind w:firstLine="480"/>
        <w:textAlignment w:val="auto"/>
        <w:rPr>
          <w:rFonts w:hint="default"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rPr>
        <w:t xml:space="preserve">第二条  </w:t>
      </w:r>
      <w:r>
        <w:rPr>
          <w:rFonts w:hint="eastAsia" w:ascii="宋体" w:hAnsi="宋体" w:eastAsia="宋体" w:cs="宋体"/>
          <w:b/>
          <w:bCs/>
          <w:color w:val="auto"/>
          <w:kern w:val="0"/>
          <w:sz w:val="21"/>
          <w:szCs w:val="21"/>
          <w:highlight w:val="none"/>
          <w:lang w:val="en-US" w:eastAsia="zh-CN"/>
        </w:rPr>
        <w:t>项目完成时间</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2.1项目总工期不能够超过</w:t>
      </w:r>
      <w:r>
        <w:rPr>
          <w:rFonts w:hint="eastAsia" w:ascii="宋体" w:hAnsi="宋体" w:cs="宋体"/>
          <w:b w:val="0"/>
          <w:bCs w:val="0"/>
          <w:color w:val="auto"/>
          <w:kern w:val="0"/>
          <w:sz w:val="21"/>
          <w:szCs w:val="21"/>
          <w:highlight w:val="none"/>
          <w:lang w:val="en-US" w:eastAsia="zh-CN"/>
        </w:rPr>
        <w:t>50</w:t>
      </w:r>
      <w:r>
        <w:rPr>
          <w:rFonts w:hint="eastAsia" w:ascii="宋体" w:hAnsi="宋体" w:eastAsia="宋体" w:cs="宋体"/>
          <w:b w:val="0"/>
          <w:bCs w:val="0"/>
          <w:color w:val="auto"/>
          <w:kern w:val="0"/>
          <w:sz w:val="21"/>
          <w:szCs w:val="21"/>
          <w:highlight w:val="none"/>
        </w:rPr>
        <w:t>个日历天，以</w:t>
      </w:r>
      <w:r>
        <w:rPr>
          <w:rFonts w:hint="eastAsia" w:ascii="宋体" w:hAnsi="宋体" w:eastAsia="宋体" w:cs="宋体"/>
          <w:b w:val="0"/>
          <w:bCs w:val="0"/>
          <w:color w:val="auto"/>
          <w:kern w:val="0"/>
          <w:sz w:val="21"/>
          <w:szCs w:val="21"/>
          <w:highlight w:val="none"/>
          <w:lang w:val="en-US" w:eastAsia="zh-CN"/>
        </w:rPr>
        <w:t>甲方</w:t>
      </w:r>
      <w:r>
        <w:rPr>
          <w:rFonts w:hint="eastAsia" w:ascii="宋体" w:hAnsi="宋体" w:eastAsia="宋体" w:cs="宋体"/>
          <w:b w:val="0"/>
          <w:bCs w:val="0"/>
          <w:color w:val="auto"/>
          <w:kern w:val="0"/>
          <w:sz w:val="21"/>
          <w:szCs w:val="21"/>
          <w:highlight w:val="none"/>
        </w:rPr>
        <w:t>发出的</w:t>
      </w:r>
      <w:r>
        <w:rPr>
          <w:rFonts w:hint="eastAsia" w:ascii="宋体" w:hAnsi="宋体" w:cs="宋体"/>
          <w:b w:val="0"/>
          <w:bCs w:val="0"/>
          <w:color w:val="auto"/>
          <w:kern w:val="0"/>
          <w:sz w:val="21"/>
          <w:szCs w:val="21"/>
          <w:highlight w:val="none"/>
          <w:lang w:val="en-US" w:eastAsia="zh-CN"/>
        </w:rPr>
        <w:t>通知起计</w:t>
      </w:r>
      <w:r>
        <w:rPr>
          <w:rFonts w:hint="eastAsia" w:ascii="宋体" w:hAnsi="宋体" w:eastAsia="宋体" w:cs="宋体"/>
          <w:b w:val="0"/>
          <w:bCs w:val="0"/>
          <w:color w:val="auto"/>
          <w:kern w:val="0"/>
          <w:sz w:val="21"/>
          <w:szCs w:val="21"/>
          <w:highlight w:val="none"/>
        </w:rPr>
        <w:t>。</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2.2项目设计时间及图纸要求如下：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val="en-US" w:eastAsia="zh-CN"/>
        </w:rPr>
        <w:t>2.2.1乙方</w:t>
      </w:r>
      <w:r>
        <w:rPr>
          <w:rFonts w:hint="eastAsia" w:ascii="宋体" w:hAnsi="宋体" w:eastAsia="宋体" w:cs="宋体"/>
          <w:b w:val="0"/>
          <w:bCs w:val="0"/>
          <w:color w:val="auto"/>
          <w:kern w:val="0"/>
          <w:sz w:val="21"/>
          <w:szCs w:val="21"/>
          <w:highlight w:val="none"/>
        </w:rPr>
        <w:t>提供施工图设计文件</w:t>
      </w:r>
      <w:r>
        <w:rPr>
          <w:rFonts w:hint="eastAsia" w:ascii="宋体" w:hAnsi="宋体" w:eastAsia="宋体" w:cs="宋体"/>
          <w:b w:val="0"/>
          <w:bCs w:val="0"/>
          <w:color w:val="auto"/>
          <w:kern w:val="0"/>
          <w:sz w:val="21"/>
          <w:szCs w:val="21"/>
          <w:highlight w:val="none"/>
          <w:lang w:eastAsia="zh-CN"/>
        </w:rPr>
        <w:t>。</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rPr>
        <w:t>签订本合同后，</w:t>
      </w:r>
      <w:r>
        <w:rPr>
          <w:rFonts w:hint="eastAsia" w:ascii="宋体" w:hAnsi="宋体" w:eastAsia="宋体" w:cs="宋体"/>
          <w:b w:val="0"/>
          <w:bCs w:val="0"/>
          <w:color w:val="auto"/>
          <w:kern w:val="0"/>
          <w:sz w:val="21"/>
          <w:szCs w:val="21"/>
          <w:highlight w:val="none"/>
          <w:lang w:val="en-US" w:eastAsia="zh-CN"/>
        </w:rPr>
        <w:t>乙方根据</w:t>
      </w:r>
      <w:r>
        <w:rPr>
          <w:rFonts w:hint="eastAsia" w:ascii="宋体" w:hAnsi="宋体" w:eastAsia="宋体" w:cs="宋体"/>
          <w:b w:val="0"/>
          <w:bCs w:val="0"/>
          <w:color w:val="auto"/>
          <w:kern w:val="0"/>
          <w:sz w:val="21"/>
          <w:szCs w:val="21"/>
          <w:highlight w:val="none"/>
        </w:rPr>
        <w:t>甲方</w:t>
      </w:r>
      <w:r>
        <w:rPr>
          <w:rFonts w:hint="eastAsia" w:ascii="宋体" w:hAnsi="宋体" w:eastAsia="宋体" w:cs="宋体"/>
          <w:b w:val="0"/>
          <w:bCs w:val="0"/>
          <w:color w:val="auto"/>
          <w:kern w:val="0"/>
          <w:sz w:val="21"/>
          <w:szCs w:val="21"/>
          <w:highlight w:val="none"/>
          <w:lang w:val="en-US" w:eastAsia="zh-CN"/>
        </w:rPr>
        <w:t>的场地需求在2</w:t>
      </w:r>
      <w:r>
        <w:rPr>
          <w:rFonts w:hint="eastAsia" w:ascii="宋体" w:hAnsi="宋体" w:cs="宋体"/>
          <w:b w:val="0"/>
          <w:bCs w:val="0"/>
          <w:color w:val="auto"/>
          <w:kern w:val="0"/>
          <w:sz w:val="21"/>
          <w:szCs w:val="21"/>
          <w:highlight w:val="none"/>
          <w:lang w:val="en-US" w:eastAsia="zh-CN"/>
        </w:rPr>
        <w:t>个日历</w:t>
      </w:r>
      <w:r>
        <w:rPr>
          <w:rFonts w:hint="eastAsia" w:ascii="宋体" w:hAnsi="宋体" w:eastAsia="宋体" w:cs="宋体"/>
          <w:b w:val="0"/>
          <w:bCs w:val="0"/>
          <w:color w:val="auto"/>
          <w:kern w:val="0"/>
          <w:sz w:val="21"/>
          <w:szCs w:val="21"/>
          <w:highlight w:val="none"/>
        </w:rPr>
        <w:t>天内提交设计方案</w:t>
      </w:r>
      <w:r>
        <w:rPr>
          <w:rFonts w:hint="eastAsia" w:ascii="宋体" w:hAnsi="宋体" w:eastAsia="宋体" w:cs="宋体"/>
          <w:b w:val="0"/>
          <w:bCs w:val="0"/>
          <w:color w:val="auto"/>
          <w:kern w:val="0"/>
          <w:sz w:val="21"/>
          <w:szCs w:val="21"/>
          <w:highlight w:val="none"/>
          <w:lang w:val="en-US" w:eastAsia="zh-CN"/>
        </w:rPr>
        <w:t>一套</w:t>
      </w:r>
      <w:r>
        <w:rPr>
          <w:rFonts w:hint="eastAsia" w:ascii="宋体" w:hAnsi="宋体" w:cs="宋体"/>
          <w:b w:val="0"/>
          <w:bCs w:val="0"/>
          <w:color w:val="auto"/>
          <w:kern w:val="0"/>
          <w:sz w:val="21"/>
          <w:szCs w:val="21"/>
          <w:highlight w:val="none"/>
          <w:lang w:val="en-US" w:eastAsia="zh-CN"/>
        </w:rPr>
        <w:t>（设计效果图不少于两张）</w:t>
      </w:r>
      <w:r>
        <w:rPr>
          <w:rFonts w:hint="eastAsia" w:ascii="宋体" w:hAnsi="宋体" w:eastAsia="宋体" w:cs="宋体"/>
          <w:b w:val="0"/>
          <w:bCs w:val="0"/>
          <w:color w:val="auto"/>
          <w:kern w:val="0"/>
          <w:sz w:val="21"/>
          <w:szCs w:val="21"/>
          <w:highlight w:val="none"/>
        </w:rPr>
        <w:t>。经甲方审定</w:t>
      </w:r>
      <w:r>
        <w:rPr>
          <w:rFonts w:hint="eastAsia" w:ascii="宋体" w:hAnsi="宋体" w:eastAsia="宋体" w:cs="宋体"/>
          <w:b w:val="0"/>
          <w:bCs w:val="0"/>
          <w:color w:val="auto"/>
          <w:kern w:val="0"/>
          <w:sz w:val="21"/>
          <w:szCs w:val="21"/>
          <w:highlight w:val="none"/>
          <w:lang w:val="en-US" w:eastAsia="zh-CN"/>
        </w:rPr>
        <w:t>初步</w:t>
      </w:r>
      <w:r>
        <w:rPr>
          <w:rFonts w:hint="eastAsia" w:ascii="宋体" w:hAnsi="宋体" w:eastAsia="宋体" w:cs="宋体"/>
          <w:b w:val="0"/>
          <w:bCs w:val="0"/>
          <w:color w:val="auto"/>
          <w:kern w:val="0"/>
          <w:sz w:val="21"/>
          <w:szCs w:val="21"/>
          <w:highlight w:val="none"/>
        </w:rPr>
        <w:t>设计方案后</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lang w:val="en-US" w:eastAsia="zh-CN"/>
        </w:rPr>
        <w:t>7</w:t>
      </w:r>
      <w:r>
        <w:rPr>
          <w:rFonts w:hint="eastAsia" w:ascii="宋体" w:hAnsi="宋体" w:eastAsia="宋体" w:cs="宋体"/>
          <w:b w:val="0"/>
          <w:bCs w:val="0"/>
          <w:color w:val="auto"/>
          <w:kern w:val="0"/>
          <w:sz w:val="21"/>
          <w:szCs w:val="21"/>
          <w:highlight w:val="none"/>
        </w:rPr>
        <w:t>个日历天之内应提交</w:t>
      </w:r>
      <w:r>
        <w:rPr>
          <w:rFonts w:hint="eastAsia" w:ascii="宋体" w:hAnsi="宋体" w:eastAsia="宋体" w:cs="宋体"/>
          <w:b w:val="0"/>
          <w:bCs w:val="0"/>
          <w:color w:val="auto"/>
          <w:kern w:val="0"/>
          <w:sz w:val="21"/>
          <w:szCs w:val="21"/>
          <w:highlight w:val="none"/>
          <w:lang w:val="en-US"/>
        </w:rPr>
        <w:t>满足设计深度要求和施工招标要求的施工图设计文件</w:t>
      </w:r>
      <w:r>
        <w:rPr>
          <w:rFonts w:hint="eastAsia" w:ascii="宋体" w:hAnsi="宋体" w:eastAsia="宋体" w:cs="宋体"/>
          <w:b w:val="0"/>
          <w:bCs w:val="0"/>
          <w:color w:val="auto"/>
          <w:kern w:val="0"/>
          <w:sz w:val="21"/>
          <w:szCs w:val="21"/>
          <w:highlight w:val="none"/>
          <w:lang w:val="en-US" w:eastAsia="zh-CN"/>
        </w:rPr>
        <w:t>3</w:t>
      </w:r>
      <w:r>
        <w:rPr>
          <w:rFonts w:hint="eastAsia" w:ascii="宋体" w:hAnsi="宋体" w:eastAsia="宋体" w:cs="宋体"/>
          <w:b w:val="0"/>
          <w:bCs w:val="0"/>
          <w:color w:val="auto"/>
          <w:kern w:val="0"/>
          <w:sz w:val="21"/>
          <w:szCs w:val="21"/>
          <w:highlight w:val="none"/>
        </w:rPr>
        <w:t>套及电子版（CAD和PDF等）。</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2.2.2设计实施</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①</w:t>
      </w:r>
      <w:r>
        <w:rPr>
          <w:rFonts w:hint="eastAsia" w:ascii="宋体" w:hAnsi="宋体" w:eastAsia="宋体" w:cs="宋体"/>
          <w:b w:val="0"/>
          <w:bCs w:val="0"/>
          <w:color w:val="auto"/>
          <w:kern w:val="0"/>
          <w:sz w:val="21"/>
          <w:szCs w:val="21"/>
          <w:highlight w:val="none"/>
        </w:rPr>
        <w:t>按照</w:t>
      </w:r>
      <w:r>
        <w:rPr>
          <w:rFonts w:hint="eastAsia" w:ascii="宋体" w:hAnsi="宋体" w:eastAsia="宋体" w:cs="宋体"/>
          <w:b w:val="0"/>
          <w:bCs w:val="0"/>
          <w:color w:val="auto"/>
          <w:kern w:val="0"/>
          <w:sz w:val="21"/>
          <w:szCs w:val="21"/>
          <w:highlight w:val="none"/>
          <w:lang w:val="en-US" w:eastAsia="zh-CN"/>
        </w:rPr>
        <w:t>甲乙</w:t>
      </w:r>
      <w:r>
        <w:rPr>
          <w:rFonts w:hint="eastAsia" w:ascii="宋体" w:hAnsi="宋体" w:eastAsia="宋体" w:cs="宋体"/>
          <w:b w:val="0"/>
          <w:bCs w:val="0"/>
          <w:color w:val="auto"/>
          <w:kern w:val="0"/>
          <w:sz w:val="21"/>
          <w:szCs w:val="21"/>
          <w:highlight w:val="none"/>
        </w:rPr>
        <w:t>双方确认以及政府部门批准（如需）的设计方案和设计图纸施工。</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②适用于甲方按单项工程接收和（或）整个</w:t>
      </w:r>
      <w:r>
        <w:rPr>
          <w:rFonts w:hint="eastAsia" w:ascii="宋体" w:hAnsi="宋体" w:cs="宋体"/>
          <w:b w:val="0"/>
          <w:bCs w:val="0"/>
          <w:color w:val="auto"/>
          <w:kern w:val="0"/>
          <w:sz w:val="21"/>
          <w:szCs w:val="21"/>
          <w:highlight w:val="none"/>
          <w:lang w:val="en-US" w:eastAsia="zh-CN"/>
        </w:rPr>
        <w:t>项目</w:t>
      </w:r>
      <w:r>
        <w:rPr>
          <w:rFonts w:hint="eastAsia" w:ascii="宋体" w:hAnsi="宋体" w:eastAsia="宋体" w:cs="宋体"/>
          <w:b w:val="0"/>
          <w:bCs w:val="0"/>
          <w:color w:val="auto"/>
          <w:kern w:val="0"/>
          <w:sz w:val="21"/>
          <w:szCs w:val="21"/>
          <w:highlight w:val="none"/>
          <w:lang w:val="en-US" w:eastAsia="zh-CN"/>
        </w:rPr>
        <w:t xml:space="preserve">接收的标准和规范。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 xml:space="preserve">③乙方的设计应满足生产或运营设备的工艺流程、配置要求。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2.2.3提交</w:t>
      </w:r>
      <w:r>
        <w:rPr>
          <w:rFonts w:hint="eastAsia" w:ascii="宋体" w:hAnsi="宋体" w:cs="宋体"/>
          <w:b w:val="0"/>
          <w:bCs w:val="0"/>
          <w:color w:val="auto"/>
          <w:kern w:val="0"/>
          <w:sz w:val="21"/>
          <w:szCs w:val="21"/>
          <w:highlight w:val="none"/>
          <w:lang w:val="en-US" w:eastAsia="zh-CN"/>
        </w:rPr>
        <w:t>项目</w:t>
      </w:r>
      <w:r>
        <w:rPr>
          <w:rFonts w:hint="eastAsia" w:ascii="宋体" w:hAnsi="宋体" w:eastAsia="宋体" w:cs="宋体"/>
          <w:b w:val="0"/>
          <w:bCs w:val="0"/>
          <w:color w:val="auto"/>
          <w:kern w:val="0"/>
          <w:sz w:val="21"/>
          <w:szCs w:val="21"/>
          <w:highlight w:val="none"/>
          <w:lang w:val="en-US" w:eastAsia="zh-CN"/>
        </w:rPr>
        <w:t>进度报告和修订进度计划</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 xml:space="preserve">①乙方编制工作进度报告和修订进度计划的约定；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 xml:space="preserve">②乙方编制初步设计进度报告和修订进度计划的约定；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 xml:space="preserve">③乙方编制施工图设计进度报告和修订进度计划的约定。                    </w:t>
      </w:r>
      <w:r>
        <w:rPr>
          <w:rFonts w:hint="eastAsia" w:ascii="宋体" w:hAnsi="宋体" w:eastAsia="宋体" w:cs="宋体"/>
          <w:b w:val="0"/>
          <w:bCs w:val="0"/>
          <w:color w:val="auto"/>
          <w:kern w:val="0"/>
          <w:sz w:val="21"/>
          <w:szCs w:val="21"/>
          <w:highlight w:val="none"/>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rPr>
        <w:t>2.2.4</w:t>
      </w:r>
      <w:r>
        <w:rPr>
          <w:rFonts w:hint="eastAsia" w:ascii="宋体" w:hAnsi="宋体" w:eastAsia="宋体" w:cs="宋体"/>
          <w:b w:val="0"/>
          <w:bCs w:val="0"/>
          <w:color w:val="auto"/>
          <w:kern w:val="0"/>
          <w:sz w:val="21"/>
          <w:szCs w:val="21"/>
          <w:highlight w:val="none"/>
        </w:rPr>
        <w:t>双方确认的设计图纸一式</w:t>
      </w:r>
      <w:r>
        <w:rPr>
          <w:rFonts w:hint="eastAsia" w:ascii="宋体" w:hAnsi="宋体" w:eastAsia="宋体" w:cs="宋体"/>
          <w:b w:val="0"/>
          <w:bCs w:val="0"/>
          <w:color w:val="auto"/>
          <w:kern w:val="0"/>
          <w:sz w:val="21"/>
          <w:szCs w:val="21"/>
          <w:highlight w:val="none"/>
          <w:lang w:val="en-US" w:eastAsia="zh-CN"/>
        </w:rPr>
        <w:t>3</w:t>
      </w:r>
      <w:r>
        <w:rPr>
          <w:rFonts w:hint="eastAsia" w:ascii="宋体" w:hAnsi="宋体" w:eastAsia="宋体" w:cs="宋体"/>
          <w:b w:val="0"/>
          <w:bCs w:val="0"/>
          <w:color w:val="auto"/>
          <w:kern w:val="0"/>
          <w:sz w:val="21"/>
          <w:szCs w:val="21"/>
          <w:highlight w:val="none"/>
        </w:rPr>
        <w:t>份，甲方持</w:t>
      </w:r>
      <w:r>
        <w:rPr>
          <w:rFonts w:hint="eastAsia" w:ascii="宋体" w:hAnsi="宋体" w:eastAsia="宋体" w:cs="宋体"/>
          <w:b w:val="0"/>
          <w:bCs w:val="0"/>
          <w:color w:val="auto"/>
          <w:kern w:val="0"/>
          <w:sz w:val="21"/>
          <w:szCs w:val="21"/>
          <w:highlight w:val="none"/>
          <w:lang w:val="en-US" w:eastAsia="zh-CN"/>
        </w:rPr>
        <w:t>2</w:t>
      </w:r>
      <w:r>
        <w:rPr>
          <w:rFonts w:hint="eastAsia" w:ascii="宋体" w:hAnsi="宋体" w:eastAsia="宋体" w:cs="宋体"/>
          <w:b w:val="0"/>
          <w:bCs w:val="0"/>
          <w:color w:val="auto"/>
          <w:kern w:val="0"/>
          <w:sz w:val="21"/>
          <w:szCs w:val="21"/>
          <w:highlight w:val="none"/>
        </w:rPr>
        <w:t>份、乙方持</w:t>
      </w:r>
      <w:r>
        <w:rPr>
          <w:rFonts w:hint="eastAsia" w:ascii="宋体" w:hAnsi="宋体" w:eastAsia="宋体" w:cs="宋体"/>
          <w:b w:val="0"/>
          <w:bCs w:val="0"/>
          <w:color w:val="auto"/>
          <w:kern w:val="0"/>
          <w:sz w:val="21"/>
          <w:szCs w:val="21"/>
          <w:highlight w:val="none"/>
          <w:lang w:val="en-US" w:eastAsia="zh-CN"/>
        </w:rPr>
        <w:t>1</w:t>
      </w:r>
      <w:r>
        <w:rPr>
          <w:rFonts w:hint="eastAsia" w:ascii="宋体" w:hAnsi="宋体" w:eastAsia="宋体" w:cs="宋体"/>
          <w:b w:val="0"/>
          <w:bCs w:val="0"/>
          <w:color w:val="auto"/>
          <w:kern w:val="0"/>
          <w:sz w:val="21"/>
          <w:szCs w:val="21"/>
          <w:highlight w:val="none"/>
        </w:rPr>
        <w:t>份，设计费包含在</w:t>
      </w:r>
      <w:r>
        <w:rPr>
          <w:rFonts w:hint="eastAsia" w:ascii="宋体" w:hAnsi="宋体" w:eastAsia="宋体" w:cs="宋体"/>
          <w:b w:val="0"/>
          <w:bCs w:val="0"/>
          <w:color w:val="auto"/>
          <w:kern w:val="0"/>
          <w:sz w:val="21"/>
          <w:szCs w:val="21"/>
          <w:highlight w:val="none"/>
          <w:lang w:val="en-US" w:eastAsia="zh-CN"/>
        </w:rPr>
        <w:t>合同</w:t>
      </w:r>
      <w:r>
        <w:rPr>
          <w:rFonts w:hint="eastAsia" w:ascii="宋体" w:hAnsi="宋体" w:eastAsia="宋体" w:cs="宋体"/>
          <w:b w:val="0"/>
          <w:bCs w:val="0"/>
          <w:color w:val="auto"/>
          <w:kern w:val="0"/>
          <w:sz w:val="21"/>
          <w:szCs w:val="21"/>
          <w:highlight w:val="none"/>
        </w:rPr>
        <w:t>价款内，甲方不再另行支付。</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default" w:ascii="宋体" w:hAnsi="宋体" w:eastAsia="宋体" w:cs="宋体"/>
          <w:b w:val="0"/>
          <w:color w:val="auto"/>
          <w:kern w:val="0"/>
          <w:szCs w:val="21"/>
          <w:highlight w:val="none"/>
          <w:lang w:val="en-US" w:eastAsia="zh-CN"/>
        </w:rPr>
      </w:pPr>
      <w:r>
        <w:rPr>
          <w:rFonts w:hint="eastAsia" w:ascii="宋体" w:hAnsi="宋体" w:cs="宋体"/>
          <w:b w:val="0"/>
          <w:color w:val="auto"/>
          <w:kern w:val="0"/>
          <w:szCs w:val="21"/>
          <w:highlight w:val="none"/>
          <w:lang w:val="en-US" w:eastAsia="zh-CN"/>
        </w:rPr>
        <w:t>2.2.5 乙方应按国家技术规范、标准、规程和甲方提出的设计要求对项目进行工程设计，按合同要求提交质量合格的设计资料，并对其负责。</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default" w:ascii="宋体" w:hAnsi="宋体" w:cs="宋体"/>
          <w:b w:val="0"/>
          <w:color w:val="auto"/>
          <w:kern w:val="0"/>
          <w:szCs w:val="21"/>
          <w:highlight w:val="none"/>
        </w:rPr>
      </w:pPr>
      <w:r>
        <w:rPr>
          <w:rFonts w:hint="eastAsia" w:ascii="宋体" w:hAnsi="宋体" w:cs="宋体"/>
          <w:b w:val="0"/>
          <w:color w:val="auto"/>
          <w:kern w:val="0"/>
          <w:szCs w:val="21"/>
          <w:highlight w:val="none"/>
          <w:lang w:val="en-US" w:eastAsia="zh-CN"/>
        </w:rPr>
        <w:t>2.2.6</w:t>
      </w:r>
      <w:r>
        <w:rPr>
          <w:rFonts w:hint="eastAsia" w:ascii="宋体" w:hAnsi="宋体" w:eastAsia="宋体" w:cs="宋体"/>
          <w:color w:val="auto"/>
          <w:kern w:val="0"/>
          <w:sz w:val="21"/>
          <w:szCs w:val="21"/>
          <w:highlight w:val="none"/>
          <w:lang w:val="en-US" w:eastAsia="zh-CN"/>
        </w:rPr>
        <w:t>施工图经</w:t>
      </w:r>
      <w:r>
        <w:rPr>
          <w:rFonts w:hint="eastAsia" w:ascii="宋体" w:hAnsi="宋体" w:cs="宋体"/>
          <w:b w:val="0"/>
          <w:color w:val="auto"/>
          <w:kern w:val="0"/>
          <w:szCs w:val="21"/>
          <w:highlight w:val="none"/>
          <w:lang w:val="en-US" w:eastAsia="zh-CN"/>
        </w:rPr>
        <w:t>甲方</w:t>
      </w:r>
      <w:r>
        <w:rPr>
          <w:rFonts w:hint="eastAsia" w:ascii="宋体" w:hAnsi="宋体" w:eastAsia="宋体" w:cs="宋体"/>
          <w:color w:val="auto"/>
          <w:kern w:val="0"/>
          <w:sz w:val="21"/>
          <w:szCs w:val="21"/>
          <w:highlight w:val="none"/>
          <w:lang w:val="en-US" w:eastAsia="zh-CN"/>
        </w:rPr>
        <w:t>审核确认后在7个日历天内</w:t>
      </w:r>
      <w:r>
        <w:rPr>
          <w:rFonts w:hint="eastAsia" w:ascii="宋体" w:hAnsi="宋体" w:cs="宋体"/>
          <w:b w:val="0"/>
          <w:color w:val="auto"/>
          <w:kern w:val="0"/>
          <w:szCs w:val="21"/>
          <w:highlight w:val="none"/>
          <w:lang w:val="en-US" w:eastAsia="zh-CN"/>
        </w:rPr>
        <w:t>乙方</w:t>
      </w:r>
      <w:r>
        <w:rPr>
          <w:rFonts w:hint="eastAsia" w:ascii="宋体" w:hAnsi="宋体" w:eastAsia="宋体" w:cs="宋体"/>
          <w:color w:val="auto"/>
          <w:kern w:val="0"/>
          <w:sz w:val="21"/>
          <w:szCs w:val="21"/>
          <w:highlight w:val="none"/>
          <w:lang w:val="en-US" w:eastAsia="zh-CN"/>
        </w:rPr>
        <w:t>向</w:t>
      </w:r>
      <w:r>
        <w:rPr>
          <w:rFonts w:hint="eastAsia" w:ascii="宋体" w:hAnsi="宋体" w:cs="宋体"/>
          <w:b w:val="0"/>
          <w:color w:val="auto"/>
          <w:kern w:val="0"/>
          <w:szCs w:val="21"/>
          <w:highlight w:val="none"/>
          <w:lang w:val="en-US" w:eastAsia="zh-CN"/>
        </w:rPr>
        <w:t>甲方</w:t>
      </w:r>
      <w:r>
        <w:rPr>
          <w:rFonts w:hint="eastAsia" w:ascii="宋体" w:hAnsi="宋体" w:eastAsia="宋体" w:cs="宋体"/>
          <w:color w:val="auto"/>
          <w:kern w:val="0"/>
          <w:sz w:val="21"/>
          <w:szCs w:val="21"/>
          <w:highlight w:val="none"/>
          <w:lang w:val="en-US" w:eastAsia="zh-CN"/>
        </w:rPr>
        <w:t>提供符合本项目要求的工程量清单。</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color w:val="auto"/>
          <w:kern w:val="0"/>
          <w:szCs w:val="21"/>
          <w:highlight w:val="none"/>
          <w:lang w:val="en-US" w:eastAsia="zh-CN"/>
        </w:rPr>
      </w:pPr>
      <w:r>
        <w:rPr>
          <w:rFonts w:hint="eastAsia" w:ascii="宋体" w:hAnsi="宋体" w:cs="宋体"/>
          <w:b w:val="0"/>
          <w:color w:val="auto"/>
          <w:kern w:val="0"/>
          <w:szCs w:val="21"/>
          <w:highlight w:val="none"/>
          <w:lang w:val="en-US" w:eastAsia="zh-CN"/>
        </w:rPr>
        <w:t>2.3</w:t>
      </w:r>
      <w:r>
        <w:rPr>
          <w:rFonts w:hint="eastAsia" w:ascii="宋体" w:hAnsi="宋体" w:eastAsia="宋体" w:cs="宋体"/>
          <w:color w:val="auto"/>
          <w:kern w:val="0"/>
          <w:sz w:val="21"/>
          <w:szCs w:val="21"/>
          <w:highlight w:val="none"/>
          <w:lang w:val="en-US" w:eastAsia="zh-CN"/>
        </w:rPr>
        <w:t>升级改造施工</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b w:val="0"/>
          <w:color w:val="auto"/>
          <w:kern w:val="0"/>
          <w:szCs w:val="21"/>
          <w:highlight w:val="none"/>
          <w:lang w:val="en-US"/>
        </w:rPr>
      </w:pPr>
      <w:r>
        <w:rPr>
          <w:rFonts w:hint="eastAsia" w:ascii="宋体" w:hAnsi="宋体" w:cs="宋体"/>
          <w:b w:val="0"/>
          <w:color w:val="auto"/>
          <w:kern w:val="0"/>
          <w:szCs w:val="21"/>
          <w:highlight w:val="none"/>
          <w:lang w:val="en-US" w:eastAsia="zh-CN"/>
        </w:rPr>
        <w:t>2.3.1</w:t>
      </w:r>
      <w:r>
        <w:rPr>
          <w:rFonts w:hint="eastAsia" w:ascii="宋体" w:hAnsi="宋体" w:cs="宋体"/>
          <w:color w:val="auto"/>
          <w:sz w:val="21"/>
          <w:szCs w:val="21"/>
          <w:highlight w:val="none"/>
          <w:lang w:val="en-US" w:eastAsia="zh-CN"/>
        </w:rPr>
        <w:t>为保证项目顺利实施，投标人应派遣项目团队实施本项目，团队人员分工明确，职责清晰，且具有相关经验和能力。</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b w:val="0"/>
          <w:color w:val="auto"/>
          <w:kern w:val="0"/>
          <w:szCs w:val="21"/>
          <w:highlight w:val="none"/>
          <w:lang w:val="en-US" w:eastAsia="zh-CN"/>
        </w:rPr>
      </w:pPr>
      <w:r>
        <w:rPr>
          <w:rFonts w:hint="eastAsia" w:ascii="宋体" w:hAnsi="宋体" w:cs="宋体"/>
          <w:b w:val="0"/>
          <w:color w:val="auto"/>
          <w:kern w:val="0"/>
          <w:szCs w:val="21"/>
          <w:highlight w:val="none"/>
          <w:lang w:val="en-US" w:eastAsia="zh-CN"/>
        </w:rPr>
        <w:t>2.3.2施工期间须保持安防系统正常运行，因传输线路更换、光纤熔接等施工确需停机时，须提前一天向主管部门报备，在得到同意后方可停机，且停机施工时间须控制在4小时以内，停机施工须安排在夜间进行。</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b w:val="0"/>
          <w:color w:val="auto"/>
          <w:kern w:val="0"/>
          <w:szCs w:val="21"/>
          <w:highlight w:val="none"/>
          <w:lang w:val="en-US" w:eastAsia="zh-CN"/>
        </w:rPr>
      </w:pPr>
      <w:r>
        <w:rPr>
          <w:rFonts w:hint="eastAsia" w:ascii="宋体" w:hAnsi="宋体" w:cs="宋体"/>
          <w:b w:val="0"/>
          <w:color w:val="auto"/>
          <w:kern w:val="0"/>
          <w:szCs w:val="21"/>
          <w:highlight w:val="none"/>
          <w:lang w:val="en-US" w:eastAsia="zh-CN"/>
        </w:rPr>
        <w:t>3.3.3传输网线（光纤）须绑扎结实并附加标签，确保整齐美观及清晰可辩；电力线路须套管保护，严禁裸露。</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b w:val="0"/>
          <w:color w:val="auto"/>
          <w:kern w:val="0"/>
          <w:szCs w:val="21"/>
          <w:highlight w:val="none"/>
          <w:lang w:val="en-US" w:eastAsia="zh-CN"/>
        </w:rPr>
      </w:pPr>
      <w:r>
        <w:rPr>
          <w:rFonts w:hint="eastAsia" w:ascii="宋体" w:hAnsi="宋体" w:cs="宋体"/>
          <w:b w:val="0"/>
          <w:color w:val="auto"/>
          <w:kern w:val="0"/>
          <w:szCs w:val="21"/>
          <w:highlight w:val="none"/>
          <w:lang w:val="en-US" w:eastAsia="zh-CN"/>
        </w:rPr>
        <w:t>2.3.4每周一至周五午间时段（12:00--14:00)不许施工。</w:t>
      </w:r>
      <w:r>
        <w:rPr>
          <w:rFonts w:hint="eastAsia" w:ascii="宋体" w:hAnsi="宋体" w:cs="宋体"/>
          <w:color w:val="auto"/>
          <w:szCs w:val="21"/>
          <w:highlight w:val="none"/>
          <w:lang w:val="en-US" w:eastAsia="zh-CN"/>
        </w:rPr>
        <w:t>本项目因工期要求需要</w:t>
      </w:r>
      <w:r>
        <w:rPr>
          <w:rFonts w:hint="eastAsia" w:ascii="宋体" w:hAnsi="宋体" w:eastAsia="宋体" w:cs="宋体"/>
          <w:color w:val="auto"/>
          <w:szCs w:val="21"/>
          <w:highlight w:val="none"/>
          <w:lang w:val="zh-CN"/>
        </w:rPr>
        <w:t>夜间施工</w:t>
      </w:r>
      <w:r>
        <w:rPr>
          <w:rFonts w:hint="eastAsia" w:ascii="宋体" w:hAnsi="宋体" w:cs="宋体"/>
          <w:b w:val="0"/>
          <w:color w:val="auto"/>
          <w:kern w:val="0"/>
          <w:szCs w:val="21"/>
          <w:highlight w:val="none"/>
          <w:lang w:val="en-US"/>
        </w:rPr>
        <w:t>，</w:t>
      </w:r>
      <w:r>
        <w:rPr>
          <w:rFonts w:hint="eastAsia" w:ascii="宋体" w:hAnsi="宋体" w:cs="宋体"/>
          <w:b w:val="0"/>
          <w:color w:val="auto"/>
          <w:kern w:val="0"/>
          <w:szCs w:val="21"/>
          <w:highlight w:val="none"/>
          <w:lang w:val="en-US" w:eastAsia="zh-CN"/>
        </w:rPr>
        <w:t>乙方</w:t>
      </w:r>
      <w:r>
        <w:rPr>
          <w:rFonts w:hint="eastAsia" w:ascii="宋体" w:hAnsi="宋体" w:cs="宋体"/>
          <w:b w:val="0"/>
          <w:color w:val="auto"/>
          <w:kern w:val="0"/>
          <w:szCs w:val="21"/>
          <w:highlight w:val="none"/>
          <w:lang w:val="en-US"/>
        </w:rPr>
        <w:t>施工期间应当符合国家相关规范的要求，且招标人不再额外支付费用。</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b w:val="0"/>
          <w:color w:val="auto"/>
          <w:kern w:val="0"/>
          <w:szCs w:val="21"/>
          <w:highlight w:val="none"/>
          <w:lang w:val="en-US" w:eastAsia="zh-CN"/>
        </w:rPr>
      </w:pPr>
      <w:r>
        <w:rPr>
          <w:rFonts w:hint="eastAsia" w:ascii="宋体" w:hAnsi="宋体" w:cs="宋体"/>
          <w:b w:val="0"/>
          <w:color w:val="auto"/>
          <w:kern w:val="0"/>
          <w:szCs w:val="21"/>
          <w:highlight w:val="none"/>
          <w:lang w:val="en-US" w:eastAsia="zh-CN"/>
        </w:rPr>
        <w:t>2.3.5需制定详细的施工进度表，合理安排投入施工人员，确保工程按期完工。</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b w:val="0"/>
          <w:color w:val="auto"/>
          <w:kern w:val="0"/>
          <w:szCs w:val="21"/>
          <w:highlight w:val="none"/>
        </w:rPr>
      </w:pPr>
      <w:r>
        <w:rPr>
          <w:rFonts w:hint="eastAsia" w:ascii="宋体" w:hAnsi="宋体" w:cs="宋体"/>
          <w:b w:val="0"/>
          <w:color w:val="auto"/>
          <w:kern w:val="0"/>
          <w:szCs w:val="21"/>
          <w:highlight w:val="none"/>
          <w:lang w:val="en-US" w:eastAsia="zh-CN"/>
        </w:rPr>
        <w:t>2.3.6乙方的施工人员须严格遵守南方报业传媒集团相关管理规定，进入大院前须报备，施工期间不得赤身露体、不得无故进入非施工区域。</w:t>
      </w:r>
    </w:p>
    <w:p>
      <w:pPr>
        <w:keepNext w:val="0"/>
        <w:keepLines w:val="0"/>
        <w:pageBreakBefore w:val="0"/>
        <w:kinsoku/>
        <w:wordWrap/>
        <w:overflowPunct/>
        <w:topLinePunct w:val="0"/>
        <w:autoSpaceDE/>
        <w:autoSpaceDN/>
        <w:bidi w:val="0"/>
        <w:adjustRightInd w:val="0"/>
        <w:snapToGrid w:val="0"/>
        <w:spacing w:line="440" w:lineRule="exact"/>
        <w:ind w:firstLine="480" w:firstLineChars="0"/>
        <w:textAlignment w:val="auto"/>
        <w:rPr>
          <w:rFonts w:hint="eastAsia" w:ascii="宋体" w:hAnsi="宋体" w:cs="宋体"/>
          <w:b w:val="0"/>
          <w:color w:val="auto"/>
          <w:kern w:val="0"/>
          <w:szCs w:val="21"/>
          <w:highlight w:val="none"/>
        </w:rPr>
      </w:pPr>
    </w:p>
    <w:p>
      <w:pPr>
        <w:keepNext w:val="0"/>
        <w:keepLines w:val="0"/>
        <w:pageBreakBefore w:val="0"/>
        <w:kinsoku/>
        <w:wordWrap/>
        <w:overflowPunct/>
        <w:topLinePunct w:val="0"/>
        <w:autoSpaceDE/>
        <w:autoSpaceDN/>
        <w:bidi w:val="0"/>
        <w:adjustRightInd w:val="0"/>
        <w:snapToGrid w:val="0"/>
        <w:spacing w:line="440" w:lineRule="exact"/>
        <w:ind w:firstLine="48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第三条  合同总金额及支付安排</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合同价</w:t>
      </w:r>
      <w:r>
        <w:rPr>
          <w:rFonts w:hint="eastAsia" w:ascii="宋体" w:hAnsi="宋体" w:eastAsia="宋体" w:cs="宋体"/>
          <w:color w:val="auto"/>
          <w:kern w:val="0"/>
          <w:sz w:val="21"/>
          <w:szCs w:val="21"/>
          <w:highlight w:val="none"/>
        </w:rPr>
        <w:t>为</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元</w:t>
      </w:r>
      <w:r>
        <w:rPr>
          <w:rFonts w:hint="eastAsia" w:ascii="宋体" w:hAnsi="宋体" w:eastAsia="宋体" w:cs="宋体"/>
          <w:color w:val="auto"/>
          <w:kern w:val="0"/>
          <w:sz w:val="21"/>
          <w:szCs w:val="21"/>
          <w:highlight w:val="none"/>
          <w:lang w:val="en-US" w:eastAsia="zh-CN"/>
        </w:rPr>
        <w:t>（含税）</w:t>
      </w:r>
      <w:r>
        <w:rPr>
          <w:rFonts w:hint="eastAsia" w:ascii="宋体" w:hAnsi="宋体" w:eastAsia="宋体" w:cs="宋体"/>
          <w:color w:val="auto"/>
          <w:kern w:val="0"/>
          <w:sz w:val="21"/>
          <w:szCs w:val="21"/>
          <w:highlight w:val="none"/>
        </w:rPr>
        <w:t>，大写人</w:t>
      </w:r>
      <w:r>
        <w:rPr>
          <w:rFonts w:hint="eastAsia" w:ascii="宋体" w:hAnsi="宋体" w:eastAsia="宋体" w:cs="宋体"/>
          <w:color w:val="auto"/>
          <w:kern w:val="0"/>
          <w:sz w:val="21"/>
          <w:szCs w:val="21"/>
          <w:highlight w:val="none"/>
          <w:u w:val="none"/>
          <w:lang w:val="en-US" w:eastAsia="zh-CN"/>
        </w:rPr>
        <w:t>民币：</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none"/>
          <w:lang w:val="en-US" w:eastAsia="zh-CN"/>
        </w:rPr>
        <w:t>元整。</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2付款方式：</w:t>
      </w:r>
    </w:p>
    <w:p>
      <w:pPr>
        <w:keepNext w:val="0"/>
        <w:keepLines w:val="0"/>
        <w:pageBreakBefore w:val="0"/>
        <w:kinsoku/>
        <w:wordWrap/>
        <w:overflowPunct/>
        <w:topLinePunct w:val="0"/>
        <w:autoSpaceDE/>
        <w:autoSpaceDN/>
        <w:bidi w:val="0"/>
        <w:spacing w:line="440" w:lineRule="exact"/>
        <w:ind w:firstLine="48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3.2.1 </w:t>
      </w:r>
      <w:r>
        <w:rPr>
          <w:rFonts w:hint="eastAsia" w:ascii="宋体" w:hAnsi="宋体" w:eastAsia="宋体" w:cs="宋体"/>
          <w:color w:val="auto"/>
          <w:kern w:val="0"/>
          <w:sz w:val="21"/>
          <w:szCs w:val="21"/>
          <w:highlight w:val="none"/>
        </w:rPr>
        <w:t>合同签订后10天内，</w:t>
      </w:r>
      <w:r>
        <w:rPr>
          <w:rFonts w:hint="eastAsia" w:ascii="宋体" w:hAnsi="宋体" w:eastAsia="宋体" w:cs="宋体"/>
          <w:color w:val="auto"/>
          <w:kern w:val="0"/>
          <w:sz w:val="21"/>
          <w:szCs w:val="21"/>
          <w:highlight w:val="none"/>
          <w:lang w:val="zh-CN" w:eastAsia="zh-CN"/>
        </w:rPr>
        <w:t>支付</w:t>
      </w:r>
      <w:r>
        <w:rPr>
          <w:rFonts w:hint="eastAsia" w:ascii="宋体" w:hAnsi="宋体" w:cs="宋体"/>
          <w:color w:val="auto"/>
          <w:kern w:val="0"/>
          <w:sz w:val="21"/>
          <w:szCs w:val="21"/>
          <w:highlight w:val="none"/>
          <w:lang w:val="en-US" w:eastAsia="zh-CN"/>
        </w:rPr>
        <w:t>合同价</w:t>
      </w:r>
      <w:r>
        <w:rPr>
          <w:rFonts w:hint="eastAsia" w:ascii="宋体" w:hAnsi="宋体" w:eastAsia="宋体" w:cs="宋体"/>
          <w:color w:val="auto"/>
          <w:kern w:val="0"/>
          <w:sz w:val="21"/>
          <w:szCs w:val="21"/>
          <w:highlight w:val="none"/>
          <w:lang w:val="en-US" w:eastAsia="zh-CN"/>
        </w:rPr>
        <w:t>的3</w:t>
      </w:r>
      <w:r>
        <w:rPr>
          <w:rFonts w:hint="eastAsia" w:ascii="宋体" w:hAnsi="宋体" w:eastAsia="宋体" w:cs="宋体"/>
          <w:color w:val="auto"/>
          <w:kern w:val="0"/>
          <w:sz w:val="21"/>
          <w:szCs w:val="21"/>
          <w:highlight w:val="none"/>
          <w:lang w:val="zh-CN" w:eastAsia="zh-CN"/>
        </w:rPr>
        <w:t>0%</w:t>
      </w:r>
      <w:r>
        <w:rPr>
          <w:rFonts w:hint="eastAsia" w:ascii="宋体" w:hAnsi="宋体" w:eastAsia="宋体" w:cs="宋体"/>
          <w:color w:val="auto"/>
          <w:kern w:val="0"/>
          <w:sz w:val="21"/>
          <w:szCs w:val="21"/>
          <w:highlight w:val="none"/>
          <w:lang w:val="en-US" w:eastAsia="zh-CN"/>
        </w:rPr>
        <w:t>为</w:t>
      </w:r>
      <w:r>
        <w:rPr>
          <w:rFonts w:hint="eastAsia" w:ascii="宋体" w:hAnsi="宋体" w:eastAsia="宋体" w:cs="宋体"/>
          <w:color w:val="auto"/>
          <w:kern w:val="0"/>
          <w:sz w:val="21"/>
          <w:szCs w:val="21"/>
          <w:highlight w:val="none"/>
          <w:lang w:val="zh-CN" w:eastAsia="zh-CN"/>
        </w:rPr>
        <w:t>预付款</w:t>
      </w:r>
      <w:r>
        <w:rPr>
          <w:rFonts w:hint="eastAsia" w:ascii="宋体" w:hAnsi="宋体" w:eastAsia="宋体" w:cs="宋体"/>
          <w:color w:val="auto"/>
          <w:kern w:val="0"/>
          <w:sz w:val="21"/>
          <w:szCs w:val="21"/>
          <w:highlight w:val="none"/>
        </w:rPr>
        <w:t>；</w:t>
      </w:r>
    </w:p>
    <w:p>
      <w:pPr>
        <w:keepNext w:val="0"/>
        <w:keepLines w:val="0"/>
        <w:pageBreakBefore w:val="0"/>
        <w:kinsoku/>
        <w:wordWrap/>
        <w:overflowPunct/>
        <w:topLinePunct w:val="0"/>
        <w:autoSpaceDE/>
        <w:autoSpaceDN/>
        <w:bidi w:val="0"/>
        <w:spacing w:line="440" w:lineRule="exact"/>
        <w:ind w:firstLine="48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eastAsia="zh-CN"/>
        </w:rPr>
        <w:t>主要设备（</w:t>
      </w:r>
      <w:r>
        <w:rPr>
          <w:rFonts w:hint="eastAsia" w:ascii="宋体" w:hAnsi="宋体" w:eastAsia="宋体" w:cs="宋体"/>
          <w:color w:val="auto"/>
          <w:kern w:val="0"/>
          <w:sz w:val="21"/>
          <w:szCs w:val="21"/>
          <w:highlight w:val="none"/>
          <w:lang w:val="en-US" w:eastAsia="zh-CN"/>
        </w:rPr>
        <w:t>LED大屏</w:t>
      </w:r>
      <w:r>
        <w:rPr>
          <w:rFonts w:hint="eastAsia" w:ascii="宋体" w:hAnsi="宋体" w:eastAsia="宋体" w:cs="宋体"/>
          <w:color w:val="auto"/>
          <w:kern w:val="0"/>
          <w:sz w:val="21"/>
          <w:szCs w:val="21"/>
          <w:highlight w:val="none"/>
          <w:lang w:eastAsia="zh-CN"/>
        </w:rPr>
        <w:t>）到货后</w:t>
      </w:r>
      <w:r>
        <w:rPr>
          <w:rFonts w:hint="eastAsia" w:ascii="宋体" w:hAnsi="宋体" w:eastAsia="宋体" w:cs="宋体"/>
          <w:color w:val="auto"/>
          <w:kern w:val="0"/>
          <w:sz w:val="21"/>
          <w:szCs w:val="21"/>
          <w:highlight w:val="none"/>
          <w:lang w:val="en-US" w:eastAsia="zh-CN"/>
        </w:rPr>
        <w:t>10天内，</w:t>
      </w:r>
      <w:r>
        <w:rPr>
          <w:rFonts w:hint="eastAsia" w:ascii="宋体" w:hAnsi="宋体" w:eastAsia="宋体" w:cs="宋体"/>
          <w:color w:val="auto"/>
          <w:kern w:val="0"/>
          <w:sz w:val="21"/>
          <w:szCs w:val="21"/>
          <w:highlight w:val="none"/>
          <w:lang w:eastAsia="zh-CN"/>
        </w:rPr>
        <w:t>支付</w:t>
      </w:r>
      <w:r>
        <w:rPr>
          <w:rFonts w:hint="eastAsia" w:ascii="宋体" w:hAnsi="宋体" w:cs="宋体"/>
          <w:color w:val="auto"/>
          <w:kern w:val="0"/>
          <w:sz w:val="21"/>
          <w:szCs w:val="21"/>
          <w:highlight w:val="none"/>
          <w:lang w:val="en-US" w:eastAsia="zh-CN"/>
        </w:rPr>
        <w:t>合同价</w:t>
      </w:r>
      <w:r>
        <w:rPr>
          <w:rFonts w:hint="eastAsia" w:ascii="宋体" w:hAnsi="宋体" w:eastAsia="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lang w:val="en-US" w:eastAsia="zh-CN"/>
        </w:rPr>
        <w:t>30%为进度款；</w:t>
      </w:r>
    </w:p>
    <w:p>
      <w:pPr>
        <w:keepNext w:val="0"/>
        <w:keepLines w:val="0"/>
        <w:pageBreakBefore w:val="0"/>
        <w:kinsoku/>
        <w:wordWrap/>
        <w:overflowPunct/>
        <w:topLinePunct w:val="0"/>
        <w:autoSpaceDE/>
        <w:autoSpaceDN/>
        <w:bidi w:val="0"/>
        <w:spacing w:line="440" w:lineRule="exact"/>
        <w:ind w:firstLine="480"/>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zh-CN" w:eastAsia="zh-CN"/>
        </w:rPr>
        <w:t>项目</w:t>
      </w:r>
      <w:r>
        <w:rPr>
          <w:rFonts w:hint="eastAsia" w:ascii="宋体" w:hAnsi="宋体" w:eastAsia="宋体" w:cs="宋体"/>
          <w:color w:val="auto"/>
          <w:kern w:val="0"/>
          <w:sz w:val="21"/>
          <w:szCs w:val="21"/>
          <w:highlight w:val="none"/>
          <w:lang w:val="en-US" w:eastAsia="zh-CN"/>
        </w:rPr>
        <w:t>竣工验收后10天内，</w:t>
      </w:r>
      <w:r>
        <w:rPr>
          <w:rFonts w:hint="eastAsia" w:ascii="宋体" w:hAnsi="宋体" w:eastAsia="宋体" w:cs="宋体"/>
          <w:color w:val="auto"/>
          <w:kern w:val="0"/>
          <w:sz w:val="21"/>
          <w:szCs w:val="21"/>
          <w:highlight w:val="none"/>
          <w:lang w:val="zh-CN" w:eastAsia="zh-CN"/>
        </w:rPr>
        <w:t>支付</w:t>
      </w:r>
      <w:r>
        <w:rPr>
          <w:rFonts w:hint="eastAsia" w:ascii="宋体" w:hAnsi="宋体" w:cs="宋体"/>
          <w:color w:val="auto"/>
          <w:kern w:val="0"/>
          <w:sz w:val="21"/>
          <w:szCs w:val="21"/>
          <w:highlight w:val="none"/>
          <w:lang w:val="en-US" w:eastAsia="zh-CN"/>
        </w:rPr>
        <w:t>合同价</w:t>
      </w:r>
      <w:r>
        <w:rPr>
          <w:rFonts w:hint="eastAsia" w:ascii="宋体" w:hAnsi="宋体" w:eastAsia="宋体" w:cs="宋体"/>
          <w:color w:val="auto"/>
          <w:kern w:val="0"/>
          <w:sz w:val="21"/>
          <w:szCs w:val="21"/>
          <w:highlight w:val="none"/>
          <w:lang w:val="en-US" w:eastAsia="zh-CN"/>
        </w:rPr>
        <w:t>的20%</w:t>
      </w:r>
      <w:r>
        <w:rPr>
          <w:rFonts w:hint="eastAsia" w:ascii="宋体" w:hAnsi="宋体" w:eastAsia="宋体" w:cs="宋体"/>
          <w:color w:val="auto"/>
          <w:kern w:val="0"/>
          <w:sz w:val="21"/>
          <w:szCs w:val="21"/>
          <w:highlight w:val="none"/>
          <w:lang w:eastAsia="zh-CN"/>
        </w:rPr>
        <w:t>；</w:t>
      </w:r>
    </w:p>
    <w:p>
      <w:pPr>
        <w:keepNext w:val="0"/>
        <w:keepLines w:val="0"/>
        <w:pageBreakBefore w:val="0"/>
        <w:kinsoku/>
        <w:wordWrap/>
        <w:overflowPunct/>
        <w:topLinePunct w:val="0"/>
        <w:autoSpaceDE/>
        <w:autoSpaceDN/>
        <w:bidi w:val="0"/>
        <w:spacing w:line="440" w:lineRule="exact"/>
        <w:ind w:firstLine="480"/>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zh-CN" w:eastAsia="zh-CN"/>
        </w:rPr>
        <w:t>项目</w:t>
      </w:r>
      <w:r>
        <w:rPr>
          <w:rFonts w:hint="eastAsia" w:ascii="宋体" w:hAnsi="宋体" w:eastAsia="宋体" w:cs="宋体"/>
          <w:color w:val="auto"/>
          <w:kern w:val="0"/>
          <w:sz w:val="21"/>
          <w:szCs w:val="21"/>
          <w:highlight w:val="none"/>
          <w:lang w:val="zh-CN" w:eastAsia="zh-CN"/>
        </w:rPr>
        <w:t>竣工</w:t>
      </w:r>
      <w:r>
        <w:rPr>
          <w:rFonts w:hint="eastAsia" w:ascii="宋体" w:hAnsi="宋体" w:eastAsia="宋体" w:cs="宋体"/>
          <w:color w:val="auto"/>
          <w:kern w:val="0"/>
          <w:sz w:val="21"/>
          <w:szCs w:val="21"/>
          <w:highlight w:val="none"/>
          <w:lang w:val="en-US" w:eastAsia="zh-CN"/>
        </w:rPr>
        <w:t>结算</w:t>
      </w:r>
      <w:r>
        <w:rPr>
          <w:rFonts w:hint="eastAsia" w:ascii="宋体" w:hAnsi="宋体" w:eastAsia="宋体" w:cs="宋体"/>
          <w:color w:val="auto"/>
          <w:kern w:val="0"/>
          <w:sz w:val="21"/>
          <w:szCs w:val="21"/>
          <w:highlight w:val="none"/>
          <w:lang w:val="zh-CN" w:eastAsia="zh-CN"/>
        </w:rPr>
        <w:t>，</w:t>
      </w:r>
      <w:r>
        <w:rPr>
          <w:rFonts w:hint="eastAsia" w:ascii="宋体" w:hAnsi="宋体" w:cs="宋体"/>
          <w:color w:val="auto"/>
          <w:kern w:val="0"/>
          <w:sz w:val="21"/>
          <w:szCs w:val="21"/>
          <w:highlight w:val="none"/>
          <w:lang w:val="en-US" w:eastAsia="zh-CN"/>
        </w:rPr>
        <w:t>需在竣工后1个月内</w:t>
      </w:r>
      <w:r>
        <w:rPr>
          <w:rFonts w:hint="eastAsia" w:ascii="宋体" w:hAnsi="宋体" w:eastAsia="宋体" w:cs="宋体"/>
          <w:color w:val="auto"/>
          <w:kern w:val="0"/>
          <w:sz w:val="21"/>
          <w:szCs w:val="21"/>
          <w:highlight w:val="none"/>
          <w:lang w:val="zh-CN" w:eastAsia="zh-CN"/>
        </w:rPr>
        <w:t>提交结算</w:t>
      </w:r>
      <w:r>
        <w:rPr>
          <w:rFonts w:hint="eastAsia" w:ascii="宋体" w:hAnsi="宋体" w:eastAsia="宋体" w:cs="宋体"/>
          <w:color w:val="auto"/>
          <w:kern w:val="0"/>
          <w:sz w:val="21"/>
          <w:szCs w:val="21"/>
          <w:highlight w:val="none"/>
          <w:lang w:val="en-US" w:eastAsia="zh-CN"/>
        </w:rPr>
        <w:t>书</w:t>
      </w:r>
      <w:r>
        <w:rPr>
          <w:rFonts w:hint="eastAsia" w:ascii="宋体" w:hAnsi="宋体" w:cs="宋体"/>
          <w:color w:val="auto"/>
          <w:kern w:val="0"/>
          <w:sz w:val="21"/>
          <w:szCs w:val="21"/>
          <w:highlight w:val="none"/>
          <w:lang w:val="en-US" w:eastAsia="zh-CN"/>
        </w:rPr>
        <w:t>。结算书</w:t>
      </w:r>
      <w:r>
        <w:rPr>
          <w:rFonts w:hint="eastAsia" w:ascii="宋体" w:hAnsi="宋体" w:eastAsia="宋体" w:cs="宋体"/>
          <w:color w:val="auto"/>
          <w:kern w:val="0"/>
          <w:sz w:val="21"/>
          <w:szCs w:val="21"/>
          <w:highlight w:val="none"/>
          <w:lang w:val="zh-CN" w:eastAsia="zh-CN"/>
        </w:rPr>
        <w:t>经相关部门/单位/第三方结算审计确认后10天内，支付至结算价的97%</w:t>
      </w:r>
      <w:r>
        <w:rPr>
          <w:rFonts w:hint="eastAsia" w:ascii="宋体" w:hAnsi="宋体" w:eastAsia="宋体" w:cs="宋体"/>
          <w:color w:val="auto"/>
          <w:kern w:val="0"/>
          <w:sz w:val="21"/>
          <w:szCs w:val="21"/>
          <w:highlight w:val="none"/>
          <w:lang w:eastAsia="zh-CN"/>
        </w:rPr>
        <w:t>；</w:t>
      </w:r>
    </w:p>
    <w:p>
      <w:pPr>
        <w:keepNext w:val="0"/>
        <w:keepLines w:val="0"/>
        <w:pageBreakBefore w:val="0"/>
        <w:kinsoku/>
        <w:wordWrap/>
        <w:overflowPunct/>
        <w:topLinePunct w:val="0"/>
        <w:autoSpaceDE/>
        <w:autoSpaceDN/>
        <w:bidi w:val="0"/>
        <w:spacing w:line="440" w:lineRule="exact"/>
        <w:ind w:firstLine="48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结算价</w:t>
      </w:r>
      <w:r>
        <w:rPr>
          <w:rFonts w:hint="eastAsia" w:ascii="宋体" w:hAnsi="宋体" w:eastAsia="宋体" w:cs="宋体"/>
          <w:color w:val="auto"/>
          <w:kern w:val="0"/>
          <w:sz w:val="21"/>
          <w:szCs w:val="21"/>
          <w:highlight w:val="none"/>
          <w:lang w:val="zh-CN" w:eastAsia="zh-CN"/>
        </w:rPr>
        <w:t>余款</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zh-CN" w:eastAsia="zh-CN"/>
        </w:rPr>
        <w:t>，</w:t>
      </w:r>
      <w:r>
        <w:rPr>
          <w:rFonts w:hint="eastAsia" w:ascii="宋体" w:hAnsi="宋体" w:eastAsia="宋体" w:cs="宋体"/>
          <w:color w:val="auto"/>
          <w:kern w:val="0"/>
          <w:sz w:val="21"/>
          <w:szCs w:val="21"/>
          <w:highlight w:val="none"/>
        </w:rPr>
        <w:t>余款</w:t>
      </w:r>
      <w:r>
        <w:rPr>
          <w:rFonts w:hint="eastAsia" w:ascii="宋体" w:hAnsi="宋体" w:eastAsia="宋体" w:cs="宋体"/>
          <w:color w:val="auto"/>
          <w:kern w:val="2"/>
          <w:sz w:val="21"/>
          <w:szCs w:val="21"/>
          <w:highlight w:val="none"/>
          <w:lang w:val="zh-CN"/>
        </w:rPr>
        <w:t>在</w:t>
      </w:r>
      <w:r>
        <w:rPr>
          <w:rFonts w:hint="eastAsia" w:ascii="宋体" w:hAnsi="宋体" w:cs="宋体"/>
          <w:color w:val="auto"/>
          <w:kern w:val="2"/>
          <w:sz w:val="21"/>
          <w:szCs w:val="21"/>
          <w:highlight w:val="none"/>
          <w:lang w:val="en-US" w:eastAsia="zh-CN"/>
        </w:rPr>
        <w:t>项目竣工结算</w:t>
      </w:r>
      <w:r>
        <w:rPr>
          <w:rFonts w:hint="eastAsia" w:ascii="宋体" w:hAnsi="宋体" w:eastAsia="宋体" w:cs="宋体"/>
          <w:color w:val="auto"/>
          <w:kern w:val="2"/>
          <w:sz w:val="21"/>
          <w:szCs w:val="21"/>
          <w:highlight w:val="none"/>
          <w:lang w:val="zh-CN"/>
        </w:rPr>
        <w:t>满</w:t>
      </w:r>
      <w:r>
        <w:rPr>
          <w:rFonts w:hint="eastAsia" w:ascii="宋体" w:hAnsi="宋体" w:eastAsia="宋体" w:cs="宋体"/>
          <w:color w:val="auto"/>
          <w:kern w:val="2"/>
          <w:sz w:val="21"/>
          <w:szCs w:val="21"/>
          <w:highlight w:val="none"/>
          <w:lang w:val="zh-CN" w:eastAsia="zh-CN"/>
        </w:rPr>
        <w:t>后</w:t>
      </w:r>
      <w:r>
        <w:rPr>
          <w:rFonts w:hint="eastAsia" w:ascii="宋体" w:hAnsi="宋体" w:cs="宋体"/>
          <w:color w:val="auto"/>
          <w:kern w:val="2"/>
          <w:sz w:val="21"/>
          <w:szCs w:val="21"/>
          <w:highlight w:val="none"/>
          <w:lang w:val="en-US" w:eastAsia="zh-CN"/>
        </w:rPr>
        <w:t>1年后</w:t>
      </w:r>
      <w:r>
        <w:rPr>
          <w:rFonts w:hint="eastAsia" w:ascii="宋体" w:hAnsi="宋体" w:eastAsia="宋体" w:cs="宋体"/>
          <w:color w:val="auto"/>
          <w:kern w:val="0"/>
          <w:sz w:val="21"/>
          <w:szCs w:val="21"/>
          <w:highlight w:val="none"/>
          <w:lang w:eastAsia="zh-CN"/>
        </w:rPr>
        <w:t>乙方无违约行为情形下由甲方</w:t>
      </w:r>
      <w:r>
        <w:rPr>
          <w:rFonts w:hint="eastAsia" w:ascii="宋体" w:hAnsi="宋体" w:eastAsia="宋体" w:cs="宋体"/>
          <w:color w:val="auto"/>
          <w:kern w:val="0"/>
          <w:sz w:val="21"/>
          <w:szCs w:val="21"/>
          <w:highlight w:val="none"/>
        </w:rPr>
        <w:t>无息付清。</w:t>
      </w:r>
    </w:p>
    <w:p>
      <w:pPr>
        <w:keepNext w:val="0"/>
        <w:keepLines w:val="0"/>
        <w:pageBreakBefore w:val="0"/>
        <w:kinsoku/>
        <w:wordWrap/>
        <w:overflowPunct/>
        <w:topLinePunct w:val="0"/>
        <w:autoSpaceDE/>
        <w:autoSpaceDN/>
        <w:bidi w:val="0"/>
        <w:spacing w:line="440" w:lineRule="exact"/>
        <w:ind w:firstLine="48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3.2.2</w:t>
      </w:r>
      <w:r>
        <w:rPr>
          <w:rFonts w:hint="eastAsia" w:ascii="宋体" w:hAnsi="宋体" w:eastAsia="宋体" w:cs="宋体"/>
          <w:color w:val="auto"/>
          <w:kern w:val="0"/>
          <w:sz w:val="21"/>
          <w:szCs w:val="21"/>
          <w:highlight w:val="none"/>
        </w:rPr>
        <w:t>本项目</w:t>
      </w:r>
      <w:r>
        <w:rPr>
          <w:rFonts w:hint="eastAsia" w:ascii="宋体" w:hAnsi="宋体" w:eastAsia="宋体" w:cs="宋体"/>
          <w:color w:val="auto"/>
          <w:kern w:val="0"/>
          <w:sz w:val="21"/>
          <w:szCs w:val="21"/>
          <w:highlight w:val="none"/>
          <w:lang w:val="en-US" w:eastAsia="zh-CN"/>
        </w:rPr>
        <w:t>由乙方负责</w:t>
      </w:r>
      <w:r>
        <w:rPr>
          <w:rFonts w:hint="eastAsia" w:ascii="宋体" w:hAnsi="宋体" w:eastAsia="宋体" w:cs="宋体"/>
          <w:color w:val="auto"/>
          <w:kern w:val="0"/>
          <w:sz w:val="21"/>
          <w:szCs w:val="21"/>
          <w:highlight w:val="none"/>
        </w:rPr>
        <w:t>报批报建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若需</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相关</w:t>
      </w:r>
      <w:r>
        <w:rPr>
          <w:rFonts w:hint="eastAsia" w:ascii="宋体" w:hAnsi="宋体" w:eastAsia="宋体" w:cs="宋体"/>
          <w:color w:val="auto"/>
          <w:kern w:val="0"/>
          <w:sz w:val="21"/>
          <w:szCs w:val="21"/>
          <w:highlight w:val="none"/>
        </w:rPr>
        <w:t>一切费用由</w:t>
      </w:r>
      <w:r>
        <w:rPr>
          <w:rFonts w:hint="eastAsia" w:ascii="宋体" w:hAnsi="宋体" w:eastAsia="宋体" w:cs="宋体"/>
          <w:color w:val="auto"/>
          <w:kern w:val="0"/>
          <w:sz w:val="21"/>
          <w:szCs w:val="21"/>
          <w:highlight w:val="none"/>
          <w:lang w:eastAsia="zh-CN"/>
        </w:rPr>
        <w:t>乙方</w:t>
      </w:r>
      <w:r>
        <w:rPr>
          <w:rFonts w:hint="eastAsia" w:ascii="宋体" w:hAnsi="宋体" w:eastAsia="宋体" w:cs="宋体"/>
          <w:color w:val="auto"/>
          <w:kern w:val="0"/>
          <w:sz w:val="21"/>
          <w:szCs w:val="21"/>
          <w:highlight w:val="none"/>
        </w:rPr>
        <w:t>承担。</w:t>
      </w:r>
    </w:p>
    <w:p>
      <w:pPr>
        <w:keepNext w:val="0"/>
        <w:keepLines w:val="0"/>
        <w:pageBreakBefore w:val="0"/>
        <w:kinsoku/>
        <w:wordWrap/>
        <w:overflowPunct/>
        <w:topLinePunct w:val="0"/>
        <w:autoSpaceDE/>
        <w:autoSpaceDN/>
        <w:bidi w:val="0"/>
        <w:spacing w:line="440" w:lineRule="exact"/>
        <w:ind w:firstLine="48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3.2.3</w:t>
      </w:r>
      <w:r>
        <w:rPr>
          <w:rFonts w:hint="eastAsia" w:ascii="宋体" w:hAnsi="宋体" w:eastAsia="宋体" w:cs="宋体"/>
          <w:color w:val="auto"/>
          <w:kern w:val="0"/>
          <w:sz w:val="21"/>
          <w:szCs w:val="21"/>
          <w:highlight w:val="none"/>
        </w:rPr>
        <w:t>乙方应按甲方要求</w:t>
      </w:r>
      <w:r>
        <w:rPr>
          <w:rFonts w:hint="eastAsia" w:ascii="宋体" w:hAnsi="宋体" w:eastAsia="宋体" w:cs="宋体"/>
          <w:color w:val="auto"/>
          <w:kern w:val="0"/>
          <w:sz w:val="21"/>
          <w:szCs w:val="21"/>
          <w:highlight w:val="none"/>
          <w:lang w:eastAsia="zh-CN"/>
        </w:rPr>
        <w:t>在甲方付款前</w:t>
      </w:r>
      <w:r>
        <w:rPr>
          <w:rFonts w:hint="eastAsia" w:ascii="宋体" w:hAnsi="宋体" w:eastAsia="宋体" w:cs="宋体"/>
          <w:color w:val="auto"/>
          <w:kern w:val="0"/>
          <w:sz w:val="21"/>
          <w:szCs w:val="21"/>
          <w:highlight w:val="none"/>
        </w:rPr>
        <w:t>向甲方开具</w:t>
      </w:r>
      <w:r>
        <w:rPr>
          <w:rFonts w:hint="eastAsia" w:ascii="宋体" w:hAnsi="宋体" w:eastAsia="宋体" w:cs="宋体"/>
          <w:color w:val="auto"/>
          <w:kern w:val="0"/>
          <w:sz w:val="21"/>
          <w:szCs w:val="21"/>
          <w:highlight w:val="none"/>
          <w:lang w:val="en-US" w:eastAsia="zh-CN"/>
        </w:rPr>
        <w:t>等额</w:t>
      </w:r>
      <w:r>
        <w:rPr>
          <w:rFonts w:hint="eastAsia" w:ascii="宋体" w:hAnsi="宋体" w:eastAsia="宋体" w:cs="宋体"/>
          <w:color w:val="auto"/>
          <w:kern w:val="0"/>
          <w:sz w:val="21"/>
          <w:szCs w:val="21"/>
          <w:highlight w:val="none"/>
        </w:rPr>
        <w:t>增值税专用发票，</w:t>
      </w:r>
      <w:r>
        <w:rPr>
          <w:rFonts w:hint="eastAsia" w:ascii="宋体" w:hAnsi="宋体" w:eastAsia="宋体" w:cs="宋体"/>
          <w:color w:val="auto"/>
          <w:kern w:val="0"/>
          <w:sz w:val="21"/>
          <w:szCs w:val="21"/>
          <w:highlight w:val="none"/>
          <w:lang w:eastAsia="zh-CN"/>
        </w:rPr>
        <w:t>否则甲方有权延迟付款，</w:t>
      </w:r>
      <w:r>
        <w:rPr>
          <w:rFonts w:hint="eastAsia" w:ascii="宋体" w:hAnsi="宋体" w:eastAsia="宋体" w:cs="宋体"/>
          <w:color w:val="auto"/>
          <w:kern w:val="0"/>
          <w:sz w:val="21"/>
          <w:szCs w:val="21"/>
          <w:highlight w:val="none"/>
        </w:rPr>
        <w:t>甲方开票信息：</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名</w:t>
      </w:r>
      <w:r>
        <w:rPr>
          <w:rFonts w:hint="eastAsia" w:ascii="宋体" w:hAnsi="宋体" w:eastAsia="宋体" w:cs="宋体"/>
          <w:color w:val="auto"/>
          <w:kern w:val="0"/>
          <w:sz w:val="21"/>
          <w:szCs w:val="21"/>
          <w:highlight w:val="none"/>
          <w:lang w:val="en-US" w:eastAsia="zh-CN"/>
        </w:rPr>
        <w:t>称：</w:t>
      </w:r>
      <w:r>
        <w:rPr>
          <w:rFonts w:hint="eastAsia" w:ascii="宋体" w:hAnsi="宋体" w:eastAsia="宋体" w:cs="宋体"/>
          <w:color w:val="auto"/>
          <w:kern w:val="0"/>
          <w:sz w:val="21"/>
          <w:szCs w:val="21"/>
          <w:highlight w:val="none"/>
          <w:u w:val="single"/>
          <w:lang w:val="en-US" w:eastAsia="zh-CN"/>
        </w:rPr>
        <w:t>广东南方报业传媒集团有限公司</w:t>
      </w:r>
      <w:r>
        <w:rPr>
          <w:rFonts w:hint="eastAsia" w:ascii="宋体" w:hAnsi="宋体" w:eastAsia="宋体" w:cs="宋体"/>
          <w:color w:val="auto"/>
          <w:kern w:val="0"/>
          <w:sz w:val="21"/>
          <w:szCs w:val="21"/>
          <w:highlight w:val="none"/>
          <w:lang w:val="en-US" w:eastAsia="zh-CN"/>
        </w:rPr>
        <w:t xml:space="preserve"> </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纳税人识别号：</w:t>
      </w:r>
      <w:r>
        <w:rPr>
          <w:rFonts w:hint="eastAsia" w:ascii="宋体" w:hAnsi="宋体" w:eastAsia="宋体" w:cs="宋体"/>
          <w:color w:val="auto"/>
          <w:kern w:val="0"/>
          <w:sz w:val="21"/>
          <w:szCs w:val="21"/>
          <w:highlight w:val="none"/>
          <w:u w:val="single"/>
          <w:lang w:val="en-US" w:eastAsia="zh-CN"/>
        </w:rPr>
        <w:t>91440000190325737Q</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开户行：</w:t>
      </w:r>
      <w:r>
        <w:rPr>
          <w:rFonts w:hint="eastAsia" w:ascii="宋体" w:hAnsi="宋体" w:eastAsia="宋体" w:cs="宋体"/>
          <w:color w:val="auto"/>
          <w:kern w:val="0"/>
          <w:sz w:val="21"/>
          <w:szCs w:val="21"/>
          <w:highlight w:val="none"/>
          <w:u w:val="single"/>
          <w:lang w:val="en-US" w:eastAsia="zh-CN"/>
        </w:rPr>
        <w:t>中国建设银行广州市五羊新城支行</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账号：</w:t>
      </w:r>
      <w:r>
        <w:rPr>
          <w:rFonts w:hint="eastAsia" w:ascii="宋体" w:hAnsi="宋体" w:eastAsia="宋体" w:cs="宋体"/>
          <w:color w:val="auto"/>
          <w:kern w:val="0"/>
          <w:sz w:val="21"/>
          <w:szCs w:val="21"/>
          <w:highlight w:val="none"/>
          <w:u w:val="single"/>
          <w:lang w:val="en-US" w:eastAsia="zh-CN"/>
        </w:rPr>
        <w:t>44001400905050081333</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地址：</w:t>
      </w:r>
      <w:r>
        <w:rPr>
          <w:rFonts w:hint="eastAsia" w:ascii="宋体" w:hAnsi="宋体" w:eastAsia="宋体" w:cs="宋体"/>
          <w:color w:val="auto"/>
          <w:kern w:val="0"/>
          <w:sz w:val="21"/>
          <w:szCs w:val="21"/>
          <w:highlight w:val="none"/>
          <w:u w:val="single"/>
          <w:lang w:val="en-US" w:eastAsia="zh-CN"/>
        </w:rPr>
        <w:t>广东省广州市越秀区广州大道中289号</w:t>
      </w:r>
      <w:r>
        <w:rPr>
          <w:rFonts w:hint="eastAsia" w:ascii="宋体" w:hAnsi="宋体" w:eastAsia="宋体" w:cs="宋体"/>
          <w:color w:val="auto"/>
          <w:kern w:val="0"/>
          <w:sz w:val="21"/>
          <w:szCs w:val="21"/>
          <w:highlight w:val="none"/>
          <w:lang w:val="en-US" w:eastAsia="zh-CN"/>
        </w:rPr>
        <w:t xml:space="preserve"> </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u w:val="single"/>
          <w:lang w:eastAsia="zh-CN"/>
        </w:rPr>
      </w:pPr>
      <w:r>
        <w:rPr>
          <w:rFonts w:hint="eastAsia" w:ascii="宋体" w:hAnsi="宋体" w:eastAsia="宋体" w:cs="宋体"/>
          <w:color w:val="auto"/>
          <w:kern w:val="0"/>
          <w:sz w:val="21"/>
          <w:szCs w:val="21"/>
          <w:highlight w:val="none"/>
          <w:lang w:val="en-US" w:eastAsia="zh-CN"/>
        </w:rPr>
        <w:t>电话：</w:t>
      </w:r>
      <w:r>
        <w:rPr>
          <w:rFonts w:hint="eastAsia" w:ascii="宋体" w:hAnsi="宋体" w:eastAsia="宋体" w:cs="宋体"/>
          <w:color w:val="auto"/>
          <w:kern w:val="0"/>
          <w:sz w:val="21"/>
          <w:szCs w:val="21"/>
          <w:highlight w:val="none"/>
          <w:u w:val="single"/>
          <w:lang w:val="en-US" w:eastAsia="zh-CN"/>
        </w:rPr>
        <w:t>020-873</w:t>
      </w:r>
      <w:r>
        <w:rPr>
          <w:rFonts w:hint="eastAsia" w:ascii="宋体" w:hAnsi="宋体" w:eastAsia="宋体" w:cs="宋体"/>
          <w:color w:val="auto"/>
          <w:kern w:val="0"/>
          <w:sz w:val="21"/>
          <w:szCs w:val="21"/>
          <w:highlight w:val="none"/>
          <w:u w:val="single"/>
        </w:rPr>
        <w:t>73998</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3乙方</w:t>
      </w:r>
      <w:r>
        <w:rPr>
          <w:rFonts w:hint="eastAsia" w:ascii="宋体" w:hAnsi="宋体" w:eastAsia="宋体" w:cs="宋体"/>
          <w:color w:val="auto"/>
          <w:kern w:val="0"/>
          <w:sz w:val="21"/>
          <w:szCs w:val="21"/>
          <w:highlight w:val="none"/>
          <w:lang w:val="en-US" w:eastAsia="zh-CN"/>
        </w:rPr>
        <w:t>收款</w:t>
      </w:r>
      <w:r>
        <w:rPr>
          <w:rFonts w:hint="eastAsia" w:ascii="宋体" w:hAnsi="宋体" w:eastAsia="宋体" w:cs="宋体"/>
          <w:color w:val="auto"/>
          <w:kern w:val="0"/>
          <w:sz w:val="21"/>
          <w:szCs w:val="21"/>
          <w:highlight w:val="none"/>
        </w:rPr>
        <w:t>账户信息</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户名：</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开户行：</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账号：</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地址：</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电话：</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autoSpaceDE/>
        <w:autoSpaceDN/>
        <w:bidi w:val="0"/>
        <w:adjustRightInd w:val="0"/>
        <w:snapToGrid w:val="0"/>
        <w:spacing w:line="440" w:lineRule="exact"/>
        <w:ind w:firstLine="413" w:firstLineChars="196"/>
        <w:textAlignment w:val="auto"/>
        <w:rPr>
          <w:rFonts w:hint="eastAsia" w:ascii="宋体" w:hAnsi="宋体" w:cs="宋体"/>
          <w:b/>
          <w:color w:val="auto"/>
          <w:szCs w:val="21"/>
          <w:highlight w:val="none"/>
        </w:rPr>
      </w:pPr>
    </w:p>
    <w:p>
      <w:pPr>
        <w:keepNext w:val="0"/>
        <w:keepLines w:val="0"/>
        <w:pageBreakBefore w:val="0"/>
        <w:kinsoku/>
        <w:wordWrap/>
        <w:overflowPunct/>
        <w:topLinePunct w:val="0"/>
        <w:autoSpaceDE/>
        <w:autoSpaceDN/>
        <w:bidi w:val="0"/>
        <w:adjustRightInd w:val="0"/>
        <w:snapToGrid w:val="0"/>
        <w:spacing w:line="440" w:lineRule="exact"/>
        <w:ind w:firstLine="480"/>
        <w:textAlignment w:val="auto"/>
        <w:rPr>
          <w:rFonts w:hint="default"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rPr>
        <w:t>第</w:t>
      </w:r>
      <w:r>
        <w:rPr>
          <w:rFonts w:hint="eastAsia" w:ascii="宋体" w:hAnsi="宋体" w:eastAsia="宋体" w:cs="宋体"/>
          <w:b/>
          <w:bCs/>
          <w:color w:val="auto"/>
          <w:kern w:val="0"/>
          <w:sz w:val="21"/>
          <w:szCs w:val="21"/>
          <w:highlight w:val="none"/>
          <w:lang w:val="en-US" w:eastAsia="zh-CN"/>
        </w:rPr>
        <w:t>四</w:t>
      </w:r>
      <w:r>
        <w:rPr>
          <w:rFonts w:hint="eastAsia" w:ascii="宋体" w:hAnsi="宋体" w:eastAsia="宋体" w:cs="宋体"/>
          <w:b/>
          <w:bCs/>
          <w:color w:val="auto"/>
          <w:kern w:val="0"/>
          <w:sz w:val="21"/>
          <w:szCs w:val="21"/>
          <w:highlight w:val="none"/>
        </w:rPr>
        <w:t xml:space="preserve">条  </w:t>
      </w:r>
      <w:r>
        <w:rPr>
          <w:rFonts w:hint="eastAsia" w:ascii="宋体" w:hAnsi="宋体" w:eastAsia="宋体" w:cs="宋体"/>
          <w:b/>
          <w:bCs/>
          <w:color w:val="auto"/>
          <w:kern w:val="0"/>
          <w:sz w:val="21"/>
          <w:szCs w:val="21"/>
          <w:highlight w:val="none"/>
          <w:lang w:val="en-US" w:eastAsia="zh-CN"/>
        </w:rPr>
        <w:t>双方权利义务</w:t>
      </w:r>
    </w:p>
    <w:p>
      <w:pPr>
        <w:keepNext w:val="0"/>
        <w:keepLines w:val="0"/>
        <w:pageBreakBefore w:val="0"/>
        <w:widowControl/>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4.1甲方义务</w:t>
      </w:r>
    </w:p>
    <w:p>
      <w:pPr>
        <w:keepNext w:val="0"/>
        <w:keepLines w:val="0"/>
        <w:pageBreakBefore w:val="0"/>
        <w:widowControl/>
        <w:kinsoku/>
        <w:wordWrap/>
        <w:overflowPunct/>
        <w:topLinePunct w:val="0"/>
        <w:autoSpaceDE/>
        <w:autoSpaceDN/>
        <w:bidi w:val="0"/>
        <w:spacing w:line="440" w:lineRule="exact"/>
        <w:ind w:left="0" w:lef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1甲方委托</w:t>
      </w:r>
      <w:r>
        <w:rPr>
          <w:rFonts w:hint="eastAsia" w:ascii="宋体" w:hAnsi="宋体" w:eastAsia="宋体" w:cs="宋体"/>
          <w:color w:val="auto"/>
          <w:kern w:val="0"/>
          <w:sz w:val="21"/>
          <w:szCs w:val="21"/>
          <w:highlight w:val="none"/>
          <w:u w:val="none"/>
          <w:lang w:val="en-US" w:eastAsia="zh-CN"/>
        </w:rPr>
        <w:t>广东南方报业传媒集团物业管理有限公司为甲方代表，委派员工</w:t>
      </w:r>
      <w:r>
        <w:rPr>
          <w:rFonts w:hint="eastAsia" w:ascii="宋体" w:hAnsi="宋体" w:eastAsia="宋体" w:cs="宋体"/>
          <w:color w:val="auto"/>
          <w:kern w:val="0"/>
          <w:sz w:val="21"/>
          <w:szCs w:val="21"/>
          <w:highlight w:val="none"/>
          <w:u w:val="single"/>
          <w:lang w:val="en-US" w:eastAsia="zh-CN"/>
        </w:rPr>
        <w:t xml:space="preserve">    （身份证号：               ，联系电话：             ）</w:t>
      </w:r>
      <w:r>
        <w:rPr>
          <w:rFonts w:hint="eastAsia" w:ascii="宋体" w:hAnsi="宋体" w:eastAsia="宋体" w:cs="宋体"/>
          <w:color w:val="auto"/>
          <w:kern w:val="0"/>
          <w:sz w:val="21"/>
          <w:szCs w:val="21"/>
          <w:highlight w:val="none"/>
        </w:rPr>
        <w:t>跟进</w:t>
      </w:r>
      <w:r>
        <w:rPr>
          <w:rFonts w:hint="eastAsia" w:ascii="宋体" w:hAnsi="宋体" w:cs="宋体"/>
          <w:color w:val="auto"/>
          <w:kern w:val="0"/>
          <w:sz w:val="21"/>
          <w:szCs w:val="21"/>
          <w:highlight w:val="none"/>
          <w:lang w:eastAsia="zh-CN"/>
        </w:rPr>
        <w:t>项目</w:t>
      </w:r>
      <w:r>
        <w:rPr>
          <w:rFonts w:hint="eastAsia" w:ascii="宋体" w:hAnsi="宋体" w:eastAsia="宋体" w:cs="宋体"/>
          <w:color w:val="auto"/>
          <w:kern w:val="0"/>
          <w:sz w:val="21"/>
          <w:szCs w:val="21"/>
          <w:highlight w:val="none"/>
        </w:rPr>
        <w:t>事宜，负责合同履行及与乙方接洽，对</w:t>
      </w:r>
      <w:r>
        <w:rPr>
          <w:rFonts w:hint="eastAsia" w:ascii="宋体" w:hAnsi="宋体" w:cs="宋体"/>
          <w:color w:val="auto"/>
          <w:kern w:val="0"/>
          <w:sz w:val="21"/>
          <w:szCs w:val="21"/>
          <w:highlight w:val="none"/>
          <w:lang w:eastAsia="zh-CN"/>
        </w:rPr>
        <w:t>项目</w:t>
      </w:r>
      <w:r>
        <w:rPr>
          <w:rFonts w:hint="eastAsia" w:ascii="宋体" w:hAnsi="宋体" w:eastAsia="宋体" w:cs="宋体"/>
          <w:color w:val="auto"/>
          <w:kern w:val="0"/>
          <w:sz w:val="21"/>
          <w:szCs w:val="21"/>
          <w:highlight w:val="none"/>
        </w:rPr>
        <w:t>质量、进度进行监督检查，办理施工所涉及的各种申请。</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2开工前</w:t>
      </w:r>
      <w:r>
        <w:rPr>
          <w:rFonts w:hint="eastAsia" w:ascii="宋体" w:hAnsi="宋体" w:eastAsia="宋体" w:cs="宋体"/>
          <w:color w:val="auto"/>
          <w:kern w:val="0"/>
          <w:sz w:val="21"/>
          <w:szCs w:val="21"/>
          <w:highlight w:val="none"/>
          <w:u w:val="none"/>
          <w:lang w:val="en-US" w:eastAsia="zh-CN"/>
        </w:rPr>
        <w:t>2</w:t>
      </w:r>
      <w:r>
        <w:rPr>
          <w:rFonts w:hint="eastAsia" w:ascii="宋体" w:hAnsi="宋体" w:eastAsia="宋体" w:cs="宋体"/>
          <w:color w:val="auto"/>
          <w:kern w:val="0"/>
          <w:sz w:val="21"/>
          <w:szCs w:val="21"/>
          <w:highlight w:val="none"/>
        </w:rPr>
        <w:t>天，向乙方提供</w:t>
      </w:r>
      <w:r>
        <w:rPr>
          <w:rFonts w:hint="eastAsia" w:ascii="宋体" w:hAnsi="宋体" w:eastAsia="宋体" w:cs="宋体"/>
          <w:color w:val="auto"/>
          <w:kern w:val="0"/>
          <w:sz w:val="21"/>
          <w:szCs w:val="21"/>
          <w:highlight w:val="none"/>
          <w:u w:val="none"/>
          <w:lang w:val="en-US" w:eastAsia="zh-CN"/>
        </w:rPr>
        <w:t>广东南方报业传媒集团物业管理有限公司</w:t>
      </w:r>
      <w:r>
        <w:rPr>
          <w:rFonts w:hint="eastAsia" w:ascii="宋体" w:hAnsi="宋体" w:eastAsia="宋体" w:cs="宋体"/>
          <w:color w:val="auto"/>
          <w:kern w:val="0"/>
          <w:sz w:val="21"/>
          <w:szCs w:val="21"/>
          <w:highlight w:val="none"/>
        </w:rPr>
        <w:t>同意施工的文件，并向乙方现场交底，为乙方入场施工创造条件。</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3</w:t>
      </w:r>
      <w:r>
        <w:rPr>
          <w:rFonts w:hint="eastAsia" w:ascii="宋体" w:hAnsi="宋体" w:cs="宋体"/>
          <w:color w:val="auto"/>
          <w:kern w:val="0"/>
          <w:sz w:val="21"/>
          <w:szCs w:val="21"/>
          <w:highlight w:val="none"/>
          <w:lang w:eastAsia="zh-CN"/>
        </w:rPr>
        <w:t>项目</w:t>
      </w:r>
      <w:r>
        <w:rPr>
          <w:rFonts w:hint="eastAsia" w:ascii="宋体" w:hAnsi="宋体" w:eastAsia="宋体" w:cs="宋体"/>
          <w:color w:val="auto"/>
          <w:kern w:val="0"/>
          <w:sz w:val="21"/>
          <w:szCs w:val="21"/>
          <w:highlight w:val="none"/>
        </w:rPr>
        <w:t>所在的物业管理单位因施工而收取的各项物业管理费用，由甲方承担（出入证除外），乙方协助提供物管所需相关资料。</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4甲方提供施工期间的水源、电源。</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5参与对</w:t>
      </w:r>
      <w:r>
        <w:rPr>
          <w:rFonts w:hint="eastAsia" w:ascii="宋体" w:hAnsi="宋体" w:cs="宋体"/>
          <w:color w:val="auto"/>
          <w:kern w:val="0"/>
          <w:sz w:val="21"/>
          <w:szCs w:val="21"/>
          <w:highlight w:val="none"/>
          <w:lang w:eastAsia="zh-CN"/>
        </w:rPr>
        <w:t>项目</w:t>
      </w:r>
      <w:r>
        <w:rPr>
          <w:rFonts w:hint="eastAsia" w:ascii="宋体" w:hAnsi="宋体" w:eastAsia="宋体" w:cs="宋体"/>
          <w:color w:val="auto"/>
          <w:kern w:val="0"/>
          <w:sz w:val="21"/>
          <w:szCs w:val="21"/>
          <w:highlight w:val="none"/>
        </w:rPr>
        <w:t>质量、施工进度的监督。</w:t>
      </w:r>
    </w:p>
    <w:p>
      <w:pPr>
        <w:keepNext w:val="0"/>
        <w:keepLines w:val="0"/>
        <w:pageBreakBefore w:val="0"/>
        <w:widowControl/>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4.2乙方义务</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4.2.1</w:t>
      </w:r>
      <w:r>
        <w:rPr>
          <w:rFonts w:hint="eastAsia" w:ascii="宋体" w:hAnsi="宋体" w:eastAsia="宋体" w:cs="宋体"/>
          <w:color w:val="auto"/>
          <w:kern w:val="0"/>
          <w:sz w:val="21"/>
          <w:szCs w:val="21"/>
          <w:highlight w:val="none"/>
        </w:rPr>
        <w:t xml:space="preserve">乙方委派 </w:t>
      </w:r>
      <w:r>
        <w:rPr>
          <w:rFonts w:hint="eastAsia" w:ascii="宋体" w:hAnsi="宋体" w:eastAsia="宋体" w:cs="宋体"/>
          <w:color w:val="auto"/>
          <w:kern w:val="0"/>
          <w:sz w:val="21"/>
          <w:szCs w:val="21"/>
          <w:highlight w:val="none"/>
          <w:u w:val="none"/>
        </w:rPr>
        <w:t xml:space="preserve">        </w:t>
      </w:r>
      <w:r>
        <w:rPr>
          <w:rFonts w:hint="eastAsia" w:ascii="宋体" w:hAnsi="宋体" w:eastAsia="宋体" w:cs="宋体"/>
          <w:color w:val="auto"/>
          <w:kern w:val="0"/>
          <w:sz w:val="21"/>
          <w:szCs w:val="21"/>
          <w:highlight w:val="none"/>
        </w:rPr>
        <w:t>（身份证号：</w:t>
      </w:r>
      <w:r>
        <w:rPr>
          <w:rFonts w:hint="eastAsia" w:ascii="宋体" w:hAnsi="宋体" w:eastAsia="宋体" w:cs="宋体"/>
          <w:color w:val="auto"/>
          <w:kern w:val="0"/>
          <w:sz w:val="21"/>
          <w:szCs w:val="21"/>
          <w:highlight w:val="none"/>
          <w:u w:val="none"/>
        </w:rPr>
        <w:t xml:space="preserve">               </w:t>
      </w:r>
      <w:r>
        <w:rPr>
          <w:rFonts w:hint="eastAsia" w:ascii="宋体" w:hAnsi="宋体" w:eastAsia="宋体" w:cs="宋体"/>
          <w:color w:val="auto"/>
          <w:kern w:val="0"/>
          <w:sz w:val="21"/>
          <w:szCs w:val="21"/>
          <w:highlight w:val="none"/>
        </w:rPr>
        <w:t>，联系电话：</w:t>
      </w:r>
      <w:r>
        <w:rPr>
          <w:rFonts w:hint="eastAsia" w:ascii="宋体" w:hAnsi="宋体" w:eastAsia="宋体" w:cs="宋体"/>
          <w:color w:val="auto"/>
          <w:kern w:val="0"/>
          <w:sz w:val="21"/>
          <w:szCs w:val="21"/>
          <w:highlight w:val="none"/>
          <w:u w:val="none"/>
        </w:rPr>
        <w:t xml:space="preserve">             </w:t>
      </w:r>
      <w:r>
        <w:rPr>
          <w:rFonts w:hint="eastAsia" w:ascii="宋体" w:hAnsi="宋体" w:eastAsia="宋体" w:cs="宋体"/>
          <w:color w:val="auto"/>
          <w:kern w:val="0"/>
          <w:sz w:val="21"/>
          <w:szCs w:val="21"/>
          <w:highlight w:val="none"/>
        </w:rPr>
        <w:t>）为乙方代表，负责履行合同，提供设计图纸，并按设计要求组织施工，保质、保量的按期完成施工任务，解决合同中规定由乙方负责的各项事宜。</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4.2.2</w:t>
      </w:r>
      <w:r>
        <w:rPr>
          <w:rFonts w:hint="eastAsia" w:ascii="宋体" w:hAnsi="宋体" w:eastAsia="宋体" w:cs="宋体"/>
          <w:color w:val="auto"/>
          <w:kern w:val="0"/>
          <w:sz w:val="21"/>
          <w:szCs w:val="21"/>
          <w:highlight w:val="none"/>
        </w:rPr>
        <w:t>严格执行法律法规及规范性文件关于设计、</w:t>
      </w:r>
      <w:r>
        <w:rPr>
          <w:rFonts w:hint="eastAsia" w:ascii="宋体" w:hAnsi="宋体" w:eastAsia="宋体" w:cs="宋体"/>
          <w:color w:val="auto"/>
          <w:kern w:val="0"/>
          <w:sz w:val="21"/>
          <w:szCs w:val="21"/>
          <w:highlight w:val="none"/>
          <w:lang w:val="en-US" w:eastAsia="zh-CN"/>
        </w:rPr>
        <w:t>消防、建筑规范和技术标准的</w:t>
      </w:r>
      <w:r>
        <w:rPr>
          <w:rFonts w:hint="eastAsia" w:ascii="宋体" w:hAnsi="宋体" w:eastAsia="宋体" w:cs="宋体"/>
          <w:color w:val="auto"/>
          <w:kern w:val="0"/>
          <w:sz w:val="21"/>
          <w:szCs w:val="21"/>
          <w:highlight w:val="none"/>
        </w:rPr>
        <w:t>规定，保证</w:t>
      </w:r>
      <w:r>
        <w:rPr>
          <w:rFonts w:hint="eastAsia" w:ascii="宋体" w:hAnsi="宋体" w:cs="宋体"/>
          <w:color w:val="auto"/>
          <w:kern w:val="0"/>
          <w:sz w:val="21"/>
          <w:szCs w:val="21"/>
          <w:highlight w:val="none"/>
          <w:lang w:eastAsia="zh-CN"/>
        </w:rPr>
        <w:t>项目</w:t>
      </w:r>
      <w:r>
        <w:rPr>
          <w:rFonts w:hint="eastAsia" w:ascii="宋体" w:hAnsi="宋体" w:eastAsia="宋体" w:cs="宋体"/>
          <w:color w:val="auto"/>
          <w:kern w:val="0"/>
          <w:sz w:val="21"/>
          <w:szCs w:val="21"/>
          <w:highlight w:val="none"/>
        </w:rPr>
        <w:t>质量。</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rPr>
        <w:t>4.2.3</w:t>
      </w:r>
      <w:r>
        <w:rPr>
          <w:rFonts w:hint="eastAsia" w:ascii="宋体" w:hAnsi="宋体" w:eastAsia="宋体" w:cs="宋体"/>
          <w:color w:val="auto"/>
          <w:kern w:val="0"/>
          <w:sz w:val="21"/>
          <w:szCs w:val="21"/>
          <w:highlight w:val="none"/>
        </w:rPr>
        <w:t>根据</w:t>
      </w:r>
      <w:r>
        <w:rPr>
          <w:rFonts w:hint="eastAsia" w:ascii="宋体" w:hAnsi="宋体" w:eastAsia="宋体" w:cs="宋体"/>
          <w:color w:val="auto"/>
          <w:kern w:val="0"/>
          <w:sz w:val="21"/>
          <w:szCs w:val="21"/>
          <w:highlight w:val="none"/>
          <w:lang w:val="en-US" w:eastAsia="zh-CN"/>
        </w:rPr>
        <w:t>甲方确认的</w:t>
      </w:r>
      <w:r>
        <w:rPr>
          <w:rFonts w:hint="eastAsia" w:ascii="宋体" w:hAnsi="宋体" w:cs="宋体"/>
          <w:color w:val="auto"/>
          <w:kern w:val="0"/>
          <w:sz w:val="21"/>
          <w:szCs w:val="21"/>
          <w:highlight w:val="none"/>
          <w:lang w:val="en-US" w:eastAsia="zh-CN"/>
        </w:rPr>
        <w:t>施工</w:t>
      </w:r>
      <w:r>
        <w:rPr>
          <w:rFonts w:hint="eastAsia" w:ascii="宋体" w:hAnsi="宋体" w:eastAsia="宋体" w:cs="宋体"/>
          <w:color w:val="auto"/>
          <w:kern w:val="0"/>
          <w:sz w:val="21"/>
          <w:szCs w:val="21"/>
          <w:highlight w:val="none"/>
        </w:rPr>
        <w:t>设计方案向甲方提供</w:t>
      </w:r>
      <w:r>
        <w:rPr>
          <w:rFonts w:hint="eastAsia" w:ascii="宋体" w:hAnsi="宋体" w:cs="宋体"/>
          <w:color w:val="auto"/>
          <w:kern w:val="0"/>
          <w:sz w:val="21"/>
          <w:szCs w:val="21"/>
          <w:highlight w:val="none"/>
          <w:lang w:eastAsia="zh-CN"/>
        </w:rPr>
        <w:t>项目</w:t>
      </w:r>
      <w:r>
        <w:rPr>
          <w:rFonts w:hint="eastAsia" w:ascii="宋体" w:hAnsi="宋体" w:eastAsia="宋体" w:cs="宋体"/>
          <w:color w:val="auto"/>
          <w:kern w:val="0"/>
          <w:sz w:val="21"/>
          <w:szCs w:val="21"/>
          <w:highlight w:val="none"/>
        </w:rPr>
        <w:t>费用明细和</w:t>
      </w:r>
      <w:r>
        <w:rPr>
          <w:rFonts w:hint="eastAsia" w:ascii="宋体" w:hAnsi="宋体" w:cs="宋体"/>
          <w:color w:val="auto"/>
          <w:kern w:val="0"/>
          <w:sz w:val="21"/>
          <w:szCs w:val="21"/>
          <w:highlight w:val="none"/>
          <w:lang w:eastAsia="zh-CN"/>
        </w:rPr>
        <w:t>项目</w:t>
      </w:r>
      <w:r>
        <w:rPr>
          <w:rFonts w:hint="eastAsia" w:ascii="宋体" w:hAnsi="宋体" w:eastAsia="宋体" w:cs="宋体"/>
          <w:color w:val="auto"/>
          <w:kern w:val="0"/>
          <w:sz w:val="21"/>
          <w:szCs w:val="21"/>
          <w:highlight w:val="none"/>
        </w:rPr>
        <w:t>预算表。</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4.2.4未经</w:t>
      </w:r>
      <w:r>
        <w:rPr>
          <w:rFonts w:hint="eastAsia" w:ascii="宋体" w:hAnsi="宋体" w:eastAsia="宋体" w:cs="宋体"/>
          <w:color w:val="auto"/>
          <w:kern w:val="0"/>
          <w:sz w:val="21"/>
          <w:szCs w:val="21"/>
          <w:highlight w:val="none"/>
        </w:rPr>
        <w:t>甲方</w:t>
      </w:r>
      <w:r>
        <w:rPr>
          <w:rFonts w:hint="eastAsia" w:ascii="宋体" w:hAnsi="宋体" w:eastAsia="宋体" w:cs="宋体"/>
          <w:color w:val="auto"/>
          <w:kern w:val="0"/>
          <w:sz w:val="21"/>
          <w:szCs w:val="21"/>
          <w:highlight w:val="none"/>
          <w:lang w:val="en-US" w:eastAsia="zh-CN"/>
        </w:rPr>
        <w:t>同意</w:t>
      </w:r>
      <w:r>
        <w:rPr>
          <w:rFonts w:hint="eastAsia" w:ascii="宋体" w:hAnsi="宋体" w:eastAsia="宋体" w:cs="宋体"/>
          <w:color w:val="auto"/>
          <w:kern w:val="0"/>
          <w:sz w:val="21"/>
          <w:szCs w:val="21"/>
          <w:highlight w:val="none"/>
        </w:rPr>
        <w:t>，禁止拆改承重结构，严禁随意拆改原建筑结构及各种设备管线等，否则应承担相应责任。</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4.2.5</w:t>
      </w:r>
      <w:r>
        <w:rPr>
          <w:rFonts w:hint="eastAsia" w:ascii="宋体" w:hAnsi="宋体" w:eastAsia="宋体" w:cs="宋体"/>
          <w:color w:val="auto"/>
          <w:kern w:val="0"/>
          <w:sz w:val="21"/>
          <w:szCs w:val="21"/>
          <w:highlight w:val="none"/>
        </w:rPr>
        <w:t>严格执行本市有关部门</w:t>
      </w:r>
      <w:r>
        <w:rPr>
          <w:rFonts w:hint="eastAsia" w:ascii="宋体" w:hAnsi="宋体" w:eastAsia="宋体" w:cs="宋体"/>
          <w:color w:val="auto"/>
          <w:kern w:val="0"/>
          <w:sz w:val="21"/>
          <w:szCs w:val="21"/>
          <w:highlight w:val="none"/>
          <w:lang w:val="en-US" w:eastAsia="zh-CN"/>
        </w:rPr>
        <w:t>和甲方</w:t>
      </w:r>
      <w:r>
        <w:rPr>
          <w:rFonts w:hint="eastAsia" w:ascii="宋体" w:hAnsi="宋体" w:eastAsia="宋体" w:cs="宋体"/>
          <w:color w:val="auto"/>
          <w:kern w:val="0"/>
          <w:sz w:val="21"/>
          <w:szCs w:val="21"/>
          <w:highlight w:val="none"/>
        </w:rPr>
        <w:t>对施工现场管理规定，处理好施工带来的扰民问题及周围单位（居民）的关系，并注意环境保护。</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4.2.6</w:t>
      </w:r>
      <w:r>
        <w:rPr>
          <w:rFonts w:hint="eastAsia" w:ascii="宋体" w:hAnsi="宋体" w:eastAsia="宋体" w:cs="宋体"/>
          <w:color w:val="auto"/>
          <w:kern w:val="0"/>
          <w:sz w:val="21"/>
          <w:szCs w:val="21"/>
          <w:highlight w:val="none"/>
        </w:rPr>
        <w:t>保护建筑内与施工有关的各种设施，保证施工场所内上、下管道畅通。施工现场的每天垃圾清扫，工程完工后负责清扫施工现场。符合</w:t>
      </w:r>
      <w:r>
        <w:rPr>
          <w:rFonts w:hint="eastAsia" w:ascii="宋体" w:hAnsi="宋体" w:cs="宋体"/>
          <w:color w:val="auto"/>
          <w:kern w:val="0"/>
          <w:sz w:val="21"/>
          <w:szCs w:val="21"/>
          <w:highlight w:val="none"/>
          <w:lang w:eastAsia="zh-CN"/>
        </w:rPr>
        <w:t>项目</w:t>
      </w:r>
      <w:r>
        <w:rPr>
          <w:rFonts w:hint="eastAsia" w:ascii="宋体" w:hAnsi="宋体" w:eastAsia="宋体" w:cs="宋体"/>
          <w:color w:val="auto"/>
          <w:kern w:val="0"/>
          <w:sz w:val="21"/>
          <w:szCs w:val="21"/>
          <w:highlight w:val="none"/>
        </w:rPr>
        <w:t>验收条件。</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4.2.7</w:t>
      </w:r>
      <w:r>
        <w:rPr>
          <w:rFonts w:hint="eastAsia" w:ascii="宋体" w:hAnsi="宋体" w:eastAsia="宋体" w:cs="宋体"/>
          <w:color w:val="auto"/>
          <w:kern w:val="0"/>
          <w:sz w:val="21"/>
          <w:szCs w:val="21"/>
          <w:highlight w:val="none"/>
        </w:rPr>
        <w:t>因乙方在施工中违反法律法规及规范性文件或物业管理规定而引起的罚款及赔偿由乙方负责承担。</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4.2.8</w:t>
      </w:r>
      <w:r>
        <w:rPr>
          <w:rFonts w:hint="eastAsia" w:ascii="宋体" w:hAnsi="宋体" w:eastAsia="宋体" w:cs="宋体"/>
          <w:color w:val="auto"/>
          <w:kern w:val="0"/>
          <w:sz w:val="21"/>
          <w:szCs w:val="21"/>
          <w:highlight w:val="none"/>
        </w:rPr>
        <w:t>负责所有施工范围内所有材料的卸装和搬运。</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4.2.9</w:t>
      </w:r>
      <w:r>
        <w:rPr>
          <w:rFonts w:hint="eastAsia" w:ascii="宋体" w:hAnsi="宋体" w:eastAsia="宋体" w:cs="宋体"/>
          <w:color w:val="auto"/>
          <w:kern w:val="0"/>
          <w:sz w:val="21"/>
          <w:szCs w:val="21"/>
          <w:highlight w:val="none"/>
        </w:rPr>
        <w:t>服从和配合甲方的领导和管理，做好安全保卫工作，加强施工人员的安全教育管理，并为现场施工人员购买保险，负责因项目施工导致的</w:t>
      </w:r>
      <w:r>
        <w:rPr>
          <w:rFonts w:hint="eastAsia" w:ascii="宋体" w:hAnsi="宋体" w:eastAsia="宋体" w:cs="宋体"/>
          <w:color w:val="auto"/>
          <w:kern w:val="0"/>
          <w:sz w:val="21"/>
          <w:szCs w:val="21"/>
          <w:highlight w:val="none"/>
          <w:lang w:val="en-US" w:eastAsia="zh-CN"/>
        </w:rPr>
        <w:t>甲方、乙方及第三方</w:t>
      </w:r>
      <w:r>
        <w:rPr>
          <w:rFonts w:hint="eastAsia" w:ascii="宋体" w:hAnsi="宋体" w:eastAsia="宋体" w:cs="宋体"/>
          <w:color w:val="auto"/>
          <w:kern w:val="0"/>
          <w:sz w:val="21"/>
          <w:szCs w:val="21"/>
          <w:highlight w:val="none"/>
        </w:rPr>
        <w:t>人员伤亡</w:t>
      </w:r>
      <w:r>
        <w:rPr>
          <w:rFonts w:hint="eastAsia" w:ascii="宋体" w:hAnsi="宋体" w:eastAsia="宋体" w:cs="宋体"/>
          <w:color w:val="auto"/>
          <w:kern w:val="0"/>
          <w:sz w:val="21"/>
          <w:szCs w:val="21"/>
          <w:highlight w:val="none"/>
          <w:lang w:val="en-US" w:eastAsia="zh-CN"/>
        </w:rPr>
        <w:t>或财产损失</w:t>
      </w:r>
      <w:r>
        <w:rPr>
          <w:rFonts w:hint="eastAsia" w:ascii="宋体" w:hAnsi="宋体" w:eastAsia="宋体" w:cs="宋体"/>
          <w:color w:val="auto"/>
          <w:kern w:val="0"/>
          <w:sz w:val="21"/>
          <w:szCs w:val="21"/>
          <w:highlight w:val="none"/>
        </w:rPr>
        <w:t>的赔偿。</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4.2.10</w:t>
      </w:r>
      <w:r>
        <w:rPr>
          <w:rFonts w:hint="eastAsia" w:ascii="宋体" w:hAnsi="宋体" w:eastAsia="宋体" w:cs="宋体"/>
          <w:color w:val="auto"/>
          <w:kern w:val="0"/>
          <w:sz w:val="21"/>
          <w:szCs w:val="21"/>
          <w:highlight w:val="none"/>
        </w:rPr>
        <w:t>严禁浪费材料，如有发生甲方有权作出处理，并要求乙方按照市场价格赔偿所浪费材料的价款。</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4.2.11</w:t>
      </w:r>
      <w:r>
        <w:rPr>
          <w:rFonts w:hint="eastAsia" w:ascii="宋体" w:hAnsi="宋体" w:eastAsia="宋体" w:cs="宋体"/>
          <w:color w:val="auto"/>
          <w:kern w:val="0"/>
          <w:sz w:val="21"/>
          <w:szCs w:val="21"/>
          <w:highlight w:val="none"/>
        </w:rPr>
        <w:t>严格按照双方确认的</w:t>
      </w:r>
      <w:r>
        <w:rPr>
          <w:rFonts w:hint="eastAsia" w:ascii="宋体" w:hAnsi="宋体" w:cs="宋体"/>
          <w:color w:val="auto"/>
          <w:kern w:val="0"/>
          <w:sz w:val="21"/>
          <w:szCs w:val="21"/>
          <w:highlight w:val="none"/>
          <w:lang w:val="en-US" w:eastAsia="zh-CN"/>
        </w:rPr>
        <w:t>施工设计</w:t>
      </w:r>
      <w:r>
        <w:rPr>
          <w:rFonts w:hint="eastAsia" w:ascii="宋体" w:hAnsi="宋体" w:eastAsia="宋体" w:cs="宋体"/>
          <w:color w:val="auto"/>
          <w:kern w:val="0"/>
          <w:sz w:val="21"/>
          <w:szCs w:val="21"/>
          <w:highlight w:val="none"/>
        </w:rPr>
        <w:t>图纸施工，擅自施工造成返工或甲方损失的，由乙方承担。</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4.2.12</w:t>
      </w:r>
      <w:r>
        <w:rPr>
          <w:rFonts w:hint="eastAsia" w:ascii="宋体" w:hAnsi="宋体" w:eastAsia="宋体" w:cs="宋体"/>
          <w:color w:val="auto"/>
          <w:kern w:val="0"/>
          <w:sz w:val="21"/>
          <w:szCs w:val="21"/>
          <w:highlight w:val="none"/>
        </w:rPr>
        <w:t>不得寻衅滋事，恶意停工、窝工，准时发放员工劳动报酬，如有发生无论是否造成甲方损失，甲方均有权要求乙方按照合同总价款的20%承担违约责任。</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4.2.13</w:t>
      </w:r>
      <w:r>
        <w:rPr>
          <w:rFonts w:hint="eastAsia" w:ascii="宋体" w:hAnsi="宋体" w:eastAsia="宋体" w:cs="宋体"/>
          <w:color w:val="auto"/>
          <w:kern w:val="0"/>
          <w:sz w:val="21"/>
          <w:szCs w:val="21"/>
          <w:highlight w:val="none"/>
        </w:rPr>
        <w:t>乙方负责提供施工及报送相关单位的全部</w:t>
      </w:r>
      <w:r>
        <w:rPr>
          <w:rFonts w:hint="eastAsia" w:ascii="宋体" w:hAnsi="宋体" w:cs="宋体"/>
          <w:color w:val="auto"/>
          <w:kern w:val="0"/>
          <w:sz w:val="21"/>
          <w:szCs w:val="21"/>
          <w:highlight w:val="none"/>
          <w:lang w:val="en-US" w:eastAsia="zh-CN"/>
        </w:rPr>
        <w:t>施工</w:t>
      </w:r>
      <w:r>
        <w:rPr>
          <w:rFonts w:hint="eastAsia" w:ascii="宋体" w:hAnsi="宋体" w:eastAsia="宋体" w:cs="宋体"/>
          <w:color w:val="auto"/>
          <w:kern w:val="0"/>
          <w:sz w:val="21"/>
          <w:szCs w:val="21"/>
          <w:highlight w:val="none"/>
        </w:rPr>
        <w:t>设计图纸。乙方提供的设计应符合大众审美，尊重民族情感，不违反公序良俗原则，不存在侵犯第三方知识产权或其他合法权益的潜在法律风险。</w:t>
      </w:r>
      <w:r>
        <w:rPr>
          <w:rFonts w:hint="eastAsia" w:ascii="宋体" w:hAnsi="宋体" w:cs="宋体"/>
          <w:color w:val="auto"/>
          <w:kern w:val="0"/>
          <w:sz w:val="21"/>
          <w:szCs w:val="21"/>
          <w:highlight w:val="none"/>
          <w:lang w:val="en-US" w:eastAsia="zh-CN"/>
        </w:rPr>
        <w:t>施工</w:t>
      </w:r>
      <w:r>
        <w:rPr>
          <w:rFonts w:hint="eastAsia" w:ascii="宋体" w:hAnsi="宋体" w:eastAsia="宋体" w:cs="宋体"/>
          <w:color w:val="auto"/>
          <w:kern w:val="0"/>
          <w:sz w:val="21"/>
          <w:szCs w:val="21"/>
          <w:highlight w:val="none"/>
        </w:rPr>
        <w:t>设计图纸一经用于施工，其所有的</w:t>
      </w:r>
      <w:r>
        <w:rPr>
          <w:rFonts w:hint="eastAsia" w:ascii="宋体" w:hAnsi="宋体" w:eastAsia="宋体" w:cs="宋体"/>
          <w:color w:val="auto"/>
          <w:kern w:val="0"/>
          <w:sz w:val="21"/>
          <w:szCs w:val="21"/>
          <w:highlight w:val="none"/>
          <w:lang w:eastAsia="zh-CN"/>
        </w:rPr>
        <w:t>包括但不限于著作权等</w:t>
      </w:r>
      <w:r>
        <w:rPr>
          <w:rFonts w:hint="eastAsia" w:ascii="宋体" w:hAnsi="宋体" w:eastAsia="宋体" w:cs="宋体"/>
          <w:color w:val="auto"/>
          <w:kern w:val="0"/>
          <w:sz w:val="21"/>
          <w:szCs w:val="21"/>
          <w:highlight w:val="none"/>
        </w:rPr>
        <w:t>权利即归属于甲方，乙方不得在任何时候向甲方主张设计图纸的任何权益，也不得将提供于甲方的设计图纸用于第三方；如设计过程中需用到甲方logo，应当在项目验收合格后，将记载甲方logo的内容删除或销毁，不得用于其他用途。</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4.2.14</w:t>
      </w:r>
      <w:r>
        <w:rPr>
          <w:rFonts w:hint="eastAsia" w:ascii="宋体" w:hAnsi="宋体" w:eastAsia="宋体" w:cs="宋体"/>
          <w:color w:val="auto"/>
          <w:kern w:val="0"/>
          <w:sz w:val="21"/>
          <w:szCs w:val="21"/>
          <w:highlight w:val="none"/>
        </w:rPr>
        <w:t>水电封槽前、板材进入到施工现场之后、木地板铺贴（如有）之前做防白蚁的处理工作。</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4.2.15</w:t>
      </w:r>
      <w:r>
        <w:rPr>
          <w:rFonts w:hint="eastAsia" w:ascii="宋体" w:hAnsi="宋体" w:eastAsia="宋体" w:cs="宋体"/>
          <w:color w:val="auto"/>
          <w:kern w:val="0"/>
          <w:sz w:val="21"/>
          <w:szCs w:val="21"/>
          <w:highlight w:val="none"/>
        </w:rPr>
        <w:t>铺设排污管道，项目工程防水、漏水、渗水处理。</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4.2.16</w:t>
      </w:r>
      <w:r>
        <w:rPr>
          <w:rFonts w:hint="eastAsia" w:ascii="宋体" w:hAnsi="宋体" w:eastAsia="宋体" w:cs="宋体"/>
          <w:color w:val="auto"/>
          <w:kern w:val="0"/>
          <w:sz w:val="21"/>
          <w:szCs w:val="21"/>
          <w:highlight w:val="none"/>
        </w:rPr>
        <w:t>协助甲方办理消防设计备案和消防验收备案</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如需</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color w:val="auto"/>
          <w:kern w:val="0"/>
          <w:sz w:val="21"/>
          <w:szCs w:val="21"/>
          <w:highlight w:val="none"/>
          <w:lang w:val="en-US" w:eastAsia="zh-CN"/>
        </w:rPr>
        <w:t>4.2.17</w:t>
      </w:r>
      <w:r>
        <w:rPr>
          <w:rFonts w:hint="eastAsia" w:ascii="宋体" w:hAnsi="宋体" w:eastAsia="宋体" w:cs="宋体"/>
          <w:color w:val="auto"/>
          <w:kern w:val="0"/>
          <w:sz w:val="21"/>
          <w:szCs w:val="21"/>
          <w:highlight w:val="none"/>
        </w:rPr>
        <w:t>承诺履行合理注意义务和审慎义务。</w:t>
      </w:r>
    </w:p>
    <w:p>
      <w:pPr>
        <w:keepNext w:val="0"/>
        <w:keepLines w:val="0"/>
        <w:pageBreakBefore w:val="0"/>
        <w:kinsoku/>
        <w:wordWrap/>
        <w:overflowPunct/>
        <w:topLinePunct w:val="0"/>
        <w:autoSpaceDE/>
        <w:autoSpaceDN/>
        <w:bidi w:val="0"/>
        <w:adjustRightInd w:val="0"/>
        <w:snapToGrid w:val="0"/>
        <w:spacing w:line="440" w:lineRule="exact"/>
        <w:ind w:firstLine="480"/>
        <w:textAlignment w:val="auto"/>
        <w:rPr>
          <w:rFonts w:hint="eastAsia" w:ascii="宋体" w:hAnsi="宋体" w:eastAsia="宋体" w:cs="宋体"/>
          <w:b/>
          <w:bCs/>
          <w:color w:val="auto"/>
          <w:kern w:val="0"/>
          <w:sz w:val="21"/>
          <w:szCs w:val="21"/>
          <w:highlight w:val="none"/>
        </w:rPr>
      </w:pPr>
    </w:p>
    <w:p>
      <w:pPr>
        <w:keepNext w:val="0"/>
        <w:keepLines w:val="0"/>
        <w:pageBreakBefore w:val="0"/>
        <w:kinsoku/>
        <w:wordWrap/>
        <w:overflowPunct/>
        <w:topLinePunct w:val="0"/>
        <w:autoSpaceDE/>
        <w:autoSpaceDN/>
        <w:bidi w:val="0"/>
        <w:adjustRightInd w:val="0"/>
        <w:snapToGrid w:val="0"/>
        <w:spacing w:line="440" w:lineRule="exact"/>
        <w:ind w:firstLine="480"/>
        <w:textAlignment w:val="auto"/>
        <w:rPr>
          <w:rFonts w:hint="default"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rPr>
        <w:t>第</w:t>
      </w:r>
      <w:r>
        <w:rPr>
          <w:rFonts w:hint="eastAsia" w:ascii="宋体" w:hAnsi="宋体" w:eastAsia="宋体" w:cs="宋体"/>
          <w:b/>
          <w:bCs/>
          <w:color w:val="auto"/>
          <w:kern w:val="0"/>
          <w:sz w:val="21"/>
          <w:szCs w:val="21"/>
          <w:highlight w:val="none"/>
          <w:lang w:val="en-US" w:eastAsia="zh-CN"/>
        </w:rPr>
        <w:t>五</w:t>
      </w:r>
      <w:r>
        <w:rPr>
          <w:rFonts w:hint="eastAsia" w:ascii="宋体" w:hAnsi="宋体" w:eastAsia="宋体" w:cs="宋体"/>
          <w:b/>
          <w:bCs/>
          <w:color w:val="auto"/>
          <w:kern w:val="0"/>
          <w:sz w:val="21"/>
          <w:szCs w:val="21"/>
          <w:highlight w:val="none"/>
        </w:rPr>
        <w:t>条</w:t>
      </w:r>
      <w:r>
        <w:rPr>
          <w:rFonts w:hint="eastAsia" w:ascii="宋体" w:hAnsi="宋体" w:eastAsia="宋体" w:cs="宋体"/>
          <w:b/>
          <w:bCs/>
          <w:color w:val="auto"/>
          <w:kern w:val="0"/>
          <w:sz w:val="21"/>
          <w:szCs w:val="21"/>
          <w:highlight w:val="none"/>
          <w:lang w:val="en-US" w:eastAsia="zh-CN"/>
        </w:rPr>
        <w:t xml:space="preserve"> </w:t>
      </w:r>
      <w:r>
        <w:rPr>
          <w:rFonts w:hint="eastAsia" w:ascii="宋体" w:hAnsi="宋体" w:eastAsia="宋体" w:cs="宋体"/>
          <w:b/>
          <w:bCs/>
          <w:color w:val="auto"/>
          <w:kern w:val="0"/>
          <w:sz w:val="21"/>
          <w:szCs w:val="21"/>
          <w:highlight w:val="none"/>
        </w:rPr>
        <w:t xml:space="preserve"> </w:t>
      </w:r>
      <w:r>
        <w:rPr>
          <w:rFonts w:hint="eastAsia" w:ascii="宋体" w:hAnsi="宋体" w:eastAsia="宋体" w:cs="宋体"/>
          <w:b/>
          <w:bCs/>
          <w:color w:val="auto"/>
          <w:kern w:val="0"/>
          <w:sz w:val="21"/>
          <w:szCs w:val="21"/>
          <w:highlight w:val="none"/>
          <w:lang w:val="en-US" w:eastAsia="zh-CN"/>
        </w:rPr>
        <w:t>施工要求</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.1所有</w:t>
      </w:r>
      <w:r>
        <w:rPr>
          <w:rFonts w:hint="eastAsia" w:ascii="宋体" w:hAnsi="宋体" w:eastAsia="宋体" w:cs="宋体"/>
          <w:color w:val="auto"/>
          <w:kern w:val="0"/>
          <w:sz w:val="21"/>
          <w:szCs w:val="21"/>
          <w:highlight w:val="none"/>
          <w:lang w:val="en-US" w:eastAsia="zh-CN"/>
        </w:rPr>
        <w:t>施工</w:t>
      </w:r>
      <w:r>
        <w:rPr>
          <w:rFonts w:hint="eastAsia" w:ascii="宋体" w:hAnsi="宋体" w:eastAsia="宋体" w:cs="宋体"/>
          <w:color w:val="auto"/>
          <w:kern w:val="0"/>
          <w:sz w:val="21"/>
          <w:szCs w:val="21"/>
          <w:highlight w:val="none"/>
        </w:rPr>
        <w:t>材料由乙方提供,乙方应当将所购买材料的清单（包括品牌、规格、型号、数量、用途、价格）分别提供给甲方以及甲方指定的第三方存档，乙方提供的材料清单内应当加盖乙方公章。</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.2所有施工工具、保护措施等由乙方提供,</w:t>
      </w:r>
      <w:r>
        <w:rPr>
          <w:rFonts w:hint="eastAsia" w:ascii="宋体" w:hAnsi="宋体" w:eastAsia="宋体" w:cs="宋体"/>
          <w:color w:val="auto"/>
          <w:kern w:val="0"/>
          <w:sz w:val="21"/>
          <w:szCs w:val="21"/>
          <w:highlight w:val="none"/>
          <w:lang w:val="en-US" w:eastAsia="zh-CN"/>
        </w:rPr>
        <w:t>确保</w:t>
      </w:r>
      <w:r>
        <w:rPr>
          <w:rFonts w:hint="eastAsia" w:ascii="宋体" w:hAnsi="宋体" w:eastAsia="宋体" w:cs="宋体"/>
          <w:color w:val="auto"/>
          <w:kern w:val="0"/>
          <w:sz w:val="21"/>
          <w:szCs w:val="21"/>
          <w:highlight w:val="none"/>
        </w:rPr>
        <w:t>施工及现场办公的临电</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临水设施</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电梯（如有）保护</w:t>
      </w:r>
      <w:r>
        <w:rPr>
          <w:rFonts w:hint="eastAsia" w:ascii="宋体" w:hAnsi="宋体" w:eastAsia="宋体" w:cs="宋体"/>
          <w:color w:val="auto"/>
          <w:kern w:val="0"/>
          <w:sz w:val="21"/>
          <w:szCs w:val="21"/>
          <w:highlight w:val="none"/>
          <w:lang w:eastAsia="zh-CN"/>
        </w:rPr>
        <w:t>及使用安全</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现场灭火器放置等工作由乙方负责。</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.3乙方购买的材料应按照</w:t>
      </w:r>
      <w:r>
        <w:rPr>
          <w:rFonts w:hint="eastAsia" w:ascii="宋体" w:hAnsi="宋体" w:cs="宋体"/>
          <w:color w:val="auto"/>
          <w:kern w:val="0"/>
          <w:sz w:val="21"/>
          <w:szCs w:val="21"/>
          <w:highlight w:val="none"/>
          <w:lang w:val="en-US" w:eastAsia="zh-CN"/>
        </w:rPr>
        <w:t>施工设计</w:t>
      </w:r>
      <w:r>
        <w:rPr>
          <w:rFonts w:hint="eastAsia" w:ascii="宋体" w:hAnsi="宋体" w:eastAsia="宋体" w:cs="宋体"/>
          <w:color w:val="auto"/>
          <w:kern w:val="0"/>
          <w:sz w:val="21"/>
          <w:szCs w:val="21"/>
          <w:highlight w:val="none"/>
        </w:rPr>
        <w:t>图纸要求执行，并符合实际施工需要，不得过度采购,以免产生浪费。</w:t>
      </w:r>
    </w:p>
    <w:p>
      <w:pPr>
        <w:keepNext w:val="0"/>
        <w:keepLines w:val="0"/>
        <w:pageBreakBefore w:val="0"/>
        <w:kinsoku/>
        <w:wordWrap/>
        <w:overflowPunct/>
        <w:topLinePunct w:val="0"/>
        <w:autoSpaceDE/>
        <w:autoSpaceDN/>
        <w:bidi w:val="0"/>
        <w:adjustRightInd w:val="0"/>
        <w:snapToGrid w:val="0"/>
        <w:spacing w:line="440" w:lineRule="exact"/>
        <w:ind w:firstLine="480"/>
        <w:textAlignment w:val="auto"/>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5.4</w:t>
      </w:r>
      <w:r>
        <w:rPr>
          <w:rFonts w:hint="eastAsia" w:ascii="宋体" w:hAnsi="宋体" w:eastAsia="宋体" w:cs="宋体"/>
          <w:color w:val="auto"/>
          <w:kern w:val="0"/>
          <w:sz w:val="21"/>
          <w:szCs w:val="21"/>
          <w:highlight w:val="none"/>
        </w:rPr>
        <w:t>施工</w:t>
      </w:r>
      <w:r>
        <w:rPr>
          <w:rFonts w:hint="eastAsia" w:ascii="宋体" w:hAnsi="宋体" w:eastAsia="宋体" w:cs="宋体"/>
          <w:color w:val="auto"/>
          <w:kern w:val="0"/>
          <w:sz w:val="21"/>
          <w:szCs w:val="21"/>
          <w:highlight w:val="none"/>
          <w:lang w:val="en-US" w:eastAsia="zh-CN"/>
        </w:rPr>
        <w:t>应采用净味</w:t>
      </w:r>
      <w:r>
        <w:rPr>
          <w:rFonts w:hint="eastAsia" w:ascii="宋体" w:hAnsi="宋体" w:eastAsia="宋体" w:cs="宋体"/>
          <w:color w:val="auto"/>
          <w:kern w:val="0"/>
          <w:sz w:val="21"/>
          <w:szCs w:val="21"/>
          <w:highlight w:val="none"/>
        </w:rPr>
        <w:t>环保材料。</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5工程</w:t>
      </w:r>
      <w:r>
        <w:rPr>
          <w:rFonts w:hint="eastAsia" w:ascii="宋体" w:hAnsi="宋体" w:eastAsia="宋体" w:cs="宋体"/>
          <w:color w:val="auto"/>
          <w:kern w:val="0"/>
          <w:sz w:val="21"/>
          <w:szCs w:val="21"/>
          <w:highlight w:val="none"/>
        </w:rPr>
        <w:t>质量（含环保要求）严格以施工</w:t>
      </w:r>
      <w:r>
        <w:rPr>
          <w:rFonts w:hint="eastAsia" w:ascii="宋体" w:hAnsi="宋体" w:cs="宋体"/>
          <w:color w:val="auto"/>
          <w:kern w:val="0"/>
          <w:sz w:val="21"/>
          <w:szCs w:val="21"/>
          <w:highlight w:val="none"/>
          <w:lang w:val="en-US" w:eastAsia="zh-CN"/>
        </w:rPr>
        <w:t>设计</w:t>
      </w:r>
      <w:r>
        <w:rPr>
          <w:rFonts w:hint="eastAsia" w:ascii="宋体" w:hAnsi="宋体" w:eastAsia="宋体" w:cs="宋体"/>
          <w:color w:val="auto"/>
          <w:kern w:val="0"/>
          <w:sz w:val="21"/>
          <w:szCs w:val="21"/>
          <w:highlight w:val="none"/>
        </w:rPr>
        <w:t>图纸、做法说明、设计变更为依据。</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若双方未另行约定该工程质量标准，该工程质量均按国家相关标准执行。</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双方约定：</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1施工过程中双方对设计或工程质量发生争议，申请由专门的鉴定机构对设计或工程质量予以鉴定，鉴定所需费用采取“谁提出谁垫付”的原则，经认证，设计或工程质量不符合合同约定标准的，鉴定所需费用由乙方承担；设计或工程质量符合合同约定标准的，鉴定所需费用由甲方承担。</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.2木材、石材等天然物品，允许有自然色差与纹理差别，但乙方有义务提醒甲方，并征得甲方同意。</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乙方应认真按照约定质量标准和设计要求进行施工，为甲方的检查、检验提供便利条件。若工程质量达不到约定标准，乙方应按约定标准返工整改，并承担</w:t>
      </w:r>
      <w:r>
        <w:rPr>
          <w:rFonts w:hint="eastAsia" w:ascii="宋体" w:hAnsi="宋体" w:eastAsia="宋体" w:cs="宋体"/>
          <w:color w:val="auto"/>
          <w:kern w:val="0"/>
          <w:sz w:val="21"/>
          <w:szCs w:val="21"/>
          <w:highlight w:val="none"/>
          <w:lang w:val="en-US" w:eastAsia="zh-CN"/>
        </w:rPr>
        <w:t>迟延工期违约金及</w:t>
      </w:r>
      <w:r>
        <w:rPr>
          <w:rFonts w:hint="eastAsia" w:ascii="宋体" w:hAnsi="宋体" w:eastAsia="宋体" w:cs="宋体"/>
          <w:color w:val="auto"/>
          <w:kern w:val="0"/>
          <w:sz w:val="21"/>
          <w:szCs w:val="21"/>
          <w:highlight w:val="none"/>
        </w:rPr>
        <w:t>由于自身原因导致的返工整改费用。</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rPr>
        <w:t>该工程的设计和施工质量由乙方负责。</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5.10工程变更</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5.10.1</w:t>
      </w:r>
      <w:r>
        <w:rPr>
          <w:rFonts w:hint="eastAsia" w:ascii="宋体" w:hAnsi="宋体" w:eastAsia="宋体" w:cs="宋体"/>
          <w:color w:val="auto"/>
          <w:kern w:val="0"/>
          <w:sz w:val="21"/>
          <w:szCs w:val="21"/>
          <w:highlight w:val="none"/>
        </w:rPr>
        <w:t>为确保甲方工程质量、工期，合同签订后</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乙方在施工中不得无故变更施工图纸、增加工程费用</w:t>
      </w:r>
      <w:r>
        <w:rPr>
          <w:rFonts w:hint="eastAsia" w:ascii="宋体" w:hAnsi="宋体" w:eastAsia="宋体" w:cs="宋体"/>
          <w:color w:val="auto"/>
          <w:kern w:val="0"/>
          <w:sz w:val="21"/>
          <w:szCs w:val="21"/>
          <w:highlight w:val="none"/>
          <w:lang w:eastAsia="zh-CN"/>
        </w:rPr>
        <w:t>。</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5.10.2</w:t>
      </w:r>
      <w:r>
        <w:rPr>
          <w:rFonts w:hint="eastAsia" w:ascii="宋体" w:hAnsi="宋体" w:eastAsia="宋体" w:cs="宋体"/>
          <w:color w:val="auto"/>
          <w:kern w:val="0"/>
          <w:sz w:val="21"/>
          <w:szCs w:val="21"/>
          <w:highlight w:val="none"/>
        </w:rPr>
        <w:t>工程开工后，在</w:t>
      </w:r>
      <w:r>
        <w:rPr>
          <w:rFonts w:hint="eastAsia" w:ascii="宋体" w:hAnsi="宋体" w:eastAsia="宋体" w:cs="宋体"/>
          <w:color w:val="auto"/>
          <w:kern w:val="0"/>
          <w:sz w:val="21"/>
          <w:szCs w:val="21"/>
          <w:highlight w:val="none"/>
          <w:lang w:val="en-US" w:eastAsia="zh-CN"/>
        </w:rPr>
        <w:t>某些分项</w:t>
      </w:r>
      <w:r>
        <w:rPr>
          <w:rFonts w:hint="eastAsia" w:ascii="宋体" w:hAnsi="宋体" w:eastAsia="宋体" w:cs="宋体"/>
          <w:color w:val="auto"/>
          <w:kern w:val="0"/>
          <w:sz w:val="21"/>
          <w:szCs w:val="21"/>
          <w:highlight w:val="none"/>
        </w:rPr>
        <w:t>项目未施工前，乙方应接受甲方提出的合理变更要求。</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5.11工期延误</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5.11.1</w:t>
      </w:r>
      <w:r>
        <w:rPr>
          <w:rFonts w:hint="eastAsia" w:ascii="宋体" w:hAnsi="宋体" w:eastAsia="宋体" w:cs="宋体"/>
          <w:color w:val="auto"/>
          <w:kern w:val="0"/>
          <w:sz w:val="21"/>
          <w:szCs w:val="21"/>
          <w:highlight w:val="none"/>
        </w:rPr>
        <w:t>对以下原因造成的竣工日期延误，经甲方确认</w:t>
      </w:r>
      <w:r>
        <w:rPr>
          <w:rFonts w:hint="eastAsia" w:ascii="宋体" w:hAnsi="宋体" w:eastAsia="宋体" w:cs="宋体"/>
          <w:color w:val="auto"/>
          <w:kern w:val="0"/>
          <w:sz w:val="21"/>
          <w:szCs w:val="21"/>
          <w:highlight w:val="none"/>
          <w:lang w:val="en-US" w:eastAsia="zh-CN"/>
        </w:rPr>
        <w:t>后</w:t>
      </w:r>
      <w:r>
        <w:rPr>
          <w:rFonts w:hint="eastAsia" w:ascii="宋体" w:hAnsi="宋体" w:eastAsia="宋体" w:cs="宋体"/>
          <w:color w:val="auto"/>
          <w:kern w:val="0"/>
          <w:sz w:val="21"/>
          <w:szCs w:val="21"/>
          <w:highlight w:val="none"/>
        </w:rPr>
        <w:t>工期相应顺延</w:t>
      </w:r>
      <w:r>
        <w:rPr>
          <w:rFonts w:hint="eastAsia" w:ascii="宋体" w:hAnsi="宋体" w:eastAsia="宋体" w:cs="宋体"/>
          <w:color w:val="auto"/>
          <w:kern w:val="0"/>
          <w:sz w:val="21"/>
          <w:szCs w:val="21"/>
          <w:highlight w:val="none"/>
          <w:lang w:eastAsia="zh-CN"/>
        </w:rPr>
        <w:t>：</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①</w:t>
      </w:r>
      <w:r>
        <w:rPr>
          <w:rFonts w:hint="eastAsia" w:ascii="宋体" w:hAnsi="宋体" w:eastAsia="宋体" w:cs="宋体"/>
          <w:color w:val="auto"/>
          <w:kern w:val="0"/>
          <w:sz w:val="21"/>
          <w:szCs w:val="21"/>
          <w:highlight w:val="none"/>
        </w:rPr>
        <w:t>工程量或设计变更；</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②</w:t>
      </w:r>
      <w:r>
        <w:rPr>
          <w:rFonts w:hint="eastAsia" w:ascii="宋体" w:hAnsi="宋体" w:eastAsia="宋体" w:cs="宋体"/>
          <w:color w:val="auto"/>
          <w:kern w:val="0"/>
          <w:sz w:val="21"/>
          <w:szCs w:val="21"/>
          <w:highlight w:val="none"/>
        </w:rPr>
        <w:t>不可抗力；</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③</w:t>
      </w:r>
      <w:r>
        <w:rPr>
          <w:rFonts w:hint="eastAsia" w:ascii="宋体" w:hAnsi="宋体" w:eastAsia="宋体" w:cs="宋体"/>
          <w:color w:val="auto"/>
          <w:kern w:val="0"/>
          <w:sz w:val="21"/>
          <w:szCs w:val="21"/>
          <w:highlight w:val="none"/>
        </w:rPr>
        <w:t>甲方未按时参加阶段验收而造成的停工；</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④</w:t>
      </w:r>
      <w:r>
        <w:rPr>
          <w:rFonts w:hint="eastAsia" w:ascii="宋体" w:hAnsi="宋体" w:eastAsia="宋体" w:cs="宋体"/>
          <w:color w:val="auto"/>
          <w:kern w:val="0"/>
          <w:sz w:val="21"/>
          <w:szCs w:val="21"/>
          <w:highlight w:val="none"/>
        </w:rPr>
        <w:t>甲方书面同意工期顺延等其它情况。</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autoSpaceDE/>
        <w:autoSpaceDN/>
        <w:bidi w:val="0"/>
        <w:adjustRightInd w:val="0"/>
        <w:snapToGrid w:val="0"/>
        <w:spacing w:line="440" w:lineRule="exact"/>
        <w:ind w:firstLine="48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第</w:t>
      </w:r>
      <w:r>
        <w:rPr>
          <w:rFonts w:hint="eastAsia" w:ascii="宋体" w:hAnsi="宋体" w:eastAsia="宋体" w:cs="宋体"/>
          <w:b/>
          <w:bCs/>
          <w:color w:val="auto"/>
          <w:kern w:val="0"/>
          <w:sz w:val="21"/>
          <w:szCs w:val="21"/>
          <w:highlight w:val="none"/>
          <w:lang w:val="en-US" w:eastAsia="zh-CN"/>
        </w:rPr>
        <w:t>六</w:t>
      </w:r>
      <w:r>
        <w:rPr>
          <w:rFonts w:hint="eastAsia" w:ascii="宋体" w:hAnsi="宋体" w:eastAsia="宋体" w:cs="宋体"/>
          <w:b/>
          <w:bCs/>
          <w:color w:val="auto"/>
          <w:kern w:val="0"/>
          <w:sz w:val="21"/>
          <w:szCs w:val="21"/>
          <w:highlight w:val="none"/>
        </w:rPr>
        <w:t>条</w:t>
      </w:r>
      <w:r>
        <w:rPr>
          <w:rFonts w:hint="eastAsia" w:ascii="宋体" w:hAnsi="宋体" w:eastAsia="宋体" w:cs="宋体"/>
          <w:b/>
          <w:bCs/>
          <w:color w:val="auto"/>
          <w:kern w:val="0"/>
          <w:sz w:val="21"/>
          <w:szCs w:val="21"/>
          <w:highlight w:val="none"/>
          <w:lang w:val="en-US" w:eastAsia="zh-CN"/>
        </w:rPr>
        <w:t xml:space="preserve"> </w:t>
      </w:r>
      <w:r>
        <w:rPr>
          <w:rFonts w:hint="eastAsia" w:ascii="宋体" w:hAnsi="宋体" w:eastAsia="宋体" w:cs="宋体"/>
          <w:b/>
          <w:bCs/>
          <w:color w:val="auto"/>
          <w:kern w:val="0"/>
          <w:sz w:val="21"/>
          <w:szCs w:val="21"/>
          <w:highlight w:val="none"/>
        </w:rPr>
        <w:t xml:space="preserve"> 设备的</w:t>
      </w:r>
      <w:r>
        <w:rPr>
          <w:rFonts w:hint="eastAsia" w:ascii="宋体" w:hAnsi="宋体" w:eastAsia="宋体" w:cs="宋体"/>
          <w:b/>
          <w:bCs/>
          <w:color w:val="auto"/>
          <w:kern w:val="0"/>
          <w:sz w:val="21"/>
          <w:szCs w:val="21"/>
          <w:highlight w:val="none"/>
          <w:lang w:val="en-US" w:eastAsia="zh-CN"/>
        </w:rPr>
        <w:t>质量标准、</w:t>
      </w:r>
      <w:r>
        <w:rPr>
          <w:rFonts w:hint="eastAsia" w:ascii="宋体" w:hAnsi="宋体" w:eastAsia="宋体" w:cs="宋体"/>
          <w:b/>
          <w:bCs/>
          <w:color w:val="auto"/>
          <w:kern w:val="0"/>
          <w:sz w:val="21"/>
          <w:szCs w:val="21"/>
          <w:highlight w:val="none"/>
        </w:rPr>
        <w:t>运输及交付</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6.1设备的质量标准：按国家及行业等相关标准。</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6.2乙方提供设备应相应具备完整的技术资料，包括但不限于制造商出厂合格证明、出厂检验报告、质量保证书、中英文产品说明书（或使用说明书）及技术图纸、维修手册、报关单（如有）、合同设备配置清单、培训资料、设备清单及出厂文件清单等。</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6.2设备的运输</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6.2.1乙方发（或送）货到甲方指定的交付地点，运输费用由乙方承担。乙方应购买设备自发货地点运抵交货地点的运输保险，并且应将保险合同或保单复印件在发货前交付甲方留存。</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6.2.2设备的包装由乙方负责，并按国家或行业规定的包装标准执行。如果无国家和行业标准，则乙方应使用正确合适、便于搬运的包装，采取必要的防护措施保护设备，使设备在运输过程中防潮、防雨、防震，确保货物完好无损并无腐蚀、无锈蚀地安全到达甲方的安装现场。双方对包装方式另有约定的，应遵守双方约定。</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6.2.3因产品包装不符合本合同规定，甲方有权退货或者要求乙方返修或重新包装，并由乙方承担相关费用。因包装、标识不符合规定造成产品损坏、灭失、延误甲方生产、无法送检、无法办理入库或其他损失的，责任由乙方承担。</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6.2.4乙方发（或送）货时要附有送货单、装箱单、出货检验报告、其他有关单证和甲方要求的其他文件。</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6.2.5设备在甲方经初步质检及验收之前，所有风险由乙方承担。</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6.2.6乙方如果不按生效订单约定的方式、地点交货而产生的附加费用由乙方承担。</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 xml:space="preserve">6.3设备的交付 </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6.3.1设备在甲方指定的地点交付，交付地点为：</w:t>
      </w:r>
      <w:r>
        <w:rPr>
          <w:rFonts w:hint="eastAsia" w:ascii="宋体" w:hAnsi="宋体" w:eastAsia="宋体" w:cs="宋体"/>
          <w:color w:val="auto"/>
          <w:kern w:val="0"/>
          <w:sz w:val="21"/>
          <w:szCs w:val="21"/>
          <w:highlight w:val="none"/>
          <w:u w:val="single"/>
          <w:lang w:val="en-US" w:eastAsia="zh-CN"/>
        </w:rPr>
        <w:t>广东省广州市越秀区广州大道中289号招标人指定地点。</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6.3.2设备包装箱内应附带设备详细装箱清单和质量合格证，及证明设备符合合同要求的证书说明检验的细节和结果。</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6.3.3合同设备安装完成正常工作后</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个工作日后验收（特殊情况由甲乙双方协商确定），验收应在甲乙双方共同参加下进行。验收合格后，由双方签署验收合格证明，视为设备交付完成；验收不合格的，双方签署验收不合格证明，视为交付未完成，乙方应即时采取有效措施并在甲方指定的设备交付时间内更换新的符合要求的设备。甲方验收合格，不视为免除乙方于验收后的货物质量保证责任。</w:t>
      </w:r>
    </w:p>
    <w:p>
      <w:pPr>
        <w:keepNext w:val="0"/>
        <w:keepLines w:val="0"/>
        <w:pageBreakBefore w:val="0"/>
        <w:widowControl/>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b/>
          <w:color w:val="auto"/>
          <w:kern w:val="0"/>
          <w:sz w:val="21"/>
          <w:szCs w:val="21"/>
          <w:highlight w:val="none"/>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第七条  设备的安装及项目验收</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7.1设备的安装</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7.1.1乙方应委派合格的技术人员在甲方指定的时间内到达安装现场，并在约定的期限内完成设备的安装及调试。</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7.1.2乙方应在设备的安装调试验收过程中组织实施质量监控，承担质量保证。</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7.1.3设备安装保险、安装人员的意外险及安装专用设备保险，由乙方购买并承担相应费用。</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7.1.4如果因乙方过错造成设备损坏的，由乙方负责更换或维修，并赔偿甲方因此而蒙受的损失。</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 xml:space="preserve">7.2设备验收 </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7.2.1设备验收按照本合同项下的安装、验收、质量和技术要求执行。</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7.2.2设备具备验收条件的，乙方通知甲方参加验收，并提供完整的验收资料及验收报告，乙方保证所有资料的真实性、合法有效性，资料不齐全或不真实的，甲方不予验收。</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7.2.3甲方在收到验收通知之日起</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天内组织验收，并在验收之日起</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天内答复验收结果或提出整改意见。如果甲方提出整改意见的，乙方应按要求整改，并承担因自身过错而造成的整改费用（非乙方过错或非本合同项下的整改另行计费）。</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7.2.4验收通过后,由甲方、乙方共同签署最终验收报告。</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7.2.5甲方签署最终验收报告，并不意味着甲方对产品质量的全面认可。在产品进一步测试、检验以及使用过程中，如果发现可归责于乙方的（1）产品不符合约定的数量、规格、质量标准的情况。或（2）产品存在设计、制造、保管、运输等原因导致的缺陷。或（3）存在其它隐蔽的或固有的瑕疵，甲方有权按照本合同“质量保证和售后服务”的规定进行处理。</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Cs w:val="21"/>
          <w:highlight w:val="none"/>
        </w:rPr>
      </w:pPr>
      <w:r>
        <w:rPr>
          <w:rFonts w:hint="eastAsia" w:ascii="宋体" w:hAnsi="宋体" w:eastAsia="宋体" w:cs="宋体"/>
          <w:color w:val="auto"/>
          <w:kern w:val="0"/>
          <w:sz w:val="21"/>
          <w:szCs w:val="21"/>
          <w:highlight w:val="none"/>
          <w:lang w:val="en-US" w:eastAsia="zh-CN"/>
        </w:rPr>
        <w:t>7.2.6所有权和风险转移并不免除乙方对由于其自身原因或产品固有缺陷导致的产品故障、损坏或灭失所应承担的责任。</w:t>
      </w:r>
    </w:p>
    <w:p>
      <w:pPr>
        <w:keepNext w:val="0"/>
        <w:keepLines w:val="0"/>
        <w:pageBreakBefore w:val="0"/>
        <w:kinsoku/>
        <w:wordWrap/>
        <w:overflowPunct/>
        <w:topLinePunct w:val="0"/>
        <w:autoSpaceDE/>
        <w:autoSpaceDN/>
        <w:bidi w:val="0"/>
        <w:spacing w:line="440" w:lineRule="exact"/>
        <w:ind w:firstLine="420" w:firstLineChars="20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7.3工程验收</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1在施工过程中分下列三个阶段对工程质量进行验收；</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①</w:t>
      </w:r>
      <w:r>
        <w:rPr>
          <w:rFonts w:hint="eastAsia" w:ascii="宋体" w:hAnsi="宋体" w:eastAsia="宋体" w:cs="宋体"/>
          <w:color w:val="auto"/>
          <w:kern w:val="0"/>
          <w:sz w:val="21"/>
          <w:szCs w:val="21"/>
          <w:highlight w:val="none"/>
        </w:rPr>
        <w:t>水、电管线，防水层及吊顶基层等隐蔽工程的验收；</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②</w:t>
      </w:r>
      <w:r>
        <w:rPr>
          <w:rFonts w:hint="eastAsia" w:ascii="宋体" w:hAnsi="宋体" w:eastAsia="宋体" w:cs="宋体"/>
          <w:color w:val="auto"/>
          <w:kern w:val="0"/>
          <w:sz w:val="21"/>
          <w:szCs w:val="21"/>
          <w:highlight w:val="none"/>
        </w:rPr>
        <w:t>油漆、面层涂料施工前验收；</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③</w:t>
      </w:r>
      <w:r>
        <w:rPr>
          <w:rFonts w:hint="eastAsia" w:ascii="宋体" w:hAnsi="宋体" w:eastAsia="宋体" w:cs="宋体"/>
          <w:color w:val="auto"/>
          <w:kern w:val="0"/>
          <w:sz w:val="21"/>
          <w:szCs w:val="21"/>
          <w:highlight w:val="none"/>
        </w:rPr>
        <w:t>竣工验收、环保测试。</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乙方应提前两天通知甲方指定的第三方参加各阶段验收、测试，各阶段验收、测试合格后应填写工程验收单。</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整体项目</w:t>
      </w:r>
      <w:r>
        <w:rPr>
          <w:rFonts w:hint="eastAsia" w:ascii="宋体" w:hAnsi="宋体" w:eastAsia="宋体" w:cs="宋体"/>
          <w:color w:val="auto"/>
          <w:kern w:val="0"/>
          <w:sz w:val="21"/>
          <w:szCs w:val="21"/>
          <w:highlight w:val="none"/>
        </w:rPr>
        <w:t>竣工</w:t>
      </w:r>
      <w:r>
        <w:rPr>
          <w:rFonts w:hint="eastAsia" w:ascii="宋体" w:hAnsi="宋体" w:eastAsia="宋体" w:cs="宋体"/>
          <w:color w:val="auto"/>
          <w:kern w:val="0"/>
          <w:sz w:val="21"/>
          <w:szCs w:val="21"/>
          <w:highlight w:val="none"/>
          <w:lang w:val="en-US" w:eastAsia="zh-CN"/>
        </w:rPr>
        <w:t>后，经调试、</w:t>
      </w:r>
      <w:r>
        <w:rPr>
          <w:rFonts w:hint="eastAsia" w:ascii="宋体" w:hAnsi="宋体" w:eastAsia="宋体" w:cs="宋体"/>
          <w:color w:val="auto"/>
          <w:kern w:val="0"/>
          <w:sz w:val="21"/>
          <w:szCs w:val="21"/>
          <w:highlight w:val="none"/>
        </w:rPr>
        <w:t>验收合格，乙方向甲方办理移交手续，并填写工程保修单</w:t>
      </w:r>
      <w:r>
        <w:rPr>
          <w:rFonts w:hint="eastAsia" w:ascii="宋体" w:hAnsi="宋体" w:eastAsia="宋体" w:cs="宋体"/>
          <w:color w:val="auto"/>
          <w:kern w:val="0"/>
          <w:sz w:val="21"/>
          <w:szCs w:val="21"/>
          <w:highlight w:val="none"/>
          <w:lang w:eastAsia="zh-CN"/>
        </w:rPr>
        <w:t>。</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p>
    <w:p>
      <w:pPr>
        <w:keepNext w:val="0"/>
        <w:keepLines w:val="0"/>
        <w:pageBreakBefore w:val="0"/>
        <w:kinsoku/>
        <w:wordWrap/>
        <w:overflowPunct/>
        <w:topLinePunct w:val="0"/>
        <w:autoSpaceDE/>
        <w:autoSpaceDN/>
        <w:bidi w:val="0"/>
        <w:spacing w:line="440" w:lineRule="exact"/>
        <w:ind w:firstLine="422" w:firstLineChars="200"/>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cs="宋体"/>
          <w:b/>
          <w:bCs/>
          <w:color w:val="auto"/>
          <w:kern w:val="0"/>
          <w:sz w:val="21"/>
          <w:szCs w:val="21"/>
          <w:highlight w:val="none"/>
          <w:lang w:val="en-US" w:eastAsia="zh-CN"/>
        </w:rPr>
        <w:t>第八条 项目</w:t>
      </w:r>
      <w:r>
        <w:rPr>
          <w:rFonts w:hint="eastAsia" w:ascii="宋体" w:hAnsi="宋体" w:eastAsia="宋体" w:cs="宋体"/>
          <w:b/>
          <w:bCs/>
          <w:color w:val="auto"/>
          <w:kern w:val="0"/>
          <w:sz w:val="21"/>
          <w:szCs w:val="21"/>
          <w:highlight w:val="none"/>
          <w:lang w:val="en-US" w:eastAsia="zh-CN"/>
        </w:rPr>
        <w:t>结算</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8.1</w:t>
      </w:r>
      <w:r>
        <w:rPr>
          <w:rFonts w:hint="eastAsia" w:ascii="宋体" w:hAnsi="宋体" w:eastAsia="宋体" w:cs="宋体"/>
          <w:color w:val="auto"/>
          <w:kern w:val="0"/>
          <w:sz w:val="21"/>
          <w:szCs w:val="21"/>
          <w:highlight w:val="none"/>
          <w:lang w:val="en-US" w:eastAsia="zh-CN"/>
        </w:rPr>
        <w:t>竣工验收后30天内，乙方应向甲方递交竣</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 xml:space="preserve">结算报告及完整的结算资料，由甲方组织审核并进行竣工结算。 </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8.2</w:t>
      </w:r>
      <w:r>
        <w:rPr>
          <w:rFonts w:hint="eastAsia" w:ascii="宋体" w:hAnsi="宋体" w:eastAsia="宋体" w:cs="宋体"/>
          <w:color w:val="auto"/>
          <w:kern w:val="0"/>
          <w:sz w:val="21"/>
          <w:szCs w:val="21"/>
          <w:highlight w:val="none"/>
          <w:lang w:val="en-US" w:eastAsia="zh-CN"/>
        </w:rPr>
        <w:t>乙方报送给甲方的结算文件，由南方报业传媒集团采购的第三方工程造价咨询机构进行审计。审计费的收费标准按南方报业传媒集团采购的第三方工程造价咨询机构签订的审计业务约定书的相关条款为准。</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8.3</w:t>
      </w:r>
      <w:r>
        <w:rPr>
          <w:rFonts w:hint="eastAsia" w:ascii="宋体" w:hAnsi="宋体" w:eastAsia="宋体" w:cs="宋体"/>
          <w:color w:val="auto"/>
          <w:kern w:val="0"/>
          <w:sz w:val="21"/>
          <w:szCs w:val="21"/>
          <w:highlight w:val="none"/>
          <w:lang w:val="en-US" w:eastAsia="zh-CN"/>
        </w:rPr>
        <w:t>本</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的审计费用，按如下条款执行：</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8.3.1</w:t>
      </w:r>
      <w:r>
        <w:rPr>
          <w:rFonts w:hint="eastAsia" w:ascii="宋体" w:hAnsi="宋体" w:eastAsia="宋体" w:cs="宋体"/>
          <w:color w:val="auto"/>
          <w:kern w:val="0"/>
          <w:sz w:val="21"/>
          <w:szCs w:val="21"/>
          <w:highlight w:val="none"/>
          <w:lang w:val="en-US" w:eastAsia="zh-CN"/>
        </w:rPr>
        <w:t>若审减率在3％（含3％）以内的，审计费总额由甲方承担；</w:t>
      </w:r>
    </w:p>
    <w:p>
      <w:pPr>
        <w:keepNext w:val="0"/>
        <w:keepLines w:val="0"/>
        <w:pageBreakBefore w:val="0"/>
        <w:kinsoku/>
        <w:wordWrap/>
        <w:overflowPunct/>
        <w:topLinePunct w:val="0"/>
        <w:autoSpaceDE/>
        <w:autoSpaceDN/>
        <w:bidi w:val="0"/>
        <w:spacing w:line="440" w:lineRule="exac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注：审减率＝（送审结算金额－造价公司审定金额）÷送审结算金额，送审结算金额指报送到南方报业传媒集团采购的第三方工程造价咨询机构的结算金额）</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8.3.2</w:t>
      </w:r>
      <w:r>
        <w:rPr>
          <w:rFonts w:hint="eastAsia" w:ascii="宋体" w:hAnsi="宋体" w:eastAsia="宋体" w:cs="宋体"/>
          <w:color w:val="auto"/>
          <w:kern w:val="0"/>
          <w:sz w:val="21"/>
          <w:szCs w:val="21"/>
          <w:highlight w:val="none"/>
          <w:lang w:val="en-US" w:eastAsia="zh-CN"/>
        </w:rPr>
        <w:t>若审减率超出3％且在10％（含10％）以内的，乙方应承担超出部分的审计费，计算公式为：乙方应承担的审计费＝（审减率－3％）÷审减率×审计费总额；</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8.3.3</w:t>
      </w:r>
      <w:r>
        <w:rPr>
          <w:rFonts w:hint="eastAsia" w:ascii="宋体" w:hAnsi="宋体" w:eastAsia="宋体" w:cs="宋体"/>
          <w:color w:val="auto"/>
          <w:kern w:val="0"/>
          <w:sz w:val="21"/>
          <w:szCs w:val="21"/>
          <w:highlight w:val="none"/>
          <w:lang w:val="en-US" w:eastAsia="zh-CN"/>
        </w:rPr>
        <w:t>若审减率超出10％的，审计费总额全部均由乙方承担；</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8.3.4</w:t>
      </w:r>
      <w:r>
        <w:rPr>
          <w:rFonts w:hint="eastAsia" w:ascii="宋体" w:hAnsi="宋体" w:eastAsia="宋体" w:cs="宋体"/>
          <w:color w:val="auto"/>
          <w:kern w:val="0"/>
          <w:sz w:val="21"/>
          <w:szCs w:val="21"/>
          <w:highlight w:val="none"/>
          <w:lang w:val="en-US" w:eastAsia="zh-CN"/>
        </w:rPr>
        <w:t>应由乙方承担的审计费用，甲方有权在任一笔尚未支付的合同款项中予以扣除。</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8.4</w:t>
      </w:r>
      <w:r>
        <w:rPr>
          <w:rFonts w:hint="eastAsia" w:ascii="宋体" w:hAnsi="宋体" w:eastAsia="宋体" w:cs="宋体"/>
          <w:color w:val="auto"/>
          <w:kern w:val="0"/>
          <w:sz w:val="21"/>
          <w:szCs w:val="21"/>
          <w:highlight w:val="none"/>
          <w:lang w:val="en-US" w:eastAsia="zh-CN"/>
        </w:rPr>
        <w:t>本</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结算方式：按结算价结算，但不得超过合同总价（含税）。</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第</w:t>
      </w:r>
      <w:r>
        <w:rPr>
          <w:rFonts w:hint="eastAsia" w:ascii="宋体" w:hAnsi="宋体" w:cs="宋体"/>
          <w:b/>
          <w:color w:val="auto"/>
          <w:kern w:val="0"/>
          <w:sz w:val="21"/>
          <w:szCs w:val="21"/>
          <w:highlight w:val="none"/>
          <w:lang w:val="en-US" w:eastAsia="zh-CN"/>
        </w:rPr>
        <w:t>九</w:t>
      </w:r>
      <w:r>
        <w:rPr>
          <w:rFonts w:hint="eastAsia" w:ascii="宋体" w:hAnsi="宋体" w:eastAsia="宋体" w:cs="宋体"/>
          <w:b/>
          <w:color w:val="auto"/>
          <w:kern w:val="0"/>
          <w:sz w:val="21"/>
          <w:szCs w:val="21"/>
          <w:highlight w:val="none"/>
          <w:lang w:val="en-US" w:eastAsia="zh-CN"/>
        </w:rPr>
        <w:t xml:space="preserve">条   </w:t>
      </w:r>
      <w:r>
        <w:rPr>
          <w:rFonts w:hint="eastAsia" w:ascii="宋体" w:hAnsi="宋体" w:cs="宋体"/>
          <w:b/>
          <w:color w:val="auto"/>
          <w:kern w:val="0"/>
          <w:sz w:val="21"/>
          <w:szCs w:val="21"/>
          <w:highlight w:val="none"/>
          <w:lang w:val="en-US" w:eastAsia="zh-CN"/>
        </w:rPr>
        <w:t>项目</w:t>
      </w:r>
      <w:r>
        <w:rPr>
          <w:rFonts w:hint="eastAsia" w:ascii="宋体" w:hAnsi="宋体" w:eastAsia="宋体" w:cs="宋体"/>
          <w:b/>
          <w:color w:val="auto"/>
          <w:kern w:val="0"/>
          <w:sz w:val="21"/>
          <w:szCs w:val="21"/>
          <w:highlight w:val="none"/>
          <w:lang w:val="en-US" w:eastAsia="zh-CN"/>
        </w:rPr>
        <w:t>质量保证和售后服务</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.1乙方按合同向甲方提供的</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w:t>
      </w:r>
      <w:r>
        <w:rPr>
          <w:rFonts w:hint="eastAsia" w:ascii="宋体" w:hAnsi="宋体" w:cs="宋体"/>
          <w:color w:val="auto"/>
          <w:kern w:val="0"/>
          <w:sz w:val="21"/>
          <w:szCs w:val="21"/>
          <w:highlight w:val="none"/>
          <w:lang w:val="en-US" w:eastAsia="zh-CN"/>
        </w:rPr>
        <w:t>、施工材料等</w:t>
      </w:r>
      <w:r>
        <w:rPr>
          <w:rFonts w:hint="eastAsia" w:ascii="宋体" w:hAnsi="宋体" w:eastAsia="宋体" w:cs="宋体"/>
          <w:color w:val="auto"/>
          <w:kern w:val="0"/>
          <w:sz w:val="21"/>
          <w:szCs w:val="21"/>
          <w:highlight w:val="none"/>
          <w:lang w:val="en-US" w:eastAsia="zh-CN"/>
        </w:rPr>
        <w:t>应是用崭新的合格材料、以完善的工艺制造的，是全新的非二手设备。设备无划伤、无碰撞、无腐蚀。</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.2乙方按合同向甲方提供的</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w:t>
      </w:r>
      <w:r>
        <w:rPr>
          <w:rFonts w:hint="eastAsia" w:ascii="宋体" w:hAnsi="宋体" w:cs="宋体"/>
          <w:color w:val="auto"/>
          <w:kern w:val="0"/>
          <w:sz w:val="21"/>
          <w:szCs w:val="21"/>
          <w:highlight w:val="none"/>
          <w:lang w:val="en-US" w:eastAsia="zh-CN"/>
        </w:rPr>
        <w:t>、施工材料等</w:t>
      </w:r>
      <w:r>
        <w:rPr>
          <w:rFonts w:hint="eastAsia" w:ascii="宋体" w:hAnsi="宋体" w:eastAsia="宋体" w:cs="宋体"/>
          <w:color w:val="auto"/>
          <w:kern w:val="0"/>
          <w:sz w:val="21"/>
          <w:szCs w:val="21"/>
          <w:highlight w:val="none"/>
          <w:lang w:val="en-US" w:eastAsia="zh-CN"/>
        </w:rPr>
        <w:t>无结构、设计、工艺和/或材料方面的缺陷，并且符合合同约定的品质、规范、性能要求以及国家或国家部委下发的、现行有效的各项标准。</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.3乙方应保证</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设备在投入使用后能完全符合合同约定的要求，并保证</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设备在国家标准（国际标准或地方标准、甲方要求的标准）及合同约定的条件下运行良好。</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.4甲方可在必要时拜访乙方所投设备的生产基地，并有权对所投设备的</w:t>
      </w:r>
      <w:r>
        <w:rPr>
          <w:rFonts w:hint="eastAsia" w:ascii="宋体" w:hAnsi="宋体" w:cs="宋体"/>
          <w:color w:val="auto"/>
          <w:kern w:val="0"/>
          <w:sz w:val="21"/>
          <w:szCs w:val="21"/>
          <w:highlight w:val="none"/>
          <w:lang w:val="en-US" w:eastAsia="zh-CN"/>
        </w:rPr>
        <w:t>生产</w:t>
      </w:r>
      <w:r>
        <w:rPr>
          <w:rFonts w:hint="eastAsia" w:ascii="宋体" w:hAnsi="宋体" w:eastAsia="宋体" w:cs="宋体"/>
          <w:color w:val="auto"/>
          <w:kern w:val="0"/>
          <w:sz w:val="21"/>
          <w:szCs w:val="21"/>
          <w:highlight w:val="none"/>
          <w:lang w:val="en-US" w:eastAsia="zh-CN"/>
        </w:rPr>
        <w:t>基地进行调查审核（审核可不预先通知），考察乙方的质量体系运行和产品质量控制情况。对甲方提出的不合格事项和质量改进建议，乙方应在甲方要求的期限内积极制定改进措施，并将实施结果提交甲方确认。</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.5</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的质量保证期自双方签署最终验收报告之日起计算。整体项目质量</w:t>
      </w:r>
      <w:r>
        <w:rPr>
          <w:rFonts w:hint="eastAsia" w:ascii="宋体" w:hAnsi="宋体" w:cs="宋体"/>
          <w:color w:val="auto"/>
          <w:kern w:val="0"/>
          <w:sz w:val="21"/>
          <w:szCs w:val="21"/>
          <w:highlight w:val="none"/>
          <w:lang w:val="en-US" w:eastAsia="zh-CN"/>
        </w:rPr>
        <w:t>保证</w:t>
      </w:r>
      <w:r>
        <w:rPr>
          <w:rFonts w:hint="eastAsia" w:ascii="宋体" w:hAnsi="宋体" w:eastAsia="宋体" w:cs="宋体"/>
          <w:color w:val="auto"/>
          <w:kern w:val="0"/>
          <w:sz w:val="21"/>
          <w:szCs w:val="21"/>
          <w:highlight w:val="none"/>
        </w:rPr>
        <w:t>期限为</w:t>
      </w:r>
      <w:r>
        <w:rPr>
          <w:rFonts w:hint="eastAsia" w:ascii="宋体" w:hAnsi="宋体" w:eastAsia="宋体" w:cs="宋体"/>
          <w:color w:val="auto"/>
          <w:kern w:val="0"/>
          <w:sz w:val="21"/>
          <w:szCs w:val="21"/>
          <w:highlight w:val="none"/>
          <w:lang w:val="en-US" w:eastAsia="zh-CN"/>
        </w:rPr>
        <w:t>三</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lang w:val="en-US" w:eastAsia="zh-CN"/>
        </w:rPr>
        <w:t>。在质保期内，施工单位接到质保修复通知后应在24小时内赶到现场，质保修复等相关费用由乙方自行负担。</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.5.1在</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质量保证期内，乙方应对由于</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设备的结构、设计、工艺和/或材料方面的缺陷所造成的质量问题和由此造成的损失负责，并应免费对本合同范围内设备及附件进行维修、更换零部件，进行定期维护和保养。凡因</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设备质量保证范围内</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设备修理而停用的时间，质量保证期相应顺延，不足一天的，顺延一天。更换的零部件的质量保证期应为更换之日起十二个月。因此而产生的其他一切费用概由乙方承担。</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.5.2在</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质量保证期内，发现</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出现一般质量问题、不符合本合同约定的要求的，甲方可立即通知乙方，乙方应在接到甲方的质量问题投诉后需立刻做出响应。如果甲方认为有需要，乙方应在甲方要求时间内安排技术人员抵达现场、解决问题。</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.5.3如果乙方在收到通知后3天内未能采取有效措施解决</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设备质量问题，或者乙方在采取措施后15天内仍未能将</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设备修理完好的，甲方有权选择：</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--自行或聘请第三方对</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设备进行修理或更换，因此产生的费用（包括修理所需劳务报酬、零件材料价款以及更换</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设备所需的一切费用）由乙方承担，且不解除乙方根据本合同应承担的义务，并要求乙方承担由此给甲方造成的一切损失。</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.5.4 按照本合同约定因乙方问题导致乙方更换的全新的</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w:t>
      </w:r>
      <w:r>
        <w:rPr>
          <w:rFonts w:hint="eastAsia" w:ascii="宋体" w:hAnsi="宋体" w:cs="宋体"/>
          <w:color w:val="auto"/>
          <w:kern w:val="0"/>
          <w:sz w:val="21"/>
          <w:szCs w:val="21"/>
          <w:highlight w:val="none"/>
          <w:lang w:val="en-US" w:eastAsia="zh-CN"/>
        </w:rPr>
        <w:t>、施工材料等</w:t>
      </w:r>
      <w:r>
        <w:rPr>
          <w:rFonts w:hint="eastAsia" w:ascii="宋体" w:hAnsi="宋体" w:eastAsia="宋体" w:cs="宋体"/>
          <w:color w:val="auto"/>
          <w:kern w:val="0"/>
          <w:sz w:val="21"/>
          <w:szCs w:val="21"/>
          <w:highlight w:val="none"/>
          <w:lang w:val="en-US" w:eastAsia="zh-CN"/>
        </w:rPr>
        <w:t>，应按照本合同的约定</w:t>
      </w:r>
      <w:r>
        <w:rPr>
          <w:rFonts w:hint="eastAsia" w:ascii="宋体" w:hAnsi="宋体" w:cs="宋体"/>
          <w:color w:val="auto"/>
          <w:kern w:val="0"/>
          <w:sz w:val="21"/>
          <w:szCs w:val="21"/>
          <w:highlight w:val="none"/>
          <w:lang w:val="en-US" w:eastAsia="zh-CN"/>
        </w:rPr>
        <w:t>重新</w:t>
      </w:r>
      <w:r>
        <w:rPr>
          <w:rFonts w:hint="eastAsia" w:ascii="宋体" w:hAnsi="宋体" w:eastAsia="宋体" w:cs="宋体"/>
          <w:color w:val="auto"/>
          <w:kern w:val="0"/>
          <w:sz w:val="21"/>
          <w:szCs w:val="21"/>
          <w:highlight w:val="none"/>
          <w:lang w:val="en-US" w:eastAsia="zh-CN"/>
        </w:rPr>
        <w:t>验收。如果全新的</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设备</w:t>
      </w:r>
      <w:r>
        <w:rPr>
          <w:rFonts w:hint="eastAsia" w:ascii="宋体" w:hAnsi="宋体" w:cs="宋体"/>
          <w:color w:val="auto"/>
          <w:kern w:val="0"/>
          <w:sz w:val="21"/>
          <w:szCs w:val="21"/>
          <w:highlight w:val="none"/>
          <w:lang w:val="en-US" w:eastAsia="zh-CN"/>
        </w:rPr>
        <w:t>、施工材料等</w:t>
      </w:r>
      <w:r>
        <w:rPr>
          <w:rFonts w:hint="eastAsia" w:ascii="宋体" w:hAnsi="宋体" w:eastAsia="宋体" w:cs="宋体"/>
          <w:color w:val="auto"/>
          <w:kern w:val="0"/>
          <w:sz w:val="21"/>
          <w:szCs w:val="21"/>
          <w:highlight w:val="none"/>
          <w:lang w:val="en-US" w:eastAsia="zh-CN"/>
        </w:rPr>
        <w:t>在自交付之日起60天内无法通过验收的，视为乙方不能交付，乙方应按本合同约定承担违约责任。</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.6 质保期满后，乙方对所提供</w:t>
      </w:r>
      <w:r>
        <w:rPr>
          <w:rFonts w:hint="eastAsia" w:ascii="宋体" w:hAnsi="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lang w:val="en-US" w:eastAsia="zh-CN"/>
        </w:rPr>
        <w:t>进行维修只收取备品备件费和基本人工费，免收其他费用。</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.7 乙方须提供常设7天×24小时热线服务和长期的免费技术支持。</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售后服务机构名称：</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联系地址：</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联系人及联系电话：</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lang w:val="en-US" w:eastAsia="zh-CN"/>
        </w:rPr>
        <w:t>.8 乙方在接到甲方的通知后，即使对质量保证项下的有关问题存有异议，亦应当在甲方要求的范围内采取措施。若事后证明不属于保证范围内的问题，甲方应向乙方偿付因此而产生的合理费用。</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p>
    <w:p>
      <w:pPr>
        <w:keepNext w:val="0"/>
        <w:keepLines w:val="0"/>
        <w:pageBreakBefore w:val="0"/>
        <w:kinsoku/>
        <w:wordWrap/>
        <w:overflowPunct/>
        <w:topLinePunct w:val="0"/>
        <w:autoSpaceDE/>
        <w:autoSpaceDN/>
        <w:bidi w:val="0"/>
        <w:spacing w:line="440" w:lineRule="exact"/>
        <w:ind w:firstLine="422" w:firstLineChars="200"/>
        <w:textAlignment w:val="auto"/>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第</w:t>
      </w:r>
      <w:r>
        <w:rPr>
          <w:rFonts w:hint="eastAsia" w:ascii="宋体" w:hAnsi="宋体" w:cs="宋体"/>
          <w:b/>
          <w:color w:val="auto"/>
          <w:kern w:val="0"/>
          <w:sz w:val="21"/>
          <w:szCs w:val="21"/>
          <w:highlight w:val="none"/>
          <w:lang w:val="en-US" w:eastAsia="zh-CN"/>
        </w:rPr>
        <w:t>十</w:t>
      </w:r>
      <w:r>
        <w:rPr>
          <w:rFonts w:hint="eastAsia" w:ascii="宋体" w:hAnsi="宋体" w:eastAsia="宋体" w:cs="宋体"/>
          <w:b/>
          <w:color w:val="auto"/>
          <w:kern w:val="0"/>
          <w:sz w:val="21"/>
          <w:szCs w:val="21"/>
          <w:highlight w:val="none"/>
          <w:lang w:val="en-US" w:eastAsia="zh-CN"/>
        </w:rPr>
        <w:t>条  培训</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lang w:val="en-US" w:eastAsia="zh-CN"/>
        </w:rPr>
        <w:t>.1乙方将按甲乙双方另行约定的时间和地点对甲方人员开展培训，并保证培训的质量和效果</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lang w:val="en-US" w:eastAsia="zh-CN"/>
        </w:rPr>
        <w:t>.2 乙方应委派经验丰富、合格的技术人员对甲方人员进行技术培训。如果乙方委派的技术人员不符合本合同约定，或者玩忽职守，或者违反国家法律，因此造成甲方蒙受损失的，由乙方承担赔偿责任。甲方有权要求乙方撤换相关技术人员，并委派合格的技术人员接替相关工作。乙方应于收到甲方书面通知后的按期完成撤换工作。</w:t>
      </w:r>
    </w:p>
    <w:p>
      <w:pPr>
        <w:keepNext w:val="0"/>
        <w:keepLines w:val="0"/>
        <w:pageBreakBefore w:val="0"/>
        <w:kinsoku/>
        <w:wordWrap/>
        <w:overflowPunct/>
        <w:topLinePunct w:val="0"/>
        <w:autoSpaceDE/>
        <w:autoSpaceDN/>
        <w:bidi w:val="0"/>
        <w:adjustRightInd w:val="0"/>
        <w:snapToGrid w:val="0"/>
        <w:spacing w:line="440" w:lineRule="exact"/>
        <w:ind w:firstLine="413" w:firstLineChars="196"/>
        <w:textAlignment w:val="auto"/>
        <w:rPr>
          <w:rFonts w:hint="eastAsia" w:ascii="宋体" w:hAnsi="宋体" w:cs="宋体"/>
          <w:b/>
          <w:color w:val="auto"/>
          <w:szCs w:val="21"/>
          <w:highlight w:val="none"/>
        </w:rPr>
      </w:pPr>
    </w:p>
    <w:p>
      <w:pPr>
        <w:keepNext w:val="0"/>
        <w:keepLines w:val="0"/>
        <w:pageBreakBefore w:val="0"/>
        <w:kinsoku/>
        <w:wordWrap/>
        <w:overflowPunct/>
        <w:topLinePunct w:val="0"/>
        <w:autoSpaceDE/>
        <w:autoSpaceDN/>
        <w:bidi w:val="0"/>
        <w:spacing w:line="440" w:lineRule="exact"/>
        <w:ind w:firstLine="422" w:firstLineChars="200"/>
        <w:textAlignment w:val="auto"/>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第十</w:t>
      </w:r>
      <w:r>
        <w:rPr>
          <w:rFonts w:hint="eastAsia" w:ascii="宋体" w:hAnsi="宋体" w:cs="宋体"/>
          <w:b/>
          <w:color w:val="auto"/>
          <w:kern w:val="0"/>
          <w:sz w:val="21"/>
          <w:szCs w:val="21"/>
          <w:highlight w:val="none"/>
          <w:lang w:val="en-US" w:eastAsia="zh-CN"/>
        </w:rPr>
        <w:t>一</w:t>
      </w:r>
      <w:r>
        <w:rPr>
          <w:rFonts w:hint="eastAsia" w:ascii="宋体" w:hAnsi="宋体" w:eastAsia="宋体" w:cs="宋体"/>
          <w:b/>
          <w:color w:val="auto"/>
          <w:kern w:val="0"/>
          <w:sz w:val="21"/>
          <w:szCs w:val="21"/>
          <w:highlight w:val="none"/>
          <w:lang w:val="en-US" w:eastAsia="zh-CN"/>
        </w:rPr>
        <w:t>条  知识产权</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cs="宋体"/>
          <w:b w:val="0"/>
          <w:bCs/>
          <w:color w:val="auto"/>
          <w:kern w:val="0"/>
          <w:sz w:val="21"/>
          <w:szCs w:val="21"/>
          <w:highlight w:val="none"/>
          <w:lang w:val="en-US" w:eastAsia="zh-CN"/>
        </w:rPr>
        <w:t>11</w:t>
      </w:r>
      <w:r>
        <w:rPr>
          <w:rFonts w:hint="eastAsia" w:ascii="宋体" w:hAnsi="宋体" w:eastAsia="宋体" w:cs="宋体"/>
          <w:b w:val="0"/>
          <w:bCs/>
          <w:color w:val="auto"/>
          <w:kern w:val="0"/>
          <w:sz w:val="21"/>
          <w:szCs w:val="21"/>
          <w:highlight w:val="none"/>
          <w:lang w:val="en-US" w:eastAsia="zh-CN"/>
        </w:rPr>
        <w:t>.1 乙方确保提供给甲方的该合同约定的标的物及相关附属产品的知识产权属于乙方所有，并向甲方提供相应的权属证明。涉及第三方知识产权的，乙方须提供合法的授权使用证明。对于上述涉及的知识产权权利，乙方许可甲方在本合同约定范围内使用。若由于乙方所提供的该合同的标的物及附属部件、材料、资料等引起知识产权纠纷，乙方应当承担一切经济和法律责任，包括但不限于赔偿甲方因参与此类侵权指控的诉讼费用、律师费用、所受损失及弥补纠正侵权产品而支付的所有费用。</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1</w:t>
      </w:r>
      <w:r>
        <w:rPr>
          <w:rFonts w:hint="eastAsia" w:ascii="宋体" w:hAnsi="宋体" w:eastAsia="宋体" w:cs="宋体"/>
          <w:b w:val="0"/>
          <w:bCs/>
          <w:color w:val="auto"/>
          <w:kern w:val="0"/>
          <w:sz w:val="21"/>
          <w:szCs w:val="21"/>
          <w:highlight w:val="none"/>
          <w:lang w:val="en-US" w:eastAsia="zh-CN"/>
        </w:rPr>
        <w:t>.2 乙方为履行本合同而提供的技术资料、软件的使用权由甲方独享。</w:t>
      </w:r>
    </w:p>
    <w:p>
      <w:pPr>
        <w:keepNext w:val="0"/>
        <w:keepLines w:val="0"/>
        <w:pageBreakBefore w:val="0"/>
        <w:kinsoku/>
        <w:wordWrap/>
        <w:overflowPunct/>
        <w:topLinePunct w:val="0"/>
        <w:autoSpaceDE/>
        <w:autoSpaceDN/>
        <w:bidi w:val="0"/>
        <w:adjustRightInd w:val="0"/>
        <w:snapToGrid w:val="0"/>
        <w:spacing w:line="440" w:lineRule="exact"/>
        <w:ind w:firstLine="413" w:firstLineChars="196"/>
        <w:textAlignment w:val="auto"/>
        <w:rPr>
          <w:rFonts w:hint="eastAsia" w:ascii="宋体" w:hAnsi="宋体" w:cs="宋体"/>
          <w:b/>
          <w:color w:val="auto"/>
          <w:szCs w:val="21"/>
          <w:highlight w:val="none"/>
        </w:rPr>
      </w:pPr>
    </w:p>
    <w:p>
      <w:pPr>
        <w:keepNext w:val="0"/>
        <w:keepLines w:val="0"/>
        <w:pageBreakBefore w:val="0"/>
        <w:kinsoku/>
        <w:wordWrap/>
        <w:overflowPunct/>
        <w:topLinePunct w:val="0"/>
        <w:autoSpaceDE/>
        <w:autoSpaceDN/>
        <w:bidi w:val="0"/>
        <w:adjustRightInd w:val="0"/>
        <w:snapToGrid w:val="0"/>
        <w:spacing w:line="440" w:lineRule="exact"/>
        <w:ind w:firstLine="413" w:firstLineChars="196"/>
        <w:textAlignment w:val="auto"/>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第十</w:t>
      </w:r>
      <w:r>
        <w:rPr>
          <w:rFonts w:hint="eastAsia" w:ascii="宋体" w:hAnsi="宋体" w:cs="宋体"/>
          <w:b/>
          <w:color w:val="auto"/>
          <w:kern w:val="0"/>
          <w:sz w:val="21"/>
          <w:szCs w:val="21"/>
          <w:highlight w:val="none"/>
          <w:lang w:val="en-US" w:eastAsia="zh-CN"/>
        </w:rPr>
        <w:t>二</w:t>
      </w:r>
      <w:r>
        <w:rPr>
          <w:rFonts w:hint="eastAsia" w:ascii="宋体" w:hAnsi="宋体" w:eastAsia="宋体" w:cs="宋体"/>
          <w:b/>
          <w:color w:val="auto"/>
          <w:kern w:val="0"/>
          <w:sz w:val="21"/>
          <w:szCs w:val="21"/>
          <w:highlight w:val="none"/>
          <w:lang w:val="en-US" w:eastAsia="zh-CN"/>
        </w:rPr>
        <w:t>条  违约责任</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1除本合同另有约定或不可抗力外，任何一方未能全面履行其在本合同项下之义务的，则该方应被视作违反本协议。违约方应依本协议约定和法律规定承担违约责任，赔偿守约方因其违约行为而发生的所有损失（包括但不限于守约方的直接损失、预期利益损失、为避免损失而进行的合理费用支出、律师费、案件受理费、</w:t>
      </w:r>
      <w:r>
        <w:rPr>
          <w:rFonts w:hint="eastAsia" w:ascii="宋体" w:hAnsi="宋体" w:cs="宋体"/>
          <w:b w:val="0"/>
          <w:bCs/>
          <w:color w:val="auto"/>
          <w:kern w:val="0"/>
          <w:sz w:val="21"/>
          <w:szCs w:val="21"/>
          <w:highlight w:val="none"/>
          <w:lang w:val="en-US" w:eastAsia="zh-CN"/>
        </w:rPr>
        <w:t>财产保全费及保险费、</w:t>
      </w:r>
      <w:r>
        <w:rPr>
          <w:rFonts w:hint="eastAsia" w:ascii="宋体" w:hAnsi="宋体" w:eastAsia="宋体" w:cs="宋体"/>
          <w:b w:val="0"/>
          <w:bCs/>
          <w:color w:val="auto"/>
          <w:kern w:val="0"/>
          <w:sz w:val="21"/>
          <w:szCs w:val="21"/>
          <w:highlight w:val="none"/>
          <w:lang w:val="en-US" w:eastAsia="zh-CN"/>
        </w:rPr>
        <w:t>评估费、差旅费、拍卖费、招投标费用，下同）。</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.2本合同生效后甲、乙双方应严格履行合同所规定的各项条款，不得擅自变更或解除合同 ，否则违约方将支付对方合同价的5%作为违约金，若因此造成守约方其他损失的，违约方应继续赔付守约方损失。</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.3乙方原因，工程质量达不到双方约定的质量标准，由乙方负责维修，所需维修费用由乙方承担，工期不顺延，乙方工程未达到甲方要求的质量标准，甲方有权中止支付合同款项且不视为违约。</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.4因乙方原因工期延误，则每延误一日，乙方按照合同价的1‰向甲方支付违约金。</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.5乙方</w:t>
      </w:r>
      <w:r>
        <w:rPr>
          <w:rFonts w:hint="eastAsia" w:ascii="宋体" w:hAnsi="宋体" w:cs="宋体"/>
          <w:b w:val="0"/>
          <w:bCs/>
          <w:color w:val="auto"/>
          <w:kern w:val="0"/>
          <w:sz w:val="21"/>
          <w:szCs w:val="21"/>
          <w:highlight w:val="none"/>
          <w:lang w:val="en-US" w:eastAsia="zh-CN"/>
        </w:rPr>
        <w:t>履约</w:t>
      </w:r>
      <w:r>
        <w:rPr>
          <w:rFonts w:hint="eastAsia" w:ascii="宋体" w:hAnsi="宋体" w:eastAsia="宋体" w:cs="宋体"/>
          <w:b w:val="0"/>
          <w:bCs/>
          <w:color w:val="auto"/>
          <w:kern w:val="0"/>
          <w:sz w:val="21"/>
          <w:szCs w:val="21"/>
          <w:highlight w:val="none"/>
          <w:lang w:val="en-US" w:eastAsia="zh-CN"/>
        </w:rPr>
        <w:t>不符合法律法规、规范性文件规定或不符合甲方要求的，甲方连续三次提出合理要求，要求乙方进行修改，乙方的修改成果仍未符合国家法律法规的规定以及甲方要求的，视为乙方不能胜任本项目的设计和施工，甲方有权单方解除本协议，且无需向乙方支付任何费用，乙方需对甲方所产生的损失承担全部赔偿责任并按合同价的5%向甲方支付违约金。</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.6乙方设计侵犯第三方权利、违反公序良俗、不尊重民族情感的，导致甲方被追究责任的，乙方应赔偿第三方的损失以及给甲方造成的全部损失，并向甲方支付合同价的5%作为违约金。</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2</w:t>
      </w:r>
      <w:r>
        <w:rPr>
          <w:rFonts w:hint="eastAsia" w:ascii="宋体" w:hAnsi="宋体" w:eastAsia="宋体" w:cs="宋体"/>
          <w:b w:val="0"/>
          <w:bCs/>
          <w:color w:val="auto"/>
          <w:kern w:val="0"/>
          <w:sz w:val="21"/>
          <w:szCs w:val="21"/>
          <w:highlight w:val="none"/>
          <w:lang w:val="en-US" w:eastAsia="zh-CN"/>
        </w:rPr>
        <w:t>.7甲方有权在任何一期应付合同价款中扣除乙方按照本合同应支付的违约金及/或赔偿金。</w:t>
      </w:r>
    </w:p>
    <w:p>
      <w:pPr>
        <w:keepNext w:val="0"/>
        <w:keepLines w:val="0"/>
        <w:pageBreakBefore w:val="0"/>
        <w:kinsoku/>
        <w:wordWrap/>
        <w:overflowPunct/>
        <w:topLinePunct w:val="0"/>
        <w:autoSpaceDE/>
        <w:autoSpaceDN/>
        <w:bidi w:val="0"/>
        <w:adjustRightInd w:val="0"/>
        <w:snapToGrid w:val="0"/>
        <w:spacing w:line="440" w:lineRule="exact"/>
        <w:ind w:firstLine="413" w:firstLineChars="196"/>
        <w:textAlignment w:val="auto"/>
        <w:rPr>
          <w:rFonts w:hint="eastAsia" w:ascii="宋体" w:hAnsi="宋体" w:cs="宋体"/>
          <w:b/>
          <w:color w:val="auto"/>
          <w:szCs w:val="21"/>
          <w:highlight w:val="none"/>
        </w:rPr>
      </w:pPr>
    </w:p>
    <w:p>
      <w:pPr>
        <w:keepNext w:val="0"/>
        <w:keepLines w:val="0"/>
        <w:pageBreakBefore w:val="0"/>
        <w:kinsoku/>
        <w:wordWrap/>
        <w:overflowPunct/>
        <w:topLinePunct w:val="0"/>
        <w:autoSpaceDE/>
        <w:autoSpaceDN/>
        <w:bidi w:val="0"/>
        <w:adjustRightInd w:val="0"/>
        <w:snapToGrid w:val="0"/>
        <w:spacing w:line="440" w:lineRule="exact"/>
        <w:ind w:firstLine="413" w:firstLineChars="196"/>
        <w:textAlignment w:val="auto"/>
        <w:rPr>
          <w:rFonts w:hint="eastAsia" w:ascii="宋体" w:hAnsi="宋体" w:cs="宋体"/>
          <w:b/>
          <w:color w:val="auto"/>
          <w:szCs w:val="21"/>
          <w:highlight w:val="none"/>
        </w:rPr>
      </w:pPr>
      <w:r>
        <w:rPr>
          <w:rFonts w:hint="eastAsia" w:ascii="宋体" w:hAnsi="宋体" w:cs="宋体"/>
          <w:b/>
          <w:color w:val="auto"/>
          <w:szCs w:val="21"/>
          <w:highlight w:val="none"/>
        </w:rPr>
        <w:t>第十</w:t>
      </w:r>
      <w:r>
        <w:rPr>
          <w:rFonts w:hint="eastAsia" w:ascii="宋体" w:hAnsi="宋体" w:cs="宋体"/>
          <w:b/>
          <w:color w:val="auto"/>
          <w:szCs w:val="21"/>
          <w:highlight w:val="none"/>
          <w:lang w:val="en-US" w:eastAsia="zh-CN"/>
        </w:rPr>
        <w:t>三</w:t>
      </w:r>
      <w:r>
        <w:rPr>
          <w:rFonts w:hint="eastAsia" w:ascii="宋体" w:hAnsi="宋体" w:cs="宋体"/>
          <w:b/>
          <w:color w:val="auto"/>
          <w:szCs w:val="21"/>
          <w:highlight w:val="none"/>
        </w:rPr>
        <w:t>条  保密</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1甲乙双方应将本合同范围内的所有各方的资料视为私有和机密，除非本合同另有约定或者事先取得对方的许可，不得对外披露，也不得超越本合同约定使用。任何一方违反保密约定的，应承担违约责任。本条款不因合同的不生效、合同的无效或者部分无效、合同的终止或部分终止而失效。</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.2未经甲方事先的书面认可，乙方不得以广告或其它方式泄露乙方已经或已经同意根据本合同向甲方提供产品的信息。</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.3如根据政府法令或法律程序要求任何一方必须向政府、裁判机构或任何第三方提供上述资料，可按规定提供，但应尽快将此项事实通知对方，并应采取合理措施将需要透露的信息范围控制在最小。</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.4以下情形不视为违反保密义务：</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.4.1在一方当事人提供时已为公众所知悉的。</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.4.2在一方当事人提供之前，另一方当事人已经自行掌握的。</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3</w:t>
      </w:r>
      <w:r>
        <w:rPr>
          <w:rFonts w:hint="eastAsia" w:ascii="宋体" w:hAnsi="宋体" w:eastAsia="宋体" w:cs="宋体"/>
          <w:b w:val="0"/>
          <w:bCs/>
          <w:color w:val="auto"/>
          <w:kern w:val="0"/>
          <w:sz w:val="21"/>
          <w:szCs w:val="21"/>
          <w:highlight w:val="none"/>
          <w:lang w:val="en-US" w:eastAsia="zh-CN"/>
        </w:rPr>
        <w:t>.5本合同任何变更、解除或终止均不影响本条款的效力。</w:t>
      </w:r>
    </w:p>
    <w:p>
      <w:pPr>
        <w:keepNext w:val="0"/>
        <w:keepLines w:val="0"/>
        <w:pageBreakBefore w:val="0"/>
        <w:kinsoku/>
        <w:wordWrap/>
        <w:overflowPunct/>
        <w:topLinePunct w:val="0"/>
        <w:autoSpaceDE/>
        <w:autoSpaceDN/>
        <w:bidi w:val="0"/>
        <w:adjustRightInd w:val="0"/>
        <w:snapToGrid w:val="0"/>
        <w:spacing w:line="440" w:lineRule="exact"/>
        <w:ind w:firstLine="413" w:firstLineChars="196"/>
        <w:textAlignment w:val="auto"/>
        <w:rPr>
          <w:rFonts w:hint="eastAsia" w:ascii="宋体" w:hAnsi="宋体" w:cs="宋体"/>
          <w:b/>
          <w:color w:val="auto"/>
          <w:szCs w:val="21"/>
          <w:highlight w:val="none"/>
        </w:rPr>
      </w:pPr>
    </w:p>
    <w:p>
      <w:pPr>
        <w:keepNext w:val="0"/>
        <w:keepLines w:val="0"/>
        <w:pageBreakBefore w:val="0"/>
        <w:kinsoku/>
        <w:wordWrap/>
        <w:overflowPunct/>
        <w:topLinePunct w:val="0"/>
        <w:autoSpaceDE/>
        <w:autoSpaceDN/>
        <w:bidi w:val="0"/>
        <w:spacing w:line="440" w:lineRule="exact"/>
        <w:ind w:firstLine="422" w:firstLineChars="200"/>
        <w:textAlignment w:val="auto"/>
        <w:rPr>
          <w:rFonts w:hint="eastAsia" w:ascii="宋体" w:hAnsi="宋体" w:eastAsia="宋体" w:cs="宋体"/>
          <w:b/>
          <w:bCs w:val="0"/>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第十</w:t>
      </w:r>
      <w:r>
        <w:rPr>
          <w:rFonts w:hint="eastAsia" w:ascii="宋体" w:hAnsi="宋体" w:cs="宋体"/>
          <w:b/>
          <w:bCs w:val="0"/>
          <w:color w:val="auto"/>
          <w:kern w:val="0"/>
          <w:sz w:val="21"/>
          <w:szCs w:val="21"/>
          <w:highlight w:val="none"/>
          <w:lang w:val="en-US" w:eastAsia="zh-CN"/>
        </w:rPr>
        <w:t>四</w:t>
      </w:r>
      <w:r>
        <w:rPr>
          <w:rFonts w:hint="eastAsia" w:ascii="宋体" w:hAnsi="宋体" w:eastAsia="宋体" w:cs="宋体"/>
          <w:b/>
          <w:bCs w:val="0"/>
          <w:color w:val="auto"/>
          <w:kern w:val="0"/>
          <w:sz w:val="21"/>
          <w:szCs w:val="21"/>
          <w:highlight w:val="none"/>
          <w:lang w:val="en-US" w:eastAsia="zh-CN"/>
        </w:rPr>
        <w:t>条  不可抗力</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4</w:t>
      </w:r>
      <w:r>
        <w:rPr>
          <w:rFonts w:hint="eastAsia" w:ascii="宋体" w:hAnsi="宋体" w:eastAsia="宋体" w:cs="宋体"/>
          <w:b w:val="0"/>
          <w:bCs/>
          <w:color w:val="auto"/>
          <w:kern w:val="0"/>
          <w:sz w:val="21"/>
          <w:szCs w:val="21"/>
          <w:highlight w:val="none"/>
          <w:lang w:val="en-US" w:eastAsia="zh-CN"/>
        </w:rPr>
        <w:t>.1不可抗力是指合同双方都不能预见、不能避免并不能克服而导致合同双方无法执行合同的客观情况。以下事件被视为不可抗力：台风、地震、洪水、战争、政府或法院指令以及类似事件。罢工、工厂设备瘫痪等不视为不可抗力。</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4</w:t>
      </w:r>
      <w:r>
        <w:rPr>
          <w:rFonts w:hint="eastAsia" w:ascii="宋体" w:hAnsi="宋体" w:eastAsia="宋体" w:cs="宋体"/>
          <w:b w:val="0"/>
          <w:bCs/>
          <w:color w:val="auto"/>
          <w:kern w:val="0"/>
          <w:sz w:val="21"/>
          <w:szCs w:val="21"/>
          <w:highlight w:val="none"/>
          <w:lang w:val="en-US" w:eastAsia="zh-CN"/>
        </w:rPr>
        <w:t>.2提出不可抗力的一方应在不可抗力发生后一天内立即通知对方，并提供必要的官方文件证明确实发生了不可抗力。</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4</w:t>
      </w:r>
      <w:r>
        <w:rPr>
          <w:rFonts w:hint="eastAsia" w:ascii="宋体" w:hAnsi="宋体" w:eastAsia="宋体" w:cs="宋体"/>
          <w:b w:val="0"/>
          <w:bCs/>
          <w:color w:val="auto"/>
          <w:kern w:val="0"/>
          <w:sz w:val="21"/>
          <w:szCs w:val="21"/>
          <w:highlight w:val="none"/>
          <w:lang w:val="en-US" w:eastAsia="zh-CN"/>
        </w:rPr>
        <w:t>.3当不可抗力被确认后，合同中约定的双方履行义务的期限因不可抗力导致迟延的，应视作自动延期。</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4</w:t>
      </w:r>
      <w:r>
        <w:rPr>
          <w:rFonts w:hint="eastAsia" w:ascii="宋体" w:hAnsi="宋体" w:eastAsia="宋体" w:cs="宋体"/>
          <w:b w:val="0"/>
          <w:bCs/>
          <w:color w:val="auto"/>
          <w:kern w:val="0"/>
          <w:sz w:val="21"/>
          <w:szCs w:val="21"/>
          <w:highlight w:val="none"/>
          <w:lang w:val="en-US" w:eastAsia="zh-CN"/>
        </w:rPr>
        <w:t>.4当不可抗力发生时，遭遇不可抗力的一方有义务作出努力，将不可抗力带来的损失减少到最低限度。履行了通知义务和采取必要手段避免合同损失扩大的情况下，不能履行本合同项下相关义务的，可以免责。</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w:t>
      </w:r>
      <w:r>
        <w:rPr>
          <w:rFonts w:hint="eastAsia" w:ascii="宋体" w:hAnsi="宋体" w:cs="宋体"/>
          <w:b w:val="0"/>
          <w:bCs/>
          <w:color w:val="auto"/>
          <w:kern w:val="0"/>
          <w:sz w:val="21"/>
          <w:szCs w:val="21"/>
          <w:highlight w:val="none"/>
          <w:lang w:val="en-US" w:eastAsia="zh-CN"/>
        </w:rPr>
        <w:t>4</w:t>
      </w:r>
      <w:r>
        <w:rPr>
          <w:rFonts w:hint="eastAsia" w:ascii="宋体" w:hAnsi="宋体" w:eastAsia="宋体" w:cs="宋体"/>
          <w:b w:val="0"/>
          <w:bCs/>
          <w:color w:val="auto"/>
          <w:kern w:val="0"/>
          <w:sz w:val="21"/>
          <w:szCs w:val="21"/>
          <w:highlight w:val="none"/>
          <w:lang w:val="en-US" w:eastAsia="zh-CN"/>
        </w:rPr>
        <w:t>.5因不可抗力导致迟延履行本合同的，甲乙双方应在不可抗力发生后共同判断合同继续履行的必要性和可行性。如果需继续履行合同的，履行合同的迟延期间应相当于不可抗力事件影响的时间。如果继续履行合同已经无法达到合同目的或者将使损失扩大的，甲乙双方可协商解除本合同。</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eastAsia="宋体" w:cs="宋体"/>
          <w:b w:val="0"/>
          <w:bCs/>
          <w:color w:val="auto"/>
          <w:kern w:val="0"/>
          <w:sz w:val="21"/>
          <w:szCs w:val="21"/>
          <w:highlight w:val="none"/>
          <w:lang w:val="en-US" w:eastAsia="zh-CN"/>
        </w:rPr>
      </w:pPr>
    </w:p>
    <w:p>
      <w:pPr>
        <w:keepNext w:val="0"/>
        <w:keepLines w:val="0"/>
        <w:pageBreakBefore w:val="0"/>
        <w:kinsoku/>
        <w:wordWrap/>
        <w:overflowPunct/>
        <w:topLinePunct w:val="0"/>
        <w:autoSpaceDE/>
        <w:autoSpaceDN/>
        <w:bidi w:val="0"/>
        <w:spacing w:line="440" w:lineRule="exact"/>
        <w:ind w:firstLine="422" w:firstLineChars="200"/>
        <w:textAlignment w:val="auto"/>
        <w:rPr>
          <w:rFonts w:hint="eastAsia" w:ascii="宋体" w:hAnsi="宋体" w:eastAsia="宋体" w:cs="宋体"/>
          <w:b/>
          <w:bCs w:val="0"/>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第十</w:t>
      </w:r>
      <w:r>
        <w:rPr>
          <w:rFonts w:hint="eastAsia" w:ascii="宋体" w:hAnsi="宋体" w:cs="宋体"/>
          <w:b/>
          <w:bCs w:val="0"/>
          <w:color w:val="auto"/>
          <w:kern w:val="0"/>
          <w:sz w:val="21"/>
          <w:szCs w:val="21"/>
          <w:highlight w:val="none"/>
          <w:lang w:val="en-US" w:eastAsia="zh-CN"/>
        </w:rPr>
        <w:t>五</w:t>
      </w:r>
      <w:r>
        <w:rPr>
          <w:rFonts w:hint="eastAsia" w:ascii="宋体" w:hAnsi="宋体" w:eastAsia="宋体" w:cs="宋体"/>
          <w:b/>
          <w:bCs w:val="0"/>
          <w:color w:val="auto"/>
          <w:kern w:val="0"/>
          <w:sz w:val="21"/>
          <w:szCs w:val="21"/>
          <w:highlight w:val="none"/>
          <w:lang w:val="en-US" w:eastAsia="zh-CN"/>
        </w:rPr>
        <w:t>条  争议的解决方式</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val="en-US" w:eastAsia="zh-CN"/>
        </w:rPr>
        <w:t>.1与本合同有关的，或在履行本合同过程中产生的一切争议，双方应首先通过友好协商解决。协商无法达成一致的，任何一方均可向甲方所在地人民法院提起诉讼。一方因此而支出的</w:t>
      </w:r>
      <w:r>
        <w:rPr>
          <w:rFonts w:hint="eastAsia" w:ascii="宋体" w:hAnsi="宋体" w:eastAsia="宋体" w:cs="宋体"/>
          <w:b w:val="0"/>
          <w:bCs/>
          <w:color w:val="auto"/>
          <w:kern w:val="0"/>
          <w:sz w:val="21"/>
          <w:szCs w:val="21"/>
          <w:highlight w:val="none"/>
          <w:lang w:val="en-US" w:eastAsia="zh-CN"/>
        </w:rPr>
        <w:t>合理费用支出、律师费、案件受理费、</w:t>
      </w:r>
      <w:r>
        <w:rPr>
          <w:rFonts w:hint="eastAsia" w:ascii="宋体" w:hAnsi="宋体" w:cs="宋体"/>
          <w:b w:val="0"/>
          <w:bCs/>
          <w:color w:val="auto"/>
          <w:kern w:val="0"/>
          <w:sz w:val="21"/>
          <w:szCs w:val="21"/>
          <w:highlight w:val="none"/>
          <w:lang w:val="en-US" w:eastAsia="zh-CN"/>
        </w:rPr>
        <w:t>财产保全费及保险费、</w:t>
      </w:r>
      <w:r>
        <w:rPr>
          <w:rFonts w:hint="eastAsia" w:ascii="宋体" w:hAnsi="宋体" w:eastAsia="宋体" w:cs="宋体"/>
          <w:b w:val="0"/>
          <w:bCs/>
          <w:color w:val="auto"/>
          <w:kern w:val="0"/>
          <w:sz w:val="21"/>
          <w:szCs w:val="21"/>
          <w:highlight w:val="none"/>
          <w:lang w:val="en-US" w:eastAsia="zh-CN"/>
        </w:rPr>
        <w:t>评估费、差旅费、拍卖费</w:t>
      </w:r>
      <w:r>
        <w:rPr>
          <w:rFonts w:hint="eastAsia" w:ascii="宋体" w:hAnsi="宋体" w:eastAsia="宋体" w:cs="宋体"/>
          <w:color w:val="auto"/>
          <w:kern w:val="0"/>
          <w:sz w:val="21"/>
          <w:szCs w:val="21"/>
          <w:highlight w:val="none"/>
          <w:lang w:val="en-US" w:eastAsia="zh-CN"/>
        </w:rPr>
        <w:t>费等与诉讼有关的一切费用，概由败诉方承担。法院认定双方各有过错的，双方各自按裁判文书确定的己方诉讼费承担比例承担前述费用。</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val="en-US" w:eastAsia="zh-CN"/>
        </w:rPr>
        <w:t>.2诉讼期间，除争议事项外，双方仍应继续履行合同。</w:t>
      </w:r>
    </w:p>
    <w:p>
      <w:pPr>
        <w:keepNext w:val="0"/>
        <w:keepLines w:val="0"/>
        <w:pageBreakBefore w:val="0"/>
        <w:kinsoku/>
        <w:wordWrap/>
        <w:overflowPunct/>
        <w:topLinePunct w:val="0"/>
        <w:autoSpaceDE/>
        <w:autoSpaceDN/>
        <w:bidi w:val="0"/>
        <w:spacing w:line="440" w:lineRule="exact"/>
        <w:ind w:firstLine="482"/>
        <w:textAlignment w:val="auto"/>
        <w:rPr>
          <w:rFonts w:hint="eastAsia" w:ascii="宋体" w:hAnsi="宋体" w:cs="宋体"/>
          <w:b/>
          <w:color w:val="auto"/>
          <w:szCs w:val="21"/>
          <w:highlight w:val="none"/>
        </w:rPr>
      </w:pPr>
    </w:p>
    <w:p>
      <w:pPr>
        <w:keepNext w:val="0"/>
        <w:keepLines w:val="0"/>
        <w:pageBreakBefore w:val="0"/>
        <w:widowControl/>
        <w:kinsoku/>
        <w:wordWrap/>
        <w:overflowPunct/>
        <w:topLinePunct w:val="0"/>
        <w:autoSpaceDE/>
        <w:autoSpaceDN/>
        <w:bidi w:val="0"/>
        <w:spacing w:line="440" w:lineRule="exact"/>
        <w:ind w:firstLine="422" w:firstLineChars="200"/>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第十</w:t>
      </w:r>
      <w:r>
        <w:rPr>
          <w:rFonts w:hint="eastAsia" w:ascii="宋体" w:hAnsi="宋体" w:cs="宋体"/>
          <w:b/>
          <w:bCs/>
          <w:color w:val="auto"/>
          <w:kern w:val="0"/>
          <w:sz w:val="21"/>
          <w:szCs w:val="21"/>
          <w:highlight w:val="none"/>
          <w:lang w:val="en-US" w:eastAsia="zh-CN"/>
        </w:rPr>
        <w:t>六</w:t>
      </w:r>
      <w:r>
        <w:rPr>
          <w:rFonts w:hint="eastAsia" w:ascii="宋体" w:hAnsi="宋体" w:eastAsia="宋体" w:cs="宋体"/>
          <w:b/>
          <w:bCs/>
          <w:color w:val="auto"/>
          <w:kern w:val="0"/>
          <w:sz w:val="21"/>
          <w:szCs w:val="21"/>
          <w:highlight w:val="none"/>
          <w:lang w:val="en-US" w:eastAsia="zh-CN"/>
        </w:rPr>
        <w:t>条  其他</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val="en-US" w:eastAsia="zh-CN"/>
        </w:rPr>
        <w:t>.1 本合同由双方</w:t>
      </w:r>
      <w:r>
        <w:rPr>
          <w:rFonts w:hint="eastAsia" w:ascii="宋体" w:hAnsi="宋体" w:cs="宋体"/>
          <w:color w:val="auto"/>
          <w:kern w:val="0"/>
          <w:sz w:val="21"/>
          <w:szCs w:val="21"/>
          <w:highlight w:val="none"/>
          <w:lang w:val="en-US" w:eastAsia="zh-CN"/>
        </w:rPr>
        <w:t>法定代表人或授权代表</w:t>
      </w:r>
      <w:r>
        <w:rPr>
          <w:rFonts w:hint="eastAsia" w:ascii="宋体" w:hAnsi="宋体" w:eastAsia="宋体" w:cs="宋体"/>
          <w:color w:val="auto"/>
          <w:kern w:val="0"/>
          <w:sz w:val="21"/>
          <w:szCs w:val="21"/>
          <w:highlight w:val="none"/>
          <w:lang w:val="en-US" w:eastAsia="zh-CN"/>
        </w:rPr>
        <w:t>签字</w:t>
      </w:r>
      <w:r>
        <w:rPr>
          <w:rFonts w:hint="eastAsia" w:ascii="宋体" w:hAnsi="宋体" w:cs="宋体"/>
          <w:color w:val="auto"/>
          <w:kern w:val="0"/>
          <w:sz w:val="21"/>
          <w:szCs w:val="21"/>
          <w:highlight w:val="none"/>
          <w:lang w:val="en-US" w:eastAsia="zh-CN"/>
        </w:rPr>
        <w:t>并</w:t>
      </w:r>
      <w:r>
        <w:rPr>
          <w:rFonts w:hint="eastAsia" w:ascii="宋体" w:hAnsi="宋体" w:eastAsia="宋体" w:cs="宋体"/>
          <w:color w:val="auto"/>
          <w:kern w:val="0"/>
          <w:sz w:val="21"/>
          <w:szCs w:val="21"/>
          <w:highlight w:val="none"/>
          <w:lang w:val="en-US" w:eastAsia="zh-CN"/>
        </w:rPr>
        <w:t>盖章之日起生效。</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val="en-US" w:eastAsia="zh-CN"/>
        </w:rPr>
        <w:t>.2本合同一式</w:t>
      </w:r>
      <w:r>
        <w:rPr>
          <w:rFonts w:hint="eastAsia" w:ascii="宋体" w:hAnsi="宋体" w:eastAsia="宋体" w:cs="宋体"/>
          <w:color w:val="auto"/>
          <w:kern w:val="0"/>
          <w:sz w:val="21"/>
          <w:szCs w:val="21"/>
          <w:highlight w:val="none"/>
          <w:u w:val="single"/>
          <w:lang w:val="en-US" w:eastAsia="zh-CN"/>
        </w:rPr>
        <w:t>4</w:t>
      </w:r>
      <w:r>
        <w:rPr>
          <w:rFonts w:hint="eastAsia" w:ascii="宋体" w:hAnsi="宋体" w:eastAsia="宋体" w:cs="宋体"/>
          <w:color w:val="auto"/>
          <w:kern w:val="0"/>
          <w:sz w:val="21"/>
          <w:szCs w:val="21"/>
          <w:highlight w:val="none"/>
          <w:lang w:val="en-US" w:eastAsia="zh-CN"/>
        </w:rPr>
        <w:t>份，甲方执</w:t>
      </w:r>
      <w:r>
        <w:rPr>
          <w:rFonts w:hint="eastAsia" w:ascii="宋体" w:hAnsi="宋体" w:eastAsia="宋体" w:cs="宋体"/>
          <w:color w:val="auto"/>
          <w:kern w:val="0"/>
          <w:sz w:val="21"/>
          <w:szCs w:val="21"/>
          <w:highlight w:val="none"/>
          <w:u w:val="single"/>
          <w:lang w:val="en-US" w:eastAsia="zh-CN"/>
        </w:rPr>
        <w:t>2</w:t>
      </w:r>
      <w:r>
        <w:rPr>
          <w:rFonts w:hint="eastAsia" w:ascii="宋体" w:hAnsi="宋体" w:eastAsia="宋体" w:cs="宋体"/>
          <w:color w:val="auto"/>
          <w:kern w:val="0"/>
          <w:sz w:val="21"/>
          <w:szCs w:val="21"/>
          <w:highlight w:val="none"/>
          <w:lang w:val="en-US" w:eastAsia="zh-CN"/>
        </w:rPr>
        <w:t>份，乙方执</w:t>
      </w:r>
      <w:r>
        <w:rPr>
          <w:rFonts w:hint="eastAsia" w:ascii="宋体" w:hAnsi="宋体" w:eastAsia="宋体" w:cs="宋体"/>
          <w:color w:val="auto"/>
          <w:kern w:val="0"/>
          <w:sz w:val="21"/>
          <w:szCs w:val="21"/>
          <w:highlight w:val="none"/>
          <w:u w:val="single"/>
          <w:lang w:val="en-US" w:eastAsia="zh-CN"/>
        </w:rPr>
        <w:t>2</w:t>
      </w:r>
      <w:r>
        <w:rPr>
          <w:rFonts w:hint="eastAsia" w:ascii="宋体" w:hAnsi="宋体" w:eastAsia="宋体" w:cs="宋体"/>
          <w:color w:val="auto"/>
          <w:kern w:val="0"/>
          <w:sz w:val="21"/>
          <w:szCs w:val="21"/>
          <w:highlight w:val="none"/>
          <w:lang w:val="en-US" w:eastAsia="zh-CN"/>
        </w:rPr>
        <w:t>份，均具有同等法律效力。</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val="en-US" w:eastAsia="zh-CN"/>
        </w:rPr>
        <w:t>.3 本合同的附件是本合同的组成部分，均与本合同具有同等法律效力。</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val="en-US" w:eastAsia="zh-CN"/>
        </w:rPr>
        <w:t>.4 对本合同的任何修改和补充，应由双方签订书面补充协议。</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val="en-US" w:eastAsia="zh-CN"/>
        </w:rPr>
        <w:t>.5合同生效前已履行的行为，经双方认可按本合同条款执行。</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p>
    <w:p>
      <w:pPr>
        <w:keepNext w:val="0"/>
        <w:keepLines w:val="0"/>
        <w:pageBreakBefore w:val="0"/>
        <w:widowControl/>
        <w:kinsoku/>
        <w:wordWrap/>
        <w:overflowPunct/>
        <w:topLinePunct w:val="0"/>
        <w:autoSpaceDE/>
        <w:autoSpaceDN/>
        <w:bidi w:val="0"/>
        <w:spacing w:line="440" w:lineRule="exact"/>
        <w:ind w:firstLine="422" w:firstLineChars="200"/>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第十</w:t>
      </w:r>
      <w:r>
        <w:rPr>
          <w:rFonts w:hint="eastAsia" w:ascii="宋体" w:hAnsi="宋体" w:cs="宋体"/>
          <w:b/>
          <w:bCs/>
          <w:color w:val="auto"/>
          <w:kern w:val="0"/>
          <w:sz w:val="21"/>
          <w:szCs w:val="21"/>
          <w:highlight w:val="none"/>
          <w:lang w:val="en-US" w:eastAsia="zh-CN"/>
        </w:rPr>
        <w:t>七</w:t>
      </w:r>
      <w:r>
        <w:rPr>
          <w:rFonts w:hint="eastAsia" w:ascii="宋体" w:hAnsi="宋体" w:eastAsia="宋体" w:cs="宋体"/>
          <w:b/>
          <w:bCs/>
          <w:color w:val="auto"/>
          <w:kern w:val="0"/>
          <w:sz w:val="21"/>
          <w:szCs w:val="21"/>
          <w:highlight w:val="none"/>
          <w:lang w:val="en-US" w:eastAsia="zh-CN"/>
        </w:rPr>
        <w:t>条  合同附件</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val="en-US" w:eastAsia="zh-CN"/>
        </w:rPr>
        <w:t>.1 以下附件均为本合同组成部分，与本合同具有同等法律效力。</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val="en-US" w:eastAsia="zh-CN"/>
        </w:rPr>
        <w:t>.1.1 招标文件</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val="en-US" w:eastAsia="zh-CN"/>
        </w:rPr>
        <w:t>.1.2 技术协议</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lang w:val="en-US" w:eastAsia="zh-CN"/>
        </w:rPr>
      </w:pP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198120</wp:posOffset>
                </wp:positionV>
                <wp:extent cx="635"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9pt;margin-top:15.6pt;height:0pt;width:0.05pt;z-index:251662336;mso-width-relative:page;mso-height-relative:page;" filled="f" stroked="t" coordsize="21600,21600" o:gfxdata="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CyBtL0wAAAAcBAAAPAAAAAAAAAAEAIAAAACIAAABkcnMvZG93bnJldi54bWxQSwECFAAU&#10;AAAACACHTuJAoDtG+fYBAADuAwAADgAAAAAAAAABACAAAAAiAQAAZHJzL2Uyb0RvYy54bWxQSwUG&#10;AAAAAAYABgBZAQAAigUAAAAA&#10;">
                <v:fill on="f" focussize="0,0"/>
                <v:stroke color="#000000" joinstyle="round"/>
                <v:imagedata o:title=""/>
                <o:lock v:ext="edit" aspectratio="f"/>
              </v:line>
            </w:pict>
          </mc:Fallback>
        </mc:AlternateContent>
      </w:r>
      <w:r>
        <w:rPr>
          <w:rFonts w:hint="eastAsia" w:ascii="宋体" w:hAnsi="宋体" w:eastAsia="宋体" w:cs="宋体"/>
          <w:color w:val="auto"/>
          <w:kern w:val="0"/>
          <w:sz w:val="21"/>
          <w:szCs w:val="21"/>
          <w:highlight w:val="none"/>
        </w:rPr>
        <w:t xml:space="preserve">甲方：（盖章）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 xml:space="preserve">  乙方（盖章）：                      </w:t>
      </w:r>
    </w:p>
    <w:p>
      <w:pPr>
        <w:keepNext w:val="0"/>
        <w:keepLines w:val="0"/>
        <w:pageBreakBefore w:val="0"/>
        <w:widowControl/>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法定代表人（盖章或签字）：                   法定代表人（盖章或签字）</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 xml:space="preserve">   </w:t>
      </w:r>
    </w:p>
    <w:p>
      <w:pPr>
        <w:spacing w:line="283" w:lineRule="auto"/>
        <w:rPr>
          <w:rFonts w:hint="eastAsia" w:ascii="宋体" w:hAnsi="宋体" w:eastAsia="宋体" w:cs="宋体"/>
          <w:color w:val="auto"/>
          <w:highlight w:val="none"/>
        </w:rPr>
      </w:pPr>
      <w:r>
        <w:rPr>
          <w:rFonts w:hint="eastAsia" w:ascii="宋体" w:hAnsi="宋体" w:eastAsia="宋体" w:cs="宋体"/>
          <w:color w:val="auto"/>
          <w:kern w:val="0"/>
          <w:sz w:val="21"/>
          <w:szCs w:val="21"/>
          <w:highlight w:val="none"/>
        </w:rPr>
        <w:t xml:space="preserve">  </w:t>
      </w:r>
      <w:r>
        <w:rPr>
          <w:rFonts w:hint="eastAsia" w:ascii="宋体" w:hAnsi="宋体" w:cs="宋体"/>
          <w:color w:val="auto"/>
          <w:kern w:val="0"/>
          <w:sz w:val="21"/>
          <w:szCs w:val="21"/>
          <w:highlight w:val="none"/>
          <w:lang w:val="en-US" w:eastAsia="zh-CN"/>
        </w:rPr>
        <w:t xml:space="preserve">  2024</w:t>
      </w:r>
      <w:r>
        <w:rPr>
          <w:rFonts w:hint="eastAsia" w:ascii="宋体" w:hAnsi="宋体" w:eastAsia="宋体" w:cs="宋体"/>
          <w:color w:val="auto"/>
          <w:kern w:val="0"/>
          <w:sz w:val="21"/>
          <w:szCs w:val="21"/>
          <w:highlight w:val="none"/>
        </w:rPr>
        <w:t xml:space="preserve">年      月      日                       </w:t>
      </w:r>
      <w:r>
        <w:rPr>
          <w:rFonts w:hint="eastAsia" w:ascii="宋体" w:hAnsi="宋体" w:cs="宋体"/>
          <w:color w:val="auto"/>
          <w:kern w:val="0"/>
          <w:sz w:val="21"/>
          <w:szCs w:val="21"/>
          <w:highlight w:val="none"/>
          <w:lang w:val="en-US" w:eastAsia="zh-CN"/>
        </w:rPr>
        <w:t>2024</w:t>
      </w:r>
      <w:r>
        <w:rPr>
          <w:rFonts w:hint="eastAsia" w:ascii="宋体" w:hAnsi="宋体" w:eastAsia="宋体" w:cs="宋体"/>
          <w:color w:val="auto"/>
          <w:kern w:val="0"/>
          <w:sz w:val="21"/>
          <w:szCs w:val="21"/>
          <w:highlight w:val="none"/>
        </w:rPr>
        <w:t>年     月</w:t>
      </w:r>
      <w:r>
        <w:rPr>
          <w:rFonts w:hint="eastAsia" w:ascii="宋体" w:hAnsi="宋体" w:eastAsia="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lang w:val="en-US" w:eastAsia="zh-CN"/>
        </w:rPr>
        <w:t xml:space="preserve">     日</w:t>
      </w:r>
      <w:r>
        <w:rPr>
          <w:rFonts w:hint="eastAsia" w:ascii="宋体" w:hAnsi="宋体" w:eastAsia="宋体" w:cs="宋体"/>
          <w:color w:val="auto"/>
          <w:kern w:val="0"/>
          <w:sz w:val="21"/>
          <w:szCs w:val="21"/>
          <w:highlight w:val="none"/>
          <w:lang w:val="en-US" w:eastAsia="zh-CN"/>
        </w:rPr>
        <w:t xml:space="preserve">    </w:t>
      </w:r>
    </w:p>
    <w:p>
      <w:pPr>
        <w:spacing w:line="284" w:lineRule="auto"/>
        <w:rPr>
          <w:rFonts w:hint="eastAsia" w:ascii="宋体" w:hAnsi="宋体" w:eastAsia="宋体" w:cs="宋体"/>
          <w:color w:val="auto"/>
          <w:highlight w:val="none"/>
        </w:rPr>
      </w:pPr>
    </w:p>
    <w:p>
      <w:pPr>
        <w:rPr>
          <w:rFonts w:hint="eastAsia" w:ascii="宋体" w:hAnsi="宋体" w:eastAsia="宋体" w:cs="宋体"/>
          <w:color w:val="auto"/>
          <w:sz w:val="24"/>
          <w:szCs w:val="24"/>
          <w:highlight w:val="none"/>
        </w:rPr>
      </w:pPr>
    </w:p>
    <w:bookmarkEnd w:id="74"/>
    <w:bookmarkEnd w:id="75"/>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spacing w:before="120" w:beforeLines="50" w:after="120" w:afterLines="50" w:line="360" w:lineRule="auto"/>
        <w:jc w:val="center"/>
        <w:rPr>
          <w:rFonts w:hint="eastAsia" w:ascii="宋体" w:hAnsi="宋体" w:eastAsia="宋体" w:cs="宋体"/>
          <w:b/>
          <w:color w:val="auto"/>
          <w:sz w:val="36"/>
          <w:highlight w:val="none"/>
        </w:rPr>
      </w:pPr>
      <w:bookmarkStart w:id="77" w:name="_Toc203530304"/>
      <w:bookmarkStart w:id="78" w:name="_Toc203530308"/>
    </w:p>
    <w:p>
      <w:pPr>
        <w:spacing w:before="120" w:beforeLines="50" w:after="120" w:afterLines="50" w:line="360" w:lineRule="auto"/>
        <w:jc w:val="center"/>
        <w:rPr>
          <w:rFonts w:hint="eastAsia" w:ascii="宋体" w:hAnsi="宋体" w:eastAsia="宋体" w:cs="宋体"/>
          <w:b/>
          <w:color w:val="auto"/>
          <w:sz w:val="36"/>
          <w:highlight w:val="none"/>
        </w:rPr>
      </w:pPr>
    </w:p>
    <w:bookmarkEnd w:id="77"/>
    <w:bookmarkEnd w:id="78"/>
    <w:p>
      <w:pPr>
        <w:adjustRightInd w:val="0"/>
        <w:snapToGrid w:val="0"/>
        <w:spacing w:line="360" w:lineRule="auto"/>
        <w:ind w:left="851" w:hanging="851"/>
        <w:jc w:val="center"/>
        <w:rPr>
          <w:rFonts w:hint="eastAsia" w:ascii="宋体" w:hAnsi="宋体" w:eastAsia="宋体" w:cs="宋体"/>
          <w:b/>
          <w:color w:val="auto"/>
          <w:sz w:val="44"/>
          <w:highlight w:val="none"/>
        </w:rPr>
      </w:pPr>
    </w:p>
    <w:p>
      <w:pPr>
        <w:adjustRightInd w:val="0"/>
        <w:snapToGrid w:val="0"/>
        <w:spacing w:line="360" w:lineRule="auto"/>
        <w:ind w:left="851" w:hanging="851"/>
        <w:jc w:val="center"/>
        <w:rPr>
          <w:rFonts w:hint="eastAsia" w:ascii="宋体" w:hAnsi="宋体" w:eastAsia="宋体" w:cs="宋体"/>
          <w:b/>
          <w:color w:val="auto"/>
          <w:sz w:val="44"/>
          <w:highlight w:val="none"/>
        </w:rPr>
      </w:pPr>
    </w:p>
    <w:p>
      <w:pPr>
        <w:jc w:val="center"/>
        <w:outlineLvl w:val="0"/>
        <w:rPr>
          <w:rFonts w:hint="eastAsia" w:ascii="宋体" w:hAnsi="宋体" w:eastAsia="宋体" w:cs="宋体"/>
          <w:b/>
          <w:color w:val="auto"/>
          <w:sz w:val="44"/>
          <w:szCs w:val="44"/>
          <w:highlight w:val="none"/>
        </w:rPr>
      </w:pPr>
      <w:bookmarkStart w:id="79" w:name="_Toc31761"/>
      <w:r>
        <w:rPr>
          <w:rFonts w:hint="eastAsia" w:ascii="宋体" w:hAnsi="宋体" w:eastAsia="宋体" w:cs="宋体"/>
          <w:b/>
          <w:color w:val="auto"/>
          <w:sz w:val="44"/>
          <w:szCs w:val="44"/>
          <w:highlight w:val="none"/>
        </w:rPr>
        <w:t>第五章</w:t>
      </w:r>
      <w:bookmarkStart w:id="80" w:name="_Toc477185966"/>
      <w:bookmarkStart w:id="81" w:name="_Toc477186327"/>
      <w:r>
        <w:rPr>
          <w:rFonts w:hint="eastAsia" w:ascii="宋体" w:hAnsi="宋体" w:eastAsia="宋体" w:cs="宋体"/>
          <w:b/>
          <w:color w:val="auto"/>
          <w:sz w:val="44"/>
          <w:szCs w:val="44"/>
          <w:highlight w:val="none"/>
        </w:rPr>
        <w:t xml:space="preserve">  投标文件格式</w:t>
      </w:r>
      <w:bookmarkEnd w:id="79"/>
      <w:bookmarkEnd w:id="80"/>
      <w:bookmarkEnd w:id="81"/>
    </w:p>
    <w:p>
      <w:pPr>
        <w:pStyle w:val="53"/>
        <w:ind w:firstLine="210"/>
        <w:rPr>
          <w:rFonts w:hint="eastAsia" w:ascii="宋体" w:hAnsi="宋体" w:eastAsia="宋体" w:cs="宋体"/>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28"/>
          <w:szCs w:val="28"/>
          <w:highlight w:val="none"/>
        </w:rPr>
        <w:t>一、投标文件封面格式</w:t>
      </w:r>
    </w:p>
    <w:p>
      <w:pPr>
        <w:pStyle w:val="53"/>
        <w:ind w:firstLine="210"/>
        <w:rPr>
          <w:rFonts w:hint="eastAsia" w:ascii="宋体" w:hAnsi="宋体" w:eastAsia="宋体" w:cs="宋体"/>
          <w:color w:val="auto"/>
          <w:szCs w:val="21"/>
          <w:highlight w:val="none"/>
        </w:rPr>
      </w:pPr>
    </w:p>
    <w:p>
      <w:pPr>
        <w:pStyle w:val="53"/>
        <w:ind w:firstLine="210"/>
        <w:rPr>
          <w:rFonts w:hint="eastAsia" w:ascii="宋体" w:hAnsi="宋体" w:eastAsia="宋体" w:cs="宋体"/>
          <w:color w:val="auto"/>
          <w:szCs w:val="21"/>
          <w:highlight w:val="none"/>
        </w:rPr>
      </w:pPr>
    </w:p>
    <w:p>
      <w:pPr>
        <w:pStyle w:val="53"/>
        <w:ind w:firstLine="210"/>
        <w:rPr>
          <w:rFonts w:hint="eastAsia" w:ascii="宋体" w:hAnsi="宋体" w:eastAsia="宋体" w:cs="宋体"/>
          <w:color w:val="auto"/>
          <w:szCs w:val="21"/>
          <w:highlight w:val="none"/>
        </w:rPr>
      </w:pPr>
    </w:p>
    <w:p>
      <w:pPr>
        <w:pStyle w:val="18"/>
        <w:spacing w:before="20" w:after="20" w:line="360" w:lineRule="auto"/>
        <w:ind w:firstLine="560"/>
        <w:jc w:val="center"/>
        <w:rPr>
          <w:rFonts w:hint="eastAsia" w:ascii="宋体" w:hAnsi="宋体" w:eastAsia="宋体" w:cs="宋体"/>
          <w:color w:val="auto"/>
          <w:sz w:val="28"/>
          <w:szCs w:val="28"/>
          <w:highlight w:val="none"/>
        </w:rPr>
      </w:pPr>
    </w:p>
    <w:p>
      <w:pPr>
        <w:pStyle w:val="3"/>
        <w:adjustRightInd w:val="0"/>
        <w:spacing w:before="48" w:beforeLines="20" w:after="48" w:afterLines="20"/>
        <w:ind w:firstLine="2100" w:firstLineChars="1000"/>
        <w:rPr>
          <w:rFonts w:hint="eastAsia" w:ascii="宋体" w:hAnsi="宋体" w:eastAsia="宋体" w:cs="宋体"/>
          <w:color w:val="auto"/>
          <w:highlight w:val="none"/>
        </w:rPr>
      </w:pPr>
    </w:p>
    <w:p>
      <w:pPr>
        <w:pStyle w:val="3"/>
        <w:adjustRightInd w:val="0"/>
        <w:spacing w:before="48" w:beforeLines="20" w:after="48" w:afterLines="20"/>
        <w:ind w:firstLine="2100" w:firstLineChars="1000"/>
        <w:rPr>
          <w:rFonts w:hint="eastAsia" w:ascii="宋体" w:hAnsi="宋体" w:eastAsia="宋体" w:cs="宋体"/>
          <w:color w:val="auto"/>
          <w:highlight w:val="none"/>
        </w:rPr>
      </w:pPr>
    </w:p>
    <w:p>
      <w:pPr>
        <w:adjustRightInd w:val="0"/>
        <w:snapToGrid w:val="0"/>
        <w:spacing w:before="48" w:beforeLines="20" w:after="48" w:afterLines="20" w:line="360" w:lineRule="auto"/>
        <w:rPr>
          <w:rFonts w:hint="eastAsia" w:ascii="宋体" w:hAnsi="宋体" w:eastAsia="宋体" w:cs="宋体"/>
          <w:color w:val="auto"/>
          <w:highlight w:val="none"/>
          <w:u w:val="single"/>
        </w:rPr>
      </w:pPr>
    </w:p>
    <w:p>
      <w:pPr>
        <w:pStyle w:val="24"/>
        <w:adjustRightInd w:val="0"/>
        <w:snapToGrid w:val="0"/>
        <w:spacing w:before="48" w:beforeLines="20" w:after="48" w:afterLines="20" w:line="360" w:lineRule="auto"/>
        <w:jc w:val="center"/>
        <w:rPr>
          <w:rFonts w:hint="eastAsia" w:ascii="宋体" w:hAnsi="宋体" w:eastAsia="宋体" w:cs="宋体"/>
          <w:color w:val="auto"/>
          <w:sz w:val="84"/>
          <w:highlight w:val="none"/>
        </w:rPr>
      </w:pPr>
      <w:r>
        <w:rPr>
          <w:rFonts w:hint="eastAsia" w:ascii="宋体" w:hAnsi="宋体" w:eastAsia="宋体" w:cs="宋体"/>
          <w:color w:val="auto"/>
          <w:sz w:val="84"/>
          <w:highlight w:val="none"/>
        </w:rPr>
        <w:t>投  标  文  件</w:t>
      </w:r>
    </w:p>
    <w:p>
      <w:pPr>
        <w:pStyle w:val="24"/>
        <w:adjustRightInd w:val="0"/>
        <w:snapToGrid w:val="0"/>
        <w:spacing w:before="48" w:beforeLines="20" w:after="48" w:afterLines="20" w:line="360" w:lineRule="auto"/>
        <w:jc w:val="center"/>
        <w:rPr>
          <w:rFonts w:hint="eastAsia" w:ascii="宋体" w:hAnsi="宋体" w:eastAsia="宋体" w:cs="宋体"/>
          <w:color w:val="auto"/>
          <w:sz w:val="30"/>
          <w:szCs w:val="30"/>
          <w:highlight w:val="none"/>
          <w:u w:val="single"/>
        </w:rPr>
      </w:pPr>
      <w:r>
        <w:rPr>
          <w:rFonts w:hint="eastAsia" w:ascii="宋体" w:hAnsi="宋体" w:eastAsia="宋体" w:cs="宋体"/>
          <w:color w:val="auto"/>
          <w:sz w:val="30"/>
          <w:szCs w:val="30"/>
          <w:highlight w:val="none"/>
        </w:rPr>
        <w:t>（项目编号：</w:t>
      </w:r>
      <w:r>
        <w:rPr>
          <w:rFonts w:hint="eastAsia" w:ascii="宋体" w:hAnsi="宋体" w:eastAsia="宋体" w:cs="宋体"/>
          <w:color w:val="auto"/>
          <w:sz w:val="30"/>
          <w:szCs w:val="30"/>
          <w:highlight w:val="none"/>
          <w:u w:val="single"/>
        </w:rPr>
        <w:t xml:space="preserve">           </w:t>
      </w:r>
      <w:r>
        <w:rPr>
          <w:rFonts w:hint="eastAsia" w:ascii="宋体" w:hAnsi="宋体" w:eastAsia="宋体" w:cs="宋体"/>
          <w:color w:val="auto"/>
          <w:sz w:val="30"/>
          <w:szCs w:val="30"/>
          <w:highlight w:val="none"/>
        </w:rPr>
        <w:t>）</w:t>
      </w:r>
    </w:p>
    <w:p>
      <w:pPr>
        <w:adjustRightInd w:val="0"/>
        <w:snapToGrid w:val="0"/>
        <w:spacing w:before="48" w:beforeLines="20" w:after="48" w:afterLines="20" w:line="360" w:lineRule="auto"/>
        <w:jc w:val="center"/>
        <w:rPr>
          <w:rFonts w:hint="eastAsia" w:ascii="宋体" w:hAnsi="宋体" w:eastAsia="宋体" w:cs="宋体"/>
          <w:b/>
          <w:color w:val="auto"/>
          <w:highlight w:val="none"/>
        </w:rPr>
      </w:pPr>
    </w:p>
    <w:p>
      <w:pPr>
        <w:adjustRightInd w:val="0"/>
        <w:snapToGrid w:val="0"/>
        <w:spacing w:before="48" w:beforeLines="20" w:after="48" w:afterLines="20" w:line="360" w:lineRule="auto"/>
        <w:jc w:val="center"/>
        <w:rPr>
          <w:rFonts w:hint="eastAsia" w:ascii="宋体" w:hAnsi="宋体" w:eastAsia="宋体" w:cs="宋体"/>
          <w:b/>
          <w:color w:val="auto"/>
          <w:highlight w:val="none"/>
        </w:rPr>
      </w:pPr>
    </w:p>
    <w:p>
      <w:pPr>
        <w:adjustRightInd w:val="0"/>
        <w:snapToGrid w:val="0"/>
        <w:spacing w:before="48" w:beforeLines="20" w:after="48" w:afterLines="20" w:line="360" w:lineRule="auto"/>
        <w:jc w:val="center"/>
        <w:rPr>
          <w:rFonts w:hint="eastAsia" w:ascii="宋体" w:hAnsi="宋体" w:eastAsia="宋体" w:cs="宋体"/>
          <w:b/>
          <w:color w:val="auto"/>
          <w:highlight w:val="none"/>
        </w:rPr>
      </w:pPr>
    </w:p>
    <w:p>
      <w:pPr>
        <w:pStyle w:val="238"/>
        <w:suppressLineNumbers w:val="0"/>
        <w:adjustRightInd w:val="0"/>
        <w:snapToGrid w:val="0"/>
        <w:spacing w:before="48" w:beforeLines="20" w:after="48" w:afterLines="20" w:line="360" w:lineRule="auto"/>
        <w:rPr>
          <w:rFonts w:hint="eastAsia" w:ascii="宋体" w:hAnsi="宋体" w:eastAsia="宋体" w:cs="宋体"/>
          <w:bCs w:val="0"/>
          <w:color w:val="auto"/>
          <w:highlight w:val="none"/>
        </w:rPr>
      </w:pPr>
    </w:p>
    <w:p>
      <w:pPr>
        <w:pStyle w:val="25"/>
        <w:adjustRightInd w:val="0"/>
        <w:snapToGrid w:val="0"/>
        <w:spacing w:before="48" w:beforeLines="20" w:after="48" w:afterLines="20" w:line="360" w:lineRule="auto"/>
        <w:ind w:left="130" w:leftChars="62" w:firstLine="711" w:firstLineChars="253"/>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项目名称：</w:t>
      </w:r>
      <w:r>
        <w:rPr>
          <w:rFonts w:hint="eastAsia" w:ascii="宋体" w:hAnsi="宋体" w:eastAsia="宋体" w:cs="宋体"/>
          <w:bCs/>
          <w:color w:val="auto"/>
          <w:sz w:val="28"/>
          <w:szCs w:val="28"/>
          <w:highlight w:val="none"/>
          <w:u w:val="single"/>
        </w:rPr>
        <w:t xml:space="preserve">                </w:t>
      </w:r>
      <w:r>
        <w:rPr>
          <w:rFonts w:hint="eastAsia" w:ascii="宋体" w:hAnsi="宋体" w:eastAsia="宋体" w:cs="宋体"/>
          <w:b/>
          <w:bCs/>
          <w:color w:val="auto"/>
          <w:sz w:val="28"/>
          <w:szCs w:val="28"/>
          <w:highlight w:val="none"/>
          <w:u w:val="single"/>
        </w:rPr>
        <w:t xml:space="preserve">                     </w:t>
      </w:r>
    </w:p>
    <w:p>
      <w:pPr>
        <w:pStyle w:val="25"/>
        <w:adjustRightInd w:val="0"/>
        <w:snapToGrid w:val="0"/>
        <w:spacing w:before="48" w:beforeLines="20" w:after="48" w:afterLines="20" w:line="360" w:lineRule="auto"/>
        <w:ind w:left="130" w:leftChars="62" w:firstLine="711" w:firstLineChars="253"/>
        <w:rPr>
          <w:rFonts w:hint="eastAsia" w:ascii="宋体" w:hAnsi="宋体" w:eastAsia="宋体" w:cs="宋体"/>
          <w:color w:val="auto"/>
          <w:highlight w:val="none"/>
        </w:rPr>
      </w:pPr>
      <w:r>
        <w:rPr>
          <w:rFonts w:hint="eastAsia" w:ascii="宋体" w:hAnsi="宋体" w:eastAsia="宋体" w:cs="宋体"/>
          <w:b/>
          <w:bCs/>
          <w:color w:val="auto"/>
          <w:sz w:val="28"/>
          <w:szCs w:val="28"/>
          <w:highlight w:val="none"/>
        </w:rPr>
        <w:t>投 标 人：</w:t>
      </w:r>
      <w:r>
        <w:rPr>
          <w:rFonts w:hint="eastAsia" w:ascii="宋体" w:hAnsi="宋体" w:eastAsia="宋体" w:cs="宋体"/>
          <w:bCs/>
          <w:color w:val="auto"/>
          <w:sz w:val="28"/>
          <w:szCs w:val="28"/>
          <w:highlight w:val="none"/>
          <w:u w:val="single"/>
        </w:rPr>
        <w:t xml:space="preserve">              </w:t>
      </w:r>
      <w:r>
        <w:rPr>
          <w:rFonts w:hint="eastAsia" w:ascii="宋体" w:hAnsi="宋体" w:eastAsia="宋体" w:cs="宋体"/>
          <w:b/>
          <w:bCs/>
          <w:color w:val="auto"/>
          <w:sz w:val="28"/>
          <w:szCs w:val="28"/>
          <w:highlight w:val="none"/>
          <w:u w:val="single"/>
        </w:rPr>
        <w:t xml:space="preserve">                       </w:t>
      </w: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color w:val="auto"/>
          <w:sz w:val="28"/>
          <w:szCs w:val="28"/>
          <w:highlight w:val="none"/>
        </w:rPr>
      </w:pPr>
      <w:bookmarkStart w:id="82" w:name="_Hlt493478646"/>
      <w:bookmarkEnd w:id="82"/>
      <w:r>
        <w:rPr>
          <w:rFonts w:hint="eastAsia" w:ascii="宋体" w:hAnsi="宋体" w:eastAsia="宋体" w:cs="宋体"/>
          <w:b/>
          <w:color w:val="auto"/>
          <w:sz w:val="28"/>
          <w:szCs w:val="28"/>
          <w:highlight w:val="none"/>
        </w:rPr>
        <w:t>二、自查表</w:t>
      </w:r>
    </w:p>
    <w:p>
      <w:pPr>
        <w:pStyle w:val="28"/>
        <w:rPr>
          <w:rFonts w:hint="eastAsia" w:ascii="宋体" w:hAnsi="宋体" w:eastAsia="宋体" w:cs="宋体"/>
          <w:color w:val="auto"/>
          <w:highlight w:val="none"/>
        </w:rPr>
      </w:pPr>
    </w:p>
    <w:p>
      <w:pPr>
        <w:pStyle w:val="28"/>
        <w:rPr>
          <w:rFonts w:hint="eastAsia" w:ascii="宋体" w:hAnsi="宋体" w:eastAsia="宋体" w:cs="宋体"/>
          <w:color w:val="auto"/>
          <w:highlight w:val="none"/>
        </w:rPr>
      </w:pPr>
    </w:p>
    <w:p>
      <w:pPr>
        <w:jc w:val="center"/>
        <w:rPr>
          <w:rFonts w:hint="eastAsia" w:ascii="宋体" w:hAnsi="宋体" w:eastAsia="宋体"/>
          <w:b/>
          <w:bCs/>
          <w:color w:val="auto"/>
          <w:sz w:val="28"/>
          <w:highlight w:val="none"/>
          <w:lang w:eastAsia="zh-CN"/>
        </w:rPr>
      </w:pPr>
      <w:r>
        <w:rPr>
          <w:rFonts w:hint="eastAsia" w:ascii="宋体" w:hAnsi="宋体"/>
          <w:b/>
          <w:color w:val="auto"/>
          <w:sz w:val="28"/>
          <w:szCs w:val="28"/>
          <w:highlight w:val="none"/>
          <w:lang w:val="en-US" w:eastAsia="zh-CN"/>
        </w:rPr>
        <w:t>符合性</w:t>
      </w:r>
      <w:r>
        <w:rPr>
          <w:rFonts w:hint="eastAsia" w:ascii="宋体" w:hAnsi="宋体"/>
          <w:b/>
          <w:color w:val="auto"/>
          <w:sz w:val="28"/>
          <w:szCs w:val="28"/>
          <w:highlight w:val="none"/>
        </w:rPr>
        <w:t>审查表</w:t>
      </w:r>
      <w:r>
        <w:rPr>
          <w:rFonts w:hint="eastAsia" w:ascii="宋体" w:hAnsi="宋体"/>
          <w:b/>
          <w:color w:val="auto"/>
          <w:sz w:val="28"/>
          <w:szCs w:val="28"/>
          <w:highlight w:val="none"/>
          <w:lang w:eastAsia="zh-CN"/>
        </w:rPr>
        <w:t>（</w:t>
      </w:r>
      <w:r>
        <w:rPr>
          <w:rFonts w:hint="eastAsia" w:ascii="宋体" w:hAnsi="宋体"/>
          <w:b/>
          <w:color w:val="auto"/>
          <w:sz w:val="28"/>
          <w:szCs w:val="28"/>
          <w:highlight w:val="none"/>
          <w:lang w:val="en-US" w:eastAsia="zh-CN"/>
        </w:rPr>
        <w:t>阶段一</w:t>
      </w:r>
      <w:r>
        <w:rPr>
          <w:rFonts w:hint="eastAsia" w:ascii="宋体" w:hAnsi="宋体"/>
          <w:b/>
          <w:color w:val="auto"/>
          <w:sz w:val="28"/>
          <w:szCs w:val="28"/>
          <w:highlight w:val="none"/>
          <w:lang w:eastAsia="zh-CN"/>
        </w:rPr>
        <w:t>）</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color w:val="auto"/>
                <w:szCs w:val="21"/>
                <w:highlight w:val="none"/>
              </w:rPr>
              <w:t>符合合格投标人资格条件；</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color w:val="auto"/>
                <w:szCs w:val="21"/>
                <w:highlight w:val="none"/>
              </w:rPr>
              <w:t>投标文件按招标文件规定要求签署及盖章，由授权代表签署时有法定代表人出具的授权委托书；</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color w:val="auto"/>
                <w:szCs w:val="21"/>
                <w:highlight w:val="none"/>
              </w:rPr>
              <w:t>投标有效期满足招标文件要求；</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color w:val="auto"/>
                <w:szCs w:val="21"/>
                <w:highlight w:val="none"/>
              </w:rPr>
              <w:t>按招标文件要求提交投标保证金；</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5</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color w:val="auto"/>
                <w:szCs w:val="21"/>
                <w:highlight w:val="none"/>
              </w:rPr>
              <w:t>招标文件</w:t>
            </w:r>
            <w:r>
              <w:rPr>
                <w:rFonts w:hint="eastAsia" w:ascii="宋体" w:hAnsi="宋体" w:eastAsia="宋体" w:cs="宋体"/>
                <w:b/>
                <w:color w:val="auto"/>
                <w:szCs w:val="21"/>
                <w:highlight w:val="none"/>
              </w:rPr>
              <w:t>★</w:t>
            </w:r>
            <w:r>
              <w:rPr>
                <w:rFonts w:hint="eastAsia" w:ascii="宋体" w:hAnsi="宋体" w:eastAsia="宋体" w:cs="宋体"/>
                <w:color w:val="auto"/>
                <w:szCs w:val="21"/>
                <w:highlight w:val="none"/>
              </w:rPr>
              <w:t>号条款要求必须满足，投标文件的内容实质性满足招标文件无重大偏离或保留，否则按废标处理，没有出现</w:t>
            </w:r>
            <w:r>
              <w:rPr>
                <w:rFonts w:hint="eastAsia" w:ascii="宋体" w:hAnsi="宋体" w:cs="宋体"/>
                <w:color w:val="auto"/>
                <w:szCs w:val="21"/>
                <w:highlight w:val="none"/>
                <w:lang w:val="en-US" w:eastAsia="zh-CN"/>
              </w:rPr>
              <w:t>违反</w:t>
            </w:r>
            <w:r>
              <w:rPr>
                <w:rFonts w:hint="eastAsia" w:ascii="宋体" w:hAnsi="宋体" w:eastAsia="宋体" w:cs="宋体"/>
                <w:color w:val="auto"/>
                <w:szCs w:val="21"/>
                <w:highlight w:val="none"/>
              </w:rPr>
              <w:t>法律、法规</w:t>
            </w:r>
            <w:r>
              <w:rPr>
                <w:rFonts w:hint="eastAsia" w:ascii="宋体" w:hAnsi="宋体" w:cs="宋体"/>
                <w:color w:val="auto"/>
                <w:szCs w:val="21"/>
                <w:highlight w:val="none"/>
                <w:lang w:val="en-US" w:eastAsia="zh-CN"/>
              </w:rPr>
              <w:t>规定的情形</w:t>
            </w:r>
            <w:r>
              <w:rPr>
                <w:rFonts w:hint="eastAsia" w:ascii="宋体" w:hAnsi="宋体" w:eastAsia="宋体" w:cs="宋体"/>
                <w:color w:val="auto"/>
                <w:szCs w:val="21"/>
                <w:highlight w:val="none"/>
              </w:rPr>
              <w:t>；</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6</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color w:val="auto"/>
                <w:szCs w:val="21"/>
                <w:highlight w:val="none"/>
              </w:rPr>
              <w:t>投标文件未附有招标人不能接受的条件的。</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pPr>
        <w:jc w:val="left"/>
        <w:rPr>
          <w:rFonts w:hint="eastAsia" w:ascii="宋体" w:hAnsi="宋体"/>
          <w:color w:val="auto"/>
          <w:szCs w:val="21"/>
          <w:highlight w:val="none"/>
        </w:rPr>
      </w:pPr>
    </w:p>
    <w:p>
      <w:pPr>
        <w:jc w:val="center"/>
        <w:rPr>
          <w:rFonts w:hint="eastAsia" w:ascii="宋体" w:hAnsi="宋体" w:eastAsia="宋体"/>
          <w:b/>
          <w:bCs/>
          <w:color w:val="auto"/>
          <w:sz w:val="28"/>
          <w:highlight w:val="none"/>
          <w:lang w:eastAsia="zh-CN"/>
        </w:rPr>
      </w:pPr>
      <w:r>
        <w:rPr>
          <w:rFonts w:hint="eastAsia" w:ascii="宋体" w:hAnsi="宋体"/>
          <w:b/>
          <w:color w:val="auto"/>
          <w:sz w:val="28"/>
          <w:szCs w:val="28"/>
          <w:highlight w:val="none"/>
          <w:lang w:val="en-US" w:eastAsia="zh-CN"/>
        </w:rPr>
        <w:t>符合性</w:t>
      </w:r>
      <w:r>
        <w:rPr>
          <w:rFonts w:hint="eastAsia" w:ascii="宋体" w:hAnsi="宋体"/>
          <w:b/>
          <w:color w:val="auto"/>
          <w:sz w:val="28"/>
          <w:szCs w:val="28"/>
          <w:highlight w:val="none"/>
        </w:rPr>
        <w:t>审查表</w:t>
      </w:r>
      <w:r>
        <w:rPr>
          <w:rFonts w:hint="eastAsia" w:ascii="宋体" w:hAnsi="宋体"/>
          <w:b/>
          <w:color w:val="auto"/>
          <w:sz w:val="28"/>
          <w:szCs w:val="28"/>
          <w:highlight w:val="none"/>
          <w:lang w:eastAsia="zh-CN"/>
        </w:rPr>
        <w:t>（</w:t>
      </w:r>
      <w:r>
        <w:rPr>
          <w:rFonts w:hint="eastAsia" w:ascii="宋体" w:hAnsi="宋体"/>
          <w:b/>
          <w:color w:val="auto"/>
          <w:sz w:val="28"/>
          <w:szCs w:val="28"/>
          <w:highlight w:val="none"/>
          <w:lang w:val="en-US" w:eastAsia="zh-CN"/>
        </w:rPr>
        <w:t>阶段二</w:t>
      </w:r>
      <w:r>
        <w:rPr>
          <w:rFonts w:hint="eastAsia" w:ascii="宋体" w:hAnsi="宋体"/>
          <w:b/>
          <w:color w:val="auto"/>
          <w:sz w:val="28"/>
          <w:szCs w:val="28"/>
          <w:highlight w:val="none"/>
          <w:lang w:eastAsia="zh-CN"/>
        </w:rPr>
        <w:t>）</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color w:val="auto"/>
                <w:szCs w:val="21"/>
                <w:highlight w:val="none"/>
                <w:lang w:val="en-US" w:eastAsia="zh-CN"/>
              </w:rPr>
              <w:t>投标人的商务评分未低于招标文件规定的商务得分比例</w:t>
            </w:r>
            <w:r>
              <w:rPr>
                <w:rFonts w:hint="eastAsia" w:ascii="宋体" w:hAnsi="宋体" w:eastAsia="宋体" w:cs="宋体"/>
                <w:i w:val="0"/>
                <w:iCs w:val="0"/>
                <w:color w:val="auto"/>
                <w:kern w:val="0"/>
                <w:sz w:val="21"/>
                <w:szCs w:val="21"/>
                <w:highlight w:val="none"/>
                <w:u w:val="none"/>
                <w:lang w:val="en-US" w:eastAsia="zh-CN" w:bidi="ar"/>
              </w:rPr>
              <w:t>；</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color w:val="auto"/>
                <w:szCs w:val="21"/>
                <w:highlight w:val="none"/>
              </w:rPr>
              <w:t>投标人的投标</w:t>
            </w:r>
            <w:r>
              <w:rPr>
                <w:rFonts w:hint="eastAsia" w:ascii="宋体" w:hAnsi="宋体" w:eastAsia="宋体" w:cs="宋体"/>
                <w:color w:val="auto"/>
                <w:szCs w:val="21"/>
                <w:highlight w:val="none"/>
                <w:lang w:val="en-US" w:eastAsia="zh-CN"/>
              </w:rPr>
              <w:t>报</w:t>
            </w:r>
            <w:r>
              <w:rPr>
                <w:rFonts w:hint="eastAsia" w:ascii="宋体" w:hAnsi="宋体" w:eastAsia="宋体" w:cs="宋体"/>
                <w:color w:val="auto"/>
                <w:szCs w:val="21"/>
                <w:highlight w:val="none"/>
              </w:rPr>
              <w:t>价没有超过本项目的最高限价；</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color w:val="auto"/>
                <w:szCs w:val="21"/>
                <w:highlight w:val="none"/>
              </w:rPr>
              <w:t>投标人不得递交两份或多份内容不同的投标文件，在一份投标文件中对同一招标货物报有两个或多个报价时必须声明哪一个为最终报价；</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无招标文件中规定的其他无效投标的内容。</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pPr>
        <w:jc w:val="left"/>
        <w:rPr>
          <w:rFonts w:hint="eastAsia" w:ascii="宋体" w:hAnsi="宋体" w:eastAsia="宋体" w:cs="宋体"/>
          <w:b/>
          <w:bCs/>
          <w:color w:val="auto"/>
          <w:sz w:val="28"/>
          <w:highlight w:val="none"/>
        </w:rPr>
      </w:pPr>
      <w:r>
        <w:rPr>
          <w:rFonts w:hint="eastAsia" w:ascii="宋体" w:hAnsi="宋体"/>
          <w:color w:val="auto"/>
          <w:szCs w:val="21"/>
          <w:highlight w:val="none"/>
        </w:rPr>
        <w:t>注：以上</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阶段一、阶段二</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的</w:t>
      </w:r>
      <w:r>
        <w:rPr>
          <w:rFonts w:hint="eastAsia" w:ascii="宋体" w:hAnsi="宋体"/>
          <w:color w:val="auto"/>
          <w:szCs w:val="21"/>
          <w:highlight w:val="none"/>
        </w:rPr>
        <w:t>材料将作为投标人符合性审查的重要内容，投标人必须严格按照其内容及序列要求在投标文件中对应如实提供，对符合性证明文件的任何缺漏和不符合项将会直接导致无效投标！</w:t>
      </w:r>
    </w:p>
    <w:p>
      <w:pPr>
        <w:jc w:val="center"/>
        <w:rPr>
          <w:rFonts w:hint="eastAsia" w:ascii="宋体" w:hAnsi="宋体" w:eastAsia="宋体" w:cs="宋体"/>
          <w:b/>
          <w:bCs/>
          <w:color w:val="auto"/>
          <w:sz w:val="28"/>
          <w:highlight w:val="none"/>
        </w:rPr>
      </w:pPr>
    </w:p>
    <w:p>
      <w:pPr>
        <w:jc w:val="center"/>
        <w:rPr>
          <w:rFonts w:hint="eastAsia" w:ascii="宋体" w:hAnsi="宋体" w:eastAsia="宋体" w:cs="宋体"/>
          <w:b/>
          <w:bCs/>
          <w:color w:val="auto"/>
          <w:sz w:val="30"/>
          <w:highlight w:val="none"/>
        </w:rPr>
      </w:pPr>
      <w:r>
        <w:rPr>
          <w:rFonts w:hint="eastAsia" w:ascii="宋体" w:hAnsi="宋体" w:eastAsia="宋体" w:cs="宋体"/>
          <w:b/>
          <w:bCs/>
          <w:color w:val="auto"/>
          <w:sz w:val="28"/>
          <w:highlight w:val="none"/>
        </w:rPr>
        <w:t>技术评审自查表</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5036"/>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atLeas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036" w:type="dxa"/>
            <w:noWrap w:val="0"/>
            <w:vAlign w:val="center"/>
          </w:tcPr>
          <w:p>
            <w:pPr>
              <w:spacing w:line="240" w:lineRule="atLeas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评审内容</w:t>
            </w:r>
          </w:p>
        </w:tc>
        <w:tc>
          <w:tcPr>
            <w:tcW w:w="2558" w:type="dxa"/>
            <w:noWrap w:val="0"/>
            <w:vAlign w:val="center"/>
          </w:tcPr>
          <w:p>
            <w:pPr>
              <w:spacing w:line="240" w:lineRule="atLeas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5036" w:type="dxa"/>
            <w:noWrap w:val="0"/>
            <w:vAlign w:val="center"/>
          </w:tcPr>
          <w:p>
            <w:pPr>
              <w:pStyle w:val="274"/>
              <w:spacing w:line="360" w:lineRule="auto"/>
              <w:jc w:val="left"/>
              <w:rPr>
                <w:rFonts w:hint="eastAsia" w:ascii="宋体" w:hAnsi="宋体" w:eastAsia="宋体" w:cs="宋体"/>
                <w:color w:val="auto"/>
                <w:szCs w:val="21"/>
                <w:highlight w:val="none"/>
              </w:rPr>
            </w:pPr>
          </w:p>
        </w:tc>
        <w:tc>
          <w:tcPr>
            <w:tcW w:w="2558" w:type="dxa"/>
            <w:noWrap w:val="0"/>
            <w:vAlign w:val="center"/>
          </w:tcPr>
          <w:p>
            <w:pPr>
              <w:spacing w:line="2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5036" w:type="dxa"/>
            <w:noWrap w:val="0"/>
            <w:vAlign w:val="center"/>
          </w:tcPr>
          <w:p>
            <w:pPr>
              <w:pStyle w:val="274"/>
              <w:spacing w:line="360" w:lineRule="auto"/>
              <w:jc w:val="left"/>
              <w:rPr>
                <w:rFonts w:hint="eastAsia" w:ascii="宋体" w:hAnsi="宋体" w:eastAsia="宋体" w:cs="宋体"/>
                <w:color w:val="auto"/>
                <w:szCs w:val="21"/>
                <w:highlight w:val="none"/>
              </w:rPr>
            </w:pPr>
          </w:p>
        </w:tc>
        <w:tc>
          <w:tcPr>
            <w:tcW w:w="2558" w:type="dxa"/>
            <w:noWrap w:val="0"/>
            <w:vAlign w:val="center"/>
          </w:tcPr>
          <w:p>
            <w:pPr>
              <w:spacing w:line="2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5036" w:type="dxa"/>
            <w:noWrap w:val="0"/>
            <w:vAlign w:val="center"/>
          </w:tcPr>
          <w:p>
            <w:pPr>
              <w:spacing w:line="360" w:lineRule="auto"/>
              <w:jc w:val="left"/>
              <w:rPr>
                <w:rFonts w:hint="eastAsia" w:ascii="宋体" w:hAnsi="宋体" w:eastAsia="宋体" w:cs="宋体"/>
                <w:color w:val="auto"/>
                <w:szCs w:val="21"/>
                <w:highlight w:val="none"/>
              </w:rPr>
            </w:pPr>
          </w:p>
        </w:tc>
        <w:tc>
          <w:tcPr>
            <w:tcW w:w="2558" w:type="dxa"/>
            <w:noWrap w:val="0"/>
            <w:vAlign w:val="center"/>
          </w:tcPr>
          <w:p>
            <w:pPr>
              <w:spacing w:line="2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5036" w:type="dxa"/>
            <w:noWrap w:val="0"/>
            <w:vAlign w:val="center"/>
          </w:tcPr>
          <w:p>
            <w:pPr>
              <w:adjustRightInd w:val="0"/>
              <w:snapToGrid w:val="0"/>
              <w:jc w:val="left"/>
              <w:rPr>
                <w:rFonts w:hint="eastAsia" w:ascii="宋体" w:hAnsi="宋体" w:eastAsia="宋体" w:cs="宋体"/>
                <w:color w:val="auto"/>
                <w:szCs w:val="21"/>
                <w:highlight w:val="none"/>
              </w:rPr>
            </w:pPr>
          </w:p>
        </w:tc>
        <w:tc>
          <w:tcPr>
            <w:tcW w:w="2558" w:type="dxa"/>
            <w:noWrap w:val="0"/>
            <w:vAlign w:val="center"/>
          </w:tcPr>
          <w:p>
            <w:pPr>
              <w:spacing w:line="2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eastAsia="宋体" w:cs="宋体"/>
                <w:color w:val="auto"/>
                <w:szCs w:val="21"/>
                <w:highlight w:val="none"/>
              </w:rPr>
            </w:pPr>
          </w:p>
        </w:tc>
        <w:tc>
          <w:tcPr>
            <w:tcW w:w="5036" w:type="dxa"/>
            <w:noWrap w:val="0"/>
            <w:vAlign w:val="center"/>
          </w:tcPr>
          <w:p>
            <w:pPr>
              <w:adjustRightInd w:val="0"/>
              <w:snapToGrid w:val="0"/>
              <w:jc w:val="left"/>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2558" w:type="dxa"/>
            <w:noWrap w:val="0"/>
            <w:vAlign w:val="center"/>
          </w:tcPr>
          <w:p>
            <w:pPr>
              <w:spacing w:line="240" w:lineRule="exact"/>
              <w:rPr>
                <w:rFonts w:hint="eastAsia" w:ascii="宋体" w:hAnsi="宋体" w:eastAsia="宋体" w:cs="宋体"/>
                <w:color w:val="auto"/>
                <w:szCs w:val="21"/>
                <w:highlight w:val="none"/>
              </w:rPr>
            </w:pPr>
          </w:p>
        </w:tc>
      </w:tr>
    </w:tbl>
    <w:p>
      <w:pPr>
        <w:pStyle w:val="23"/>
        <w:spacing w:after="0"/>
        <w:ind w:left="424" w:hanging="424" w:hangingChars="202"/>
        <w:rPr>
          <w:rFonts w:hint="eastAsia" w:ascii="宋体" w:hAnsi="宋体" w:eastAsia="宋体" w:cs="宋体"/>
          <w:color w:val="auto"/>
          <w:sz w:val="21"/>
          <w:szCs w:val="21"/>
          <w:highlight w:val="none"/>
          <w:lang w:val="en-GB"/>
        </w:rPr>
      </w:pPr>
    </w:p>
    <w:p>
      <w:pPr>
        <w:pStyle w:val="23"/>
        <w:spacing w:after="0"/>
        <w:rPr>
          <w:rFonts w:hint="eastAsia" w:ascii="宋体" w:hAnsi="宋体" w:eastAsia="宋体" w:cs="宋体"/>
          <w:color w:val="auto"/>
          <w:sz w:val="21"/>
          <w:szCs w:val="21"/>
          <w:highlight w:val="none"/>
        </w:rPr>
      </w:pPr>
    </w:p>
    <w:p>
      <w:pPr>
        <w:jc w:val="center"/>
        <w:rPr>
          <w:rFonts w:hint="eastAsia" w:ascii="宋体" w:hAnsi="宋体" w:eastAsia="宋体" w:cs="宋体"/>
          <w:b/>
          <w:bCs/>
          <w:color w:val="auto"/>
          <w:sz w:val="28"/>
          <w:highlight w:val="none"/>
        </w:rPr>
      </w:pPr>
      <w:r>
        <w:rPr>
          <w:rFonts w:hint="eastAsia" w:ascii="宋体" w:hAnsi="宋体" w:eastAsia="宋体" w:cs="宋体"/>
          <w:b/>
          <w:bCs/>
          <w:color w:val="auto"/>
          <w:sz w:val="28"/>
          <w:highlight w:val="none"/>
        </w:rPr>
        <w:t>商务评审自查表</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5050"/>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050" w:type="dxa"/>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评审内容</w:t>
            </w:r>
          </w:p>
        </w:tc>
        <w:tc>
          <w:tcPr>
            <w:tcW w:w="2562" w:type="dxa"/>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5050" w:type="dxa"/>
            <w:noWrap w:val="0"/>
            <w:vAlign w:val="center"/>
          </w:tcPr>
          <w:p>
            <w:pPr>
              <w:jc w:val="left"/>
              <w:rPr>
                <w:rFonts w:hint="eastAsia" w:ascii="宋体" w:hAnsi="宋体" w:eastAsia="宋体" w:cs="宋体"/>
                <w:color w:val="auto"/>
                <w:szCs w:val="18"/>
                <w:highlight w:val="none"/>
              </w:rPr>
            </w:pPr>
          </w:p>
        </w:tc>
        <w:tc>
          <w:tcPr>
            <w:tcW w:w="2562"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5050" w:type="dxa"/>
            <w:noWrap w:val="0"/>
            <w:vAlign w:val="center"/>
          </w:tcPr>
          <w:p>
            <w:pPr>
              <w:jc w:val="left"/>
              <w:rPr>
                <w:rFonts w:hint="eastAsia" w:ascii="宋体" w:hAnsi="宋体" w:eastAsia="宋体" w:cs="宋体"/>
                <w:color w:val="auto"/>
                <w:szCs w:val="18"/>
                <w:highlight w:val="none"/>
              </w:rPr>
            </w:pPr>
          </w:p>
        </w:tc>
        <w:tc>
          <w:tcPr>
            <w:tcW w:w="2562"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5050" w:type="dxa"/>
            <w:noWrap w:val="0"/>
            <w:vAlign w:val="center"/>
          </w:tcPr>
          <w:p>
            <w:pPr>
              <w:adjustRightInd w:val="0"/>
              <w:snapToGrid w:val="0"/>
              <w:jc w:val="left"/>
              <w:rPr>
                <w:rFonts w:hint="eastAsia" w:ascii="宋体" w:hAnsi="宋体" w:eastAsia="宋体" w:cs="宋体"/>
                <w:color w:val="auto"/>
                <w:szCs w:val="18"/>
                <w:highlight w:val="none"/>
              </w:rPr>
            </w:pPr>
          </w:p>
        </w:tc>
        <w:tc>
          <w:tcPr>
            <w:tcW w:w="2562"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5050" w:type="dxa"/>
            <w:noWrap w:val="0"/>
            <w:vAlign w:val="center"/>
          </w:tcPr>
          <w:p>
            <w:pPr>
              <w:adjustRightInd w:val="0"/>
              <w:snapToGrid w:val="0"/>
              <w:jc w:val="left"/>
              <w:rPr>
                <w:rFonts w:hint="eastAsia" w:ascii="宋体" w:hAnsi="宋体" w:eastAsia="宋体" w:cs="宋体"/>
                <w:color w:val="auto"/>
                <w:szCs w:val="18"/>
                <w:highlight w:val="none"/>
              </w:rPr>
            </w:pPr>
          </w:p>
        </w:tc>
        <w:tc>
          <w:tcPr>
            <w:tcW w:w="2562"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eastAsia="宋体" w:cs="宋体"/>
                <w:color w:val="auto"/>
                <w:szCs w:val="21"/>
                <w:highlight w:val="none"/>
              </w:rPr>
            </w:pPr>
          </w:p>
        </w:tc>
        <w:tc>
          <w:tcPr>
            <w:tcW w:w="5050" w:type="dxa"/>
            <w:noWrap w:val="0"/>
            <w:vAlign w:val="center"/>
          </w:tcPr>
          <w:p>
            <w:pPr>
              <w:adjustRightInd w:val="0"/>
              <w:snapToGrid w:val="0"/>
              <w:jc w:val="left"/>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2562" w:type="dxa"/>
            <w:noWrap w:val="0"/>
            <w:vAlign w:val="center"/>
          </w:tcPr>
          <w:p>
            <w:pPr>
              <w:rPr>
                <w:rFonts w:hint="eastAsia" w:ascii="宋体" w:hAnsi="宋体" w:eastAsia="宋体" w:cs="宋体"/>
                <w:color w:val="auto"/>
                <w:szCs w:val="21"/>
                <w:highlight w:val="none"/>
              </w:rPr>
            </w:pPr>
          </w:p>
        </w:tc>
      </w:tr>
    </w:tbl>
    <w:p>
      <w:pPr>
        <w:adjustRightInd w:val="0"/>
        <w:snapToGrid w:val="0"/>
        <w:rPr>
          <w:rFonts w:hint="eastAsia" w:ascii="宋体" w:hAnsi="宋体" w:eastAsia="宋体" w:cs="宋体"/>
          <w:color w:val="auto"/>
          <w:szCs w:val="21"/>
          <w:highlight w:val="none"/>
          <w:lang w:val="en-GB"/>
        </w:rPr>
      </w:pPr>
    </w:p>
    <w:p>
      <w:pPr>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GB"/>
        </w:rPr>
        <w:t>注：</w:t>
      </w:r>
      <w:r>
        <w:rPr>
          <w:rFonts w:hint="eastAsia" w:ascii="宋体" w:hAnsi="宋体" w:eastAsia="宋体" w:cs="宋体"/>
          <w:color w:val="auto"/>
          <w:szCs w:val="21"/>
          <w:highlight w:val="none"/>
        </w:rPr>
        <w:t>投标人应根据《技术评审表》《商务评审表》的各项内容填写此表，并附于投标文件中</w:t>
      </w:r>
      <w:r>
        <w:rPr>
          <w:rFonts w:hint="eastAsia" w:ascii="宋体" w:hAnsi="宋体" w:eastAsia="宋体" w:cs="宋体"/>
          <w:color w:val="auto"/>
          <w:szCs w:val="21"/>
          <w:highlight w:val="none"/>
          <w:lang w:val="en-GB"/>
        </w:rPr>
        <w:t>。</w:t>
      </w:r>
    </w:p>
    <w:p>
      <w:pPr>
        <w:pStyle w:val="23"/>
        <w:spacing w:after="0"/>
        <w:rPr>
          <w:rFonts w:hint="eastAsia" w:ascii="宋体" w:hAnsi="宋体" w:eastAsia="宋体" w:cs="宋体"/>
          <w:color w:val="auto"/>
          <w:sz w:val="21"/>
          <w:szCs w:val="21"/>
          <w:highlight w:val="none"/>
        </w:rPr>
      </w:pPr>
    </w:p>
    <w:p>
      <w:pPr>
        <w:pStyle w:val="23"/>
        <w:spacing w:after="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pPr>
        <w:pStyle w:val="6"/>
        <w:numPr>
          <w:ilvl w:val="0"/>
          <w:numId w:val="0"/>
        </w:numPr>
        <w:ind w:left="422"/>
        <w:rPr>
          <w:rFonts w:hint="eastAsia" w:ascii="宋体" w:hAnsi="宋体" w:eastAsia="宋体" w:cs="宋体"/>
          <w:color w:val="auto"/>
          <w:highlight w:val="none"/>
        </w:rPr>
      </w:pPr>
      <w:bookmarkStart w:id="83" w:name="_Toc476177427"/>
      <w:bookmarkStart w:id="84" w:name="_Toc477185967"/>
      <w:bookmarkStart w:id="85" w:name="_Toc118018363"/>
      <w:bookmarkStart w:id="86" w:name="_Toc455417781"/>
      <w:bookmarkStart w:id="87" w:name="_Toc476177986"/>
      <w:bookmarkStart w:id="88" w:name="_Toc477186328"/>
      <w:r>
        <w:rPr>
          <w:rFonts w:hint="eastAsia" w:ascii="宋体" w:hAnsi="宋体" w:eastAsia="宋体" w:cs="宋体"/>
          <w:color w:val="auto"/>
          <w:highlight w:val="none"/>
        </w:rPr>
        <w:t>三、投标报价表格式</w:t>
      </w:r>
      <w:bookmarkEnd w:id="83"/>
      <w:bookmarkEnd w:id="84"/>
      <w:bookmarkEnd w:id="85"/>
      <w:bookmarkEnd w:id="86"/>
      <w:bookmarkEnd w:id="87"/>
      <w:bookmarkEnd w:id="88"/>
    </w:p>
    <w:p>
      <w:pPr>
        <w:pStyle w:val="28"/>
        <w:spacing w:line="360" w:lineRule="auto"/>
        <w:ind w:firstLine="359" w:firstLineChars="171"/>
        <w:rPr>
          <w:rFonts w:hint="eastAsia" w:ascii="宋体" w:hAnsi="宋体" w:eastAsia="宋体" w:cs="宋体"/>
          <w:color w:val="auto"/>
          <w:szCs w:val="21"/>
          <w:highlight w:val="none"/>
        </w:rPr>
      </w:pPr>
      <w:r>
        <w:rPr>
          <w:rFonts w:hint="eastAsia" w:ascii="宋体" w:hAnsi="宋体" w:eastAsia="宋体" w:cs="宋体"/>
          <w:color w:val="auto"/>
          <w:highlight w:val="none"/>
        </w:rPr>
        <w:t>投标人应按附表1.1～1.2的格式提交投标报价表。</w:t>
      </w:r>
      <w:r>
        <w:rPr>
          <w:rFonts w:hint="eastAsia" w:ascii="宋体" w:hAnsi="宋体" w:eastAsia="宋体" w:cs="宋体"/>
          <w:color w:val="auto"/>
          <w:szCs w:val="21"/>
          <w:highlight w:val="none"/>
        </w:rPr>
        <w:tab/>
      </w:r>
    </w:p>
    <w:p>
      <w:pPr>
        <w:pStyle w:val="28"/>
        <w:spacing w:line="360" w:lineRule="auto"/>
        <w:ind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附表1.1开标一览表</w:t>
      </w:r>
    </w:p>
    <w:p>
      <w:pPr>
        <w:pStyle w:val="28"/>
        <w:spacing w:line="360" w:lineRule="auto"/>
        <w:ind w:firstLine="359" w:firstLineChars="171"/>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金额单位：元（人民币）</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3194"/>
        <w:gridCol w:w="1371"/>
        <w:gridCol w:w="1192"/>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69" w:type="dxa"/>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项目名称</w:t>
            </w:r>
          </w:p>
        </w:tc>
        <w:tc>
          <w:tcPr>
            <w:tcW w:w="3194" w:type="dxa"/>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投标报价</w:t>
            </w:r>
          </w:p>
        </w:tc>
        <w:tc>
          <w:tcPr>
            <w:tcW w:w="1371" w:type="dxa"/>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税率</w:t>
            </w:r>
          </w:p>
        </w:tc>
        <w:tc>
          <w:tcPr>
            <w:tcW w:w="1192" w:type="dxa"/>
            <w:noWrap w:val="0"/>
            <w:vAlign w:val="center"/>
          </w:tcPr>
          <w:p>
            <w:pPr>
              <w:spacing w:line="360" w:lineRule="auto"/>
              <w:jc w:val="center"/>
              <w:rPr>
                <w:rFonts w:hint="eastAsia" w:ascii="宋体" w:hAnsi="宋体" w:eastAsia="宋体" w:cs="宋体"/>
                <w:b/>
                <w:color w:val="auto"/>
                <w:kern w:val="0"/>
                <w:szCs w:val="21"/>
                <w:highlight w:val="none"/>
                <w:lang w:eastAsia="zh-CN"/>
              </w:rPr>
            </w:pPr>
            <w:r>
              <w:rPr>
                <w:rFonts w:hint="eastAsia" w:ascii="宋体" w:hAnsi="宋体" w:cs="宋体"/>
                <w:b/>
                <w:color w:val="auto"/>
                <w:kern w:val="0"/>
                <w:szCs w:val="21"/>
                <w:highlight w:val="none"/>
                <w:lang w:val="en-US" w:eastAsia="zh-CN"/>
              </w:rPr>
              <w:t>工期</w:t>
            </w:r>
          </w:p>
        </w:tc>
        <w:tc>
          <w:tcPr>
            <w:tcW w:w="1192" w:type="dxa"/>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769" w:type="dxa"/>
            <w:noWrap w:val="0"/>
            <w:vAlign w:val="center"/>
          </w:tcPr>
          <w:p>
            <w:pPr>
              <w:spacing w:line="360" w:lineRule="auto"/>
              <w:jc w:val="center"/>
              <w:rPr>
                <w:rFonts w:hint="eastAsia" w:ascii="宋体" w:hAnsi="宋体" w:eastAsia="宋体" w:cs="宋体"/>
                <w:color w:val="auto"/>
                <w:kern w:val="0"/>
                <w:szCs w:val="21"/>
                <w:highlight w:val="none"/>
                <w:lang w:eastAsia="zh-CN"/>
              </w:rPr>
            </w:pPr>
            <w:r>
              <w:rPr>
                <w:rFonts w:hint="eastAsia" w:ascii="宋体" w:hAnsi="宋体" w:cs="宋体"/>
                <w:b/>
                <w:bCs/>
                <w:color w:val="auto"/>
                <w:szCs w:val="21"/>
                <w:highlight w:val="none"/>
                <w:lang w:eastAsia="zh-CN"/>
              </w:rPr>
              <w:t>南方报业传媒集团402报告厅LED显示屏建设项目</w:t>
            </w:r>
          </w:p>
        </w:tc>
        <w:tc>
          <w:tcPr>
            <w:tcW w:w="3194" w:type="dxa"/>
            <w:noWrap w:val="0"/>
            <w:vAlign w:val="center"/>
          </w:tcPr>
          <w:p>
            <w:pPr>
              <w:spacing w:line="360" w:lineRule="auto"/>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投标报价（含增值税）（元 人民币）：</w:t>
            </w:r>
          </w:p>
          <w:p>
            <w:pPr>
              <w:spacing w:line="360" w:lineRule="auto"/>
              <w:rPr>
                <w:rFonts w:ascii="宋体" w:hAnsi="宋体" w:cs="宋体"/>
                <w:bCs/>
                <w:color w:val="auto"/>
                <w:kern w:val="0"/>
                <w:szCs w:val="21"/>
                <w:highlight w:val="none"/>
              </w:rPr>
            </w:pPr>
            <w:r>
              <w:rPr>
                <w:rFonts w:hint="eastAsia" w:ascii="宋体" w:hAnsi="宋体" w:cs="宋体"/>
                <w:bCs/>
                <w:color w:val="auto"/>
                <w:kern w:val="0"/>
                <w:szCs w:val="21"/>
                <w:highlight w:val="none"/>
              </w:rPr>
              <w:t>大写：人民币</w:t>
            </w:r>
            <w:r>
              <w:rPr>
                <w:rFonts w:hint="eastAsia" w:ascii="宋体" w:hAnsi="宋体" w:cs="宋体"/>
                <w:bCs/>
                <w:color w:val="auto"/>
                <w:kern w:val="0"/>
                <w:szCs w:val="21"/>
                <w:highlight w:val="none"/>
                <w:u w:val="single"/>
              </w:rPr>
              <w:t xml:space="preserve">                          </w:t>
            </w:r>
          </w:p>
          <w:p>
            <w:pPr>
              <w:spacing w:line="360" w:lineRule="auto"/>
              <w:rPr>
                <w:rFonts w:hint="eastAsia" w:ascii="宋体" w:hAnsi="宋体" w:cs="宋体"/>
                <w:b/>
                <w:bCs/>
                <w:color w:val="auto"/>
                <w:kern w:val="0"/>
                <w:szCs w:val="21"/>
                <w:highlight w:val="none"/>
              </w:rPr>
            </w:pPr>
            <w:r>
              <w:rPr>
                <w:rFonts w:hint="eastAsia" w:ascii="宋体" w:hAnsi="宋体" w:cs="宋体"/>
                <w:bCs/>
                <w:color w:val="auto"/>
                <w:kern w:val="0"/>
                <w:szCs w:val="21"/>
                <w:highlight w:val="none"/>
              </w:rPr>
              <w:t>小写：¥</w:t>
            </w:r>
            <w:r>
              <w:rPr>
                <w:rFonts w:hint="eastAsia" w:ascii="宋体" w:hAnsi="宋体" w:cs="宋体"/>
                <w:bCs/>
                <w:color w:val="auto"/>
                <w:kern w:val="0"/>
                <w:szCs w:val="21"/>
                <w:highlight w:val="none"/>
                <w:u w:val="single"/>
              </w:rPr>
              <w:t xml:space="preserve">                               </w:t>
            </w:r>
          </w:p>
        </w:tc>
        <w:tc>
          <w:tcPr>
            <w:tcW w:w="1371" w:type="dxa"/>
            <w:noWrap w:val="0"/>
            <w:vAlign w:val="center"/>
          </w:tcPr>
          <w:p>
            <w:pPr>
              <w:spacing w:line="360" w:lineRule="auto"/>
              <w:ind w:firstLine="1050" w:firstLineChars="5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192" w:type="dxa"/>
            <w:noWrap w:val="0"/>
            <w:vAlign w:val="center"/>
          </w:tcPr>
          <w:p>
            <w:pPr>
              <w:spacing w:line="360" w:lineRule="auto"/>
              <w:rPr>
                <w:rFonts w:hint="eastAsia" w:ascii="宋体" w:hAnsi="宋体" w:cs="宋体"/>
                <w:color w:val="auto"/>
                <w:kern w:val="0"/>
                <w:szCs w:val="21"/>
                <w:highlight w:val="none"/>
              </w:rPr>
            </w:pPr>
          </w:p>
        </w:tc>
        <w:tc>
          <w:tcPr>
            <w:tcW w:w="1192" w:type="dxa"/>
            <w:noWrap w:val="0"/>
            <w:vAlign w:val="center"/>
          </w:tcPr>
          <w:p>
            <w:pPr>
              <w:spacing w:line="360" w:lineRule="auto"/>
              <w:rPr>
                <w:rFonts w:hint="eastAsia" w:ascii="宋体" w:hAnsi="宋体" w:cs="宋体"/>
                <w:color w:val="auto"/>
                <w:kern w:val="0"/>
                <w:szCs w:val="21"/>
                <w:highlight w:val="none"/>
              </w:rPr>
            </w:pPr>
          </w:p>
        </w:tc>
      </w:tr>
    </w:tbl>
    <w:p>
      <w:pPr>
        <w:pStyle w:val="28"/>
        <w:snapToGrid w:val="0"/>
        <w:ind w:right="120" w:rightChars="57"/>
        <w:jc w:val="left"/>
        <w:rPr>
          <w:rFonts w:hint="eastAsia" w:ascii="宋体" w:hAnsi="宋体" w:eastAsia="宋体" w:cs="宋体"/>
          <w:color w:val="auto"/>
          <w:highlight w:val="none"/>
        </w:rPr>
      </w:pPr>
    </w:p>
    <w:p>
      <w:pPr>
        <w:pStyle w:val="28"/>
        <w:snapToGrid w:val="0"/>
        <w:ind w:right="120" w:rightChars="57"/>
        <w:jc w:val="left"/>
        <w:rPr>
          <w:rFonts w:hint="eastAsia" w:ascii="宋体" w:hAnsi="宋体" w:eastAsia="宋体" w:cs="宋体"/>
          <w:b/>
          <w:color w:val="auto"/>
          <w:highlight w:val="none"/>
        </w:rPr>
      </w:pPr>
      <w:r>
        <w:rPr>
          <w:rFonts w:hint="eastAsia" w:ascii="宋体" w:hAnsi="宋体" w:eastAsia="宋体" w:cs="宋体"/>
          <w:b/>
          <w:color w:val="auto"/>
          <w:highlight w:val="none"/>
        </w:rPr>
        <w:t>注：</w:t>
      </w:r>
    </w:p>
    <w:p>
      <w:pPr>
        <w:pStyle w:val="28"/>
        <w:numPr>
          <w:ilvl w:val="0"/>
          <w:numId w:val="7"/>
        </w:numPr>
        <w:snapToGrid w:val="0"/>
        <w:ind w:right="120" w:rightChars="57"/>
        <w:jc w:val="left"/>
        <w:rPr>
          <w:rFonts w:hint="eastAsia" w:hAnsi="宋体" w:cs="Arial"/>
          <w:b/>
          <w:color w:val="auto"/>
          <w:highlight w:val="none"/>
        </w:rPr>
      </w:pPr>
      <w:r>
        <w:rPr>
          <w:rFonts w:hint="eastAsia" w:hAnsi="宋体" w:cs="Arial"/>
          <w:b/>
          <w:color w:val="auto"/>
          <w:highlight w:val="none"/>
        </w:rPr>
        <w:t>增值税税率必须按照国家标准填写，如投标人的税率与国家标准不一致，招标人有权调整其税率。</w:t>
      </w:r>
    </w:p>
    <w:p>
      <w:pPr>
        <w:pStyle w:val="28"/>
        <w:numPr>
          <w:ilvl w:val="0"/>
          <w:numId w:val="7"/>
        </w:numPr>
        <w:snapToGrid w:val="0"/>
        <w:ind w:right="120" w:rightChars="57"/>
        <w:jc w:val="left"/>
        <w:rPr>
          <w:rFonts w:hint="eastAsia" w:hAnsi="宋体" w:cs="Arial"/>
          <w:b/>
          <w:color w:val="auto"/>
          <w:highlight w:val="none"/>
        </w:rPr>
      </w:pPr>
      <w:r>
        <w:rPr>
          <w:rFonts w:hint="eastAsia" w:hAnsi="宋体" w:cs="Arial"/>
          <w:b/>
          <w:color w:val="auto"/>
          <w:highlight w:val="none"/>
        </w:rPr>
        <w:t>投标报价超过最高限价的属于无效投标。</w:t>
      </w:r>
    </w:p>
    <w:p>
      <w:pPr>
        <w:pStyle w:val="28"/>
        <w:numPr>
          <w:ilvl w:val="0"/>
          <w:numId w:val="7"/>
        </w:numPr>
        <w:snapToGrid w:val="0"/>
        <w:ind w:right="120" w:rightChars="57"/>
        <w:jc w:val="left"/>
        <w:rPr>
          <w:rFonts w:hint="eastAsia"/>
          <w:b/>
          <w:bCs w:val="0"/>
          <w:color w:val="auto"/>
          <w:highlight w:val="none"/>
        </w:rPr>
      </w:pPr>
      <w:r>
        <w:rPr>
          <w:rFonts w:hint="eastAsia" w:hAnsi="宋体" w:cs="Arial"/>
          <w:b/>
          <w:bCs w:val="0"/>
          <w:color w:val="auto"/>
          <w:highlight w:val="none"/>
        </w:rPr>
        <w:t>投标报价是所有需招标人支付本次招标的金额总数</w:t>
      </w:r>
      <w:r>
        <w:rPr>
          <w:rFonts w:hint="eastAsia" w:hAnsi="宋体" w:cs="Arial"/>
          <w:b/>
          <w:bCs w:val="0"/>
          <w:color w:val="auto"/>
          <w:highlight w:val="none"/>
          <w:lang w:eastAsia="zh-CN"/>
        </w:rPr>
        <w:t>。</w:t>
      </w:r>
    </w:p>
    <w:p>
      <w:pPr>
        <w:rPr>
          <w:rFonts w:hint="eastAsia" w:ascii="宋体" w:hAnsi="宋体" w:eastAsia="宋体" w:cs="宋体"/>
          <w:color w:val="auto"/>
          <w:highlight w:val="none"/>
          <w:lang w:val="en-US" w:eastAsia="zh-CN"/>
        </w:rPr>
      </w:pPr>
    </w:p>
    <w:p>
      <w:pPr>
        <w:pStyle w:val="28"/>
        <w:spacing w:line="360" w:lineRule="auto"/>
        <w:ind w:left="735" w:hanging="735"/>
        <w:rPr>
          <w:rFonts w:hint="eastAsia" w:ascii="宋体" w:hAnsi="宋体" w:eastAsia="宋体" w:cs="宋体"/>
          <w:b/>
          <w:bCs/>
          <w:color w:val="auto"/>
          <w:highlight w:val="none"/>
        </w:rPr>
      </w:pPr>
      <w:r>
        <w:rPr>
          <w:rFonts w:hint="eastAsia" w:ascii="宋体" w:hAnsi="宋体" w:eastAsia="宋体" w:cs="宋体"/>
          <w:color w:val="auto"/>
          <w:highlight w:val="none"/>
        </w:rPr>
        <w:t xml:space="preserve">  </w:t>
      </w:r>
    </w:p>
    <w:p>
      <w:pPr>
        <w:pStyle w:val="28"/>
        <w:spacing w:line="360" w:lineRule="auto"/>
        <w:rPr>
          <w:rFonts w:hint="eastAsia" w:ascii="宋体" w:hAnsi="宋体" w:eastAsia="宋体" w:cs="宋体"/>
          <w:bCs/>
          <w:color w:val="auto"/>
          <w:highlight w:val="none"/>
        </w:rPr>
      </w:pPr>
      <w:r>
        <w:rPr>
          <w:rFonts w:hint="eastAsia" w:ascii="宋体" w:hAnsi="宋体" w:eastAsia="宋体" w:cs="宋体"/>
          <w:color w:val="auto"/>
          <w:highlight w:val="none"/>
        </w:rPr>
        <w:t xml:space="preserve">   </w:t>
      </w:r>
    </w:p>
    <w:p>
      <w:pPr>
        <w:pStyle w:val="28"/>
        <w:jc w:val="left"/>
        <w:rPr>
          <w:rFonts w:hint="eastAsia" w:ascii="宋体" w:hAnsi="宋体" w:eastAsia="宋体" w:cs="宋体"/>
          <w:color w:val="auto"/>
          <w:highlight w:val="none"/>
        </w:rPr>
      </w:pPr>
      <w:r>
        <w:rPr>
          <w:rFonts w:hint="eastAsia" w:ascii="宋体" w:hAnsi="宋体" w:eastAsia="宋体" w:cs="宋体"/>
          <w:color w:val="auto"/>
          <w:highlight w:val="none"/>
        </w:rPr>
        <w:t>投标人名称:（盖章）</w:t>
      </w:r>
    </w:p>
    <w:p>
      <w:pPr>
        <w:pStyle w:val="28"/>
        <w:jc w:val="left"/>
        <w:rPr>
          <w:rFonts w:hint="eastAsia" w:ascii="宋体" w:hAnsi="宋体" w:eastAsia="宋体" w:cs="宋体"/>
          <w:color w:val="auto"/>
          <w:highlight w:val="none"/>
        </w:rPr>
      </w:pPr>
      <w:r>
        <w:rPr>
          <w:rFonts w:hint="eastAsia" w:ascii="宋体" w:hAnsi="宋体" w:eastAsia="宋体" w:cs="宋体"/>
          <w:color w:val="auto"/>
          <w:highlight w:val="none"/>
        </w:rPr>
        <w:t>投标人法定代表人或其授权代表（签名或盖章）：</w:t>
      </w:r>
    </w:p>
    <w:p>
      <w:pPr>
        <w:pStyle w:val="28"/>
        <w:jc w:val="left"/>
        <w:rPr>
          <w:rFonts w:hint="eastAsia" w:ascii="宋体" w:hAnsi="宋体" w:eastAsia="宋体" w:cs="宋体"/>
          <w:color w:val="auto"/>
          <w:highlight w:val="none"/>
        </w:rPr>
        <w:sectPr>
          <w:headerReference r:id="rId8" w:type="default"/>
          <w:footerReference r:id="rId9" w:type="default"/>
          <w:pgSz w:w="11907" w:h="16840"/>
          <w:pgMar w:top="1418" w:right="1701" w:bottom="1418" w:left="1701" w:header="737" w:footer="737" w:gutter="0"/>
          <w:cols w:space="720" w:num="1"/>
          <w:docGrid w:linePitch="285" w:charSpace="0"/>
        </w:sectPr>
      </w:pPr>
      <w:r>
        <w:rPr>
          <w:rFonts w:hint="eastAsia" w:ascii="宋体" w:hAnsi="宋体" w:eastAsia="宋体" w:cs="宋体"/>
          <w:color w:val="auto"/>
          <w:highlight w:val="none"/>
        </w:rPr>
        <w:t>日期：    年   月   日</w:t>
      </w:r>
    </w:p>
    <w:p>
      <w:pPr>
        <w:pStyle w:val="28"/>
        <w:spacing w:line="480" w:lineRule="auto"/>
        <w:rPr>
          <w:rFonts w:hint="eastAsia" w:ascii="宋体" w:hAnsi="宋体" w:eastAsia="宋体" w:cs="宋体"/>
          <w:color w:val="auto"/>
          <w:highlight w:val="none"/>
        </w:rPr>
      </w:pPr>
      <w:bookmarkStart w:id="89" w:name="_Toc476177990"/>
      <w:bookmarkStart w:id="90" w:name="_Toc476177431"/>
      <w:bookmarkStart w:id="91" w:name="_Toc118018364"/>
      <w:bookmarkStart w:id="92" w:name="_Toc455417782"/>
      <w:bookmarkStart w:id="93" w:name="_Toc496161872"/>
      <w:r>
        <w:rPr>
          <w:rFonts w:hint="eastAsia" w:ascii="宋体" w:hAnsi="宋体" w:eastAsia="宋体" w:cs="宋体"/>
          <w:color w:val="auto"/>
          <w:highlight w:val="none"/>
        </w:rPr>
        <w:t>附表1.2</w:t>
      </w:r>
    </w:p>
    <w:p>
      <w:pPr>
        <w:jc w:val="center"/>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南方报业传媒集团402报告厅LED显示屏建设项目</w:t>
      </w:r>
    </w:p>
    <w:p>
      <w:pPr>
        <w:tabs>
          <w:tab w:val="left" w:pos="7088"/>
        </w:tabs>
        <w:spacing w:before="120" w:after="120"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（1）项目系统详细报价表</w:t>
      </w:r>
    </w:p>
    <w:p>
      <w:pPr>
        <w:tabs>
          <w:tab w:val="left" w:pos="7088"/>
        </w:tabs>
        <w:spacing w:before="120" w:after="120" w:line="36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金额单位：元（人民币）</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2835"/>
        <w:gridCol w:w="992"/>
        <w:gridCol w:w="992"/>
        <w:gridCol w:w="1276"/>
        <w:gridCol w:w="1134"/>
        <w:gridCol w:w="1275"/>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569"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2835"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分项名称</w:t>
            </w:r>
          </w:p>
        </w:tc>
        <w:tc>
          <w:tcPr>
            <w:tcW w:w="992"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数量</w:t>
            </w:r>
          </w:p>
        </w:tc>
        <w:tc>
          <w:tcPr>
            <w:tcW w:w="992"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单价（不含增值税）(元)</w:t>
            </w:r>
          </w:p>
        </w:tc>
        <w:tc>
          <w:tcPr>
            <w:tcW w:w="1276"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金额（不含增值税）(元)</w:t>
            </w:r>
          </w:p>
        </w:tc>
        <w:tc>
          <w:tcPr>
            <w:tcW w:w="1134"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增值税税率</w:t>
            </w:r>
          </w:p>
        </w:tc>
        <w:tc>
          <w:tcPr>
            <w:tcW w:w="1275"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增值税税额(元)</w:t>
            </w:r>
          </w:p>
        </w:tc>
        <w:tc>
          <w:tcPr>
            <w:tcW w:w="850"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价税合计(元)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3.1</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lang w:val="en-US" w:eastAsia="zh-CN"/>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Cs w:val="21"/>
                <w:highlight w:val="none"/>
                <w:lang w:val="en-US" w:eastAsia="zh-CN"/>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6</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kern w:val="2"/>
                <w:sz w:val="21"/>
                <w:szCs w:val="21"/>
                <w:highlight w:val="none"/>
                <w:lang w:val="en-US" w:eastAsia="zh-CN" w:bidi="ar-SA"/>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kern w:val="2"/>
                <w:sz w:val="21"/>
                <w:szCs w:val="21"/>
                <w:highlight w:val="none"/>
                <w:lang w:val="en-US" w:eastAsia="zh-CN" w:bidi="ar-SA"/>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388"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合计</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-64770</wp:posOffset>
                      </wp:positionH>
                      <wp:positionV relativeFrom="paragraph">
                        <wp:posOffset>-6350</wp:posOffset>
                      </wp:positionV>
                      <wp:extent cx="689610" cy="362585"/>
                      <wp:effectExtent l="1905" t="4445" r="9525" b="1397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flipV="1">
                                <a:off x="0" y="0"/>
                                <a:ext cx="689610" cy="362585"/>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flip:y;margin-left:-5.1pt;margin-top:-0.5pt;height:28.55pt;width:54.3pt;z-index:251659264;mso-width-relative:page;mso-height-relative:page;" filled="f" stroked="t" coordsize="21600,21600" o:gfxdata="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llaRNYAAAAIAQAADwAAAAAAAAABACAAAAAiAAAAZHJzL2Rv&#10;d25yZXYueG1sUEsBAhQAFAAAAAgAh07iQA6MsaQDAgAA2gMAAA4AAAAAAAAAAQAgAAAAJQEAAGRy&#10;cy9lMm9Eb2MueG1sUEsFBgAAAAAGAAYAWQEAAJoFAAAAAA==&#10;">
                      <v:fill on="f" focussize="0,0"/>
                      <v:stroke color="#000000" joinstyle="round"/>
                      <v:imagedata o:title=""/>
                      <o:lock v:ext="edit" aspectratio="f"/>
                    </v:shape>
                  </w:pict>
                </mc:Fallback>
              </mc:AlternateContent>
            </w:r>
          </w:p>
        </w:tc>
        <w:tc>
          <w:tcPr>
            <w:tcW w:w="127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923" w:type="dxa"/>
            <w:gridSpan w:val="8"/>
            <w:tcBorders>
              <w:top w:val="single" w:color="auto" w:sz="4" w:space="0"/>
              <w:left w:val="single" w:color="auto" w:sz="4" w:space="0"/>
              <w:right w:val="single" w:color="auto" w:sz="4" w:space="0"/>
            </w:tcBorders>
            <w:noWrap w:val="0"/>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价税合计总额（投标报价）：</w:t>
            </w:r>
            <w:r>
              <w:rPr>
                <w:rFonts w:hint="eastAsia" w:ascii="宋体" w:hAnsi="宋体" w:eastAsia="宋体" w:cs="宋体"/>
                <w:bCs/>
                <w:color w:val="auto"/>
                <w:kern w:val="0"/>
                <w:szCs w:val="21"/>
                <w:highlight w:val="none"/>
              </w:rPr>
              <w:t>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bCs/>
                <w:color w:val="auto"/>
                <w:kern w:val="0"/>
                <w:szCs w:val="21"/>
                <w:highlight w:val="none"/>
              </w:rPr>
              <w:t>大写：人民币</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bCs/>
                <w:color w:val="auto"/>
                <w:kern w:val="0"/>
                <w:szCs w:val="21"/>
                <w:highlight w:val="none"/>
              </w:rPr>
              <w:t>元</w:t>
            </w:r>
          </w:p>
        </w:tc>
      </w:tr>
    </w:tbl>
    <w:p>
      <w:pPr>
        <w:pStyle w:val="28"/>
        <w:snapToGrid w:val="0"/>
        <w:ind w:left="-60" w:right="120" w:rightChars="57"/>
        <w:jc w:val="left"/>
        <w:rPr>
          <w:rFonts w:hint="eastAsia" w:ascii="宋体" w:hAnsi="宋体" w:eastAsia="宋体" w:cs="宋体"/>
          <w:color w:val="auto"/>
          <w:highlight w:val="none"/>
        </w:rPr>
      </w:pPr>
    </w:p>
    <w:p>
      <w:pPr>
        <w:pStyle w:val="28"/>
        <w:snapToGrid w:val="0"/>
        <w:ind w:left="-60" w:right="120" w:rightChars="57"/>
        <w:jc w:val="left"/>
        <w:rPr>
          <w:rFonts w:hint="eastAsia" w:ascii="宋体" w:hAnsi="宋体" w:eastAsia="宋体" w:cs="宋体"/>
          <w:color w:val="auto"/>
          <w:highlight w:val="none"/>
        </w:rPr>
      </w:pPr>
      <w:r>
        <w:rPr>
          <w:rFonts w:hint="eastAsia" w:ascii="宋体" w:hAnsi="宋体" w:eastAsia="宋体" w:cs="宋体"/>
          <w:color w:val="auto"/>
          <w:highlight w:val="none"/>
        </w:rPr>
        <w:t>注：</w:t>
      </w:r>
    </w:p>
    <w:p>
      <w:pPr>
        <w:pStyle w:val="28"/>
        <w:numPr>
          <w:ilvl w:val="0"/>
          <w:numId w:val="8"/>
        </w:numPr>
        <w:snapToGrid w:val="0"/>
        <w:ind w:right="120" w:rightChars="57"/>
        <w:rPr>
          <w:rFonts w:hint="eastAsia" w:ascii="宋体" w:hAnsi="宋体" w:eastAsia="宋体" w:cs="宋体"/>
          <w:color w:val="auto"/>
          <w:highlight w:val="none"/>
        </w:rPr>
      </w:pPr>
      <w:r>
        <w:rPr>
          <w:rFonts w:hint="eastAsia" w:ascii="宋体" w:hAnsi="宋体" w:eastAsia="宋体" w:cs="宋体"/>
          <w:b/>
          <w:color w:val="auto"/>
          <w:highlight w:val="none"/>
        </w:rPr>
        <w:t>投标报价要求：投标人须分别报出不含增值税价格、增值税税额、含增值税价格</w:t>
      </w:r>
      <w:r>
        <w:rPr>
          <w:rFonts w:hint="eastAsia" w:ascii="宋体" w:hAnsi="宋体" w:eastAsia="宋体" w:cs="宋体"/>
          <w:b/>
          <w:color w:val="auto"/>
          <w:highlight w:val="none"/>
          <w:lang w:eastAsia="zh-CN"/>
        </w:rPr>
        <w:t>、</w:t>
      </w:r>
      <w:r>
        <w:rPr>
          <w:rFonts w:hint="eastAsia" w:ascii="宋体" w:hAnsi="宋体" w:eastAsia="宋体" w:cs="宋体"/>
          <w:b/>
          <w:color w:val="auto"/>
          <w:highlight w:val="none"/>
          <w:lang w:val="en-US" w:eastAsia="zh-CN"/>
        </w:rPr>
        <w:t>暂列金、暂估价</w:t>
      </w:r>
      <w:r>
        <w:rPr>
          <w:rFonts w:hint="eastAsia" w:ascii="宋体" w:hAnsi="宋体" w:eastAsia="宋体" w:cs="宋体"/>
          <w:b/>
          <w:color w:val="auto"/>
          <w:highlight w:val="none"/>
        </w:rPr>
        <w:t>部分投标报价，各投标单位的价格分以不含增值税价格进行计算。</w:t>
      </w:r>
    </w:p>
    <w:p>
      <w:pPr>
        <w:pStyle w:val="28"/>
        <w:numPr>
          <w:ilvl w:val="0"/>
          <w:numId w:val="8"/>
        </w:numPr>
        <w:snapToGrid w:val="0"/>
        <w:ind w:right="120" w:rightChars="57"/>
        <w:rPr>
          <w:rFonts w:hint="eastAsia"/>
          <w:color w:val="auto"/>
          <w:highlight w:val="none"/>
        </w:rPr>
      </w:pPr>
      <w:r>
        <w:rPr>
          <w:rFonts w:hint="eastAsia" w:ascii="宋体" w:hAnsi="宋体" w:eastAsia="宋体" w:cs="宋体"/>
          <w:b/>
          <w:color w:val="auto"/>
          <w:highlight w:val="none"/>
        </w:rPr>
        <w:t>金额（不含增值税）*增值税税率=增值税税额</w:t>
      </w:r>
      <w:r>
        <w:rPr>
          <w:rFonts w:hint="eastAsia" w:ascii="宋体" w:hAnsi="宋体" w:eastAsia="宋体" w:cs="宋体"/>
          <w:b/>
          <w:color w:val="auto"/>
          <w:highlight w:val="none"/>
          <w:lang w:eastAsia="zh-CN"/>
        </w:rPr>
        <w:t>。</w:t>
      </w:r>
    </w:p>
    <w:p>
      <w:pPr>
        <w:pStyle w:val="28"/>
        <w:numPr>
          <w:ilvl w:val="0"/>
          <w:numId w:val="8"/>
        </w:numPr>
        <w:snapToGrid w:val="0"/>
        <w:ind w:right="120" w:rightChars="57"/>
        <w:rPr>
          <w:rFonts w:hint="eastAsia"/>
          <w:color w:val="auto"/>
          <w:highlight w:val="none"/>
        </w:rPr>
      </w:pPr>
      <w:r>
        <w:rPr>
          <w:rFonts w:hint="eastAsia" w:ascii="宋体" w:hAnsi="宋体" w:eastAsia="宋体" w:cs="宋体"/>
          <w:b/>
          <w:color w:val="auto"/>
          <w:highlight w:val="none"/>
        </w:rPr>
        <w:t>本项目详细报价表的价税合计总额（投标报价）必须与开标一览表投标报价（含增值税）的总额一致</w:t>
      </w:r>
      <w:r>
        <w:rPr>
          <w:rFonts w:hint="eastAsia" w:ascii="宋体" w:hAnsi="宋体" w:eastAsia="宋体" w:cs="宋体"/>
          <w:b/>
          <w:color w:val="auto"/>
          <w:highlight w:val="none"/>
          <w:lang w:eastAsia="zh-CN"/>
        </w:rPr>
        <w:t>。</w:t>
      </w:r>
    </w:p>
    <w:p>
      <w:pPr>
        <w:rPr>
          <w:rFonts w:hint="eastAsia"/>
          <w:color w:val="auto"/>
          <w:highlight w:val="none"/>
        </w:rPr>
      </w:pPr>
    </w:p>
    <w:p>
      <w:pPr>
        <w:pStyle w:val="28"/>
        <w:jc w:val="left"/>
        <w:rPr>
          <w:rFonts w:hint="eastAsia" w:ascii="宋体" w:hAnsi="宋体" w:eastAsia="宋体" w:cs="宋体"/>
          <w:color w:val="auto"/>
          <w:highlight w:val="none"/>
        </w:rPr>
      </w:pPr>
      <w:r>
        <w:rPr>
          <w:rFonts w:hint="eastAsia" w:ascii="宋体" w:hAnsi="宋体" w:eastAsia="宋体" w:cs="宋体"/>
          <w:color w:val="auto"/>
          <w:highlight w:val="none"/>
        </w:rPr>
        <w:t>投标人名称:（盖章）</w:t>
      </w:r>
    </w:p>
    <w:p>
      <w:pPr>
        <w:pStyle w:val="28"/>
        <w:jc w:val="left"/>
        <w:rPr>
          <w:rFonts w:hint="eastAsia" w:ascii="宋体" w:hAnsi="宋体" w:eastAsia="宋体" w:cs="宋体"/>
          <w:color w:val="auto"/>
          <w:highlight w:val="none"/>
        </w:rPr>
      </w:pPr>
      <w:r>
        <w:rPr>
          <w:rFonts w:hint="eastAsia" w:ascii="宋体" w:hAnsi="宋体" w:eastAsia="宋体" w:cs="宋体"/>
          <w:color w:val="auto"/>
          <w:highlight w:val="none"/>
        </w:rPr>
        <w:t>投标人法定代表人或其授权代表（签名或盖章）：</w:t>
      </w:r>
    </w:p>
    <w:p>
      <w:pPr>
        <w:pStyle w:val="28"/>
        <w:ind w:left="0" w:leftChars="0"/>
        <w:jc w:val="left"/>
        <w:rPr>
          <w:rFonts w:hint="eastAsia" w:ascii="宋体" w:hAnsi="宋体" w:eastAsia="宋体" w:cs="宋体"/>
          <w:color w:val="auto"/>
          <w:highlight w:val="none"/>
        </w:rPr>
      </w:pPr>
      <w:r>
        <w:rPr>
          <w:rFonts w:hint="eastAsia" w:ascii="宋体" w:hAnsi="宋体" w:eastAsia="宋体" w:cs="宋体"/>
          <w:color w:val="auto"/>
          <w:highlight w:val="none"/>
        </w:rPr>
        <w:t>日期：    年   月   日</w:t>
      </w:r>
    </w:p>
    <w:p>
      <w:pPr>
        <w:pStyle w:val="28"/>
        <w:snapToGrid w:val="0"/>
        <w:ind w:left="360" w:right="120" w:rightChars="57"/>
        <w:jc w:val="left"/>
        <w:rPr>
          <w:rFonts w:hint="eastAsia" w:ascii="宋体" w:hAnsi="宋体" w:eastAsia="宋体" w:cs="宋体"/>
          <w:color w:val="auto"/>
          <w:highlight w:val="none"/>
        </w:rPr>
      </w:pPr>
    </w:p>
    <w:p>
      <w:pPr>
        <w:pStyle w:val="28"/>
        <w:snapToGrid w:val="0"/>
        <w:ind w:left="360" w:right="120" w:rightChars="57"/>
        <w:jc w:val="left"/>
        <w:rPr>
          <w:rFonts w:hint="eastAsia" w:ascii="宋体" w:hAnsi="宋体" w:eastAsia="宋体" w:cs="宋体"/>
          <w:color w:val="auto"/>
          <w:highlight w:val="none"/>
        </w:rPr>
      </w:pPr>
      <w:r>
        <w:rPr>
          <w:rFonts w:hint="eastAsia" w:ascii="宋体" w:hAnsi="宋体" w:eastAsia="宋体" w:cs="宋体"/>
          <w:color w:val="auto"/>
          <w:szCs w:val="21"/>
          <w:highlight w:val="none"/>
        </w:rPr>
        <w:br w:type="page"/>
      </w:r>
    </w:p>
    <w:bookmarkEnd w:id="89"/>
    <w:bookmarkEnd w:id="90"/>
    <w:bookmarkEnd w:id="91"/>
    <w:bookmarkEnd w:id="92"/>
    <w:bookmarkEnd w:id="93"/>
    <w:p>
      <w:pPr>
        <w:pStyle w:val="6"/>
        <w:numPr>
          <w:ilvl w:val="0"/>
          <w:numId w:val="0"/>
        </w:numPr>
        <w:ind w:left="422"/>
        <w:rPr>
          <w:rFonts w:hint="eastAsia" w:ascii="宋体" w:hAnsi="宋体" w:eastAsia="宋体" w:cs="宋体"/>
          <w:color w:val="auto"/>
          <w:highlight w:val="none"/>
        </w:rPr>
      </w:pPr>
      <w:r>
        <w:rPr>
          <w:rFonts w:hint="eastAsia" w:ascii="宋体" w:hAnsi="宋体" w:eastAsia="宋体" w:cs="宋体"/>
          <w:color w:val="auto"/>
          <w:highlight w:val="none"/>
        </w:rPr>
        <w:t>四、资格证明材料</w:t>
      </w:r>
    </w:p>
    <w:p>
      <w:pPr>
        <w:pStyle w:val="6"/>
        <w:numPr>
          <w:ilvl w:val="0"/>
          <w:numId w:val="0"/>
        </w:numPr>
        <w:ind w:left="422"/>
        <w:rPr>
          <w:rFonts w:hint="eastAsia" w:ascii="宋体" w:hAnsi="宋体" w:eastAsia="宋体" w:cs="宋体"/>
          <w:b w:val="0"/>
          <w:color w:val="auto"/>
          <w:highlight w:val="none"/>
        </w:rPr>
      </w:pPr>
      <w:r>
        <w:rPr>
          <w:rFonts w:hint="eastAsia" w:ascii="宋体" w:hAnsi="宋体" w:eastAsia="宋体" w:cs="宋体"/>
          <w:b w:val="0"/>
          <w:color w:val="auto"/>
          <w:highlight w:val="none"/>
        </w:rPr>
        <w:t>（1）投标函</w:t>
      </w:r>
    </w:p>
    <w:p>
      <w:pPr>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t>投 标 函</w:t>
      </w: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致:（招标人名称）</w:t>
      </w:r>
    </w:p>
    <w:p>
      <w:pPr>
        <w:spacing w:line="360" w:lineRule="auto"/>
        <w:rPr>
          <w:rFonts w:hint="eastAsia" w:ascii="宋体" w:hAnsi="宋体" w:eastAsia="宋体" w:cs="宋体"/>
          <w:color w:val="auto"/>
          <w:highlight w:val="none"/>
        </w:rPr>
      </w:pPr>
    </w:p>
    <w:p>
      <w:pPr>
        <w:spacing w:line="360" w:lineRule="auto"/>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 xml:space="preserve">  我方确认收到贵方提供的（</w:t>
      </w:r>
      <w:r>
        <w:rPr>
          <w:rFonts w:hint="eastAsia" w:ascii="宋体" w:hAnsi="宋体" w:eastAsia="宋体" w:cs="宋体"/>
          <w:color w:val="auto"/>
          <w:kern w:val="28"/>
          <w:highlight w:val="none"/>
          <w:u w:val="single"/>
        </w:rPr>
        <w:t>招标项目名称）</w:t>
      </w:r>
      <w:r>
        <w:rPr>
          <w:rFonts w:hint="eastAsia" w:ascii="宋体" w:hAnsi="宋体" w:eastAsia="宋体" w:cs="宋体"/>
          <w:color w:val="auto"/>
          <w:highlight w:val="none"/>
        </w:rPr>
        <w:t>的招标文件的全部内容，我方：</w:t>
      </w:r>
      <w:r>
        <w:rPr>
          <w:rFonts w:hint="eastAsia" w:ascii="宋体" w:hAnsi="宋体" w:eastAsia="宋体" w:cs="宋体"/>
          <w:color w:val="auto"/>
          <w:highlight w:val="none"/>
          <w:u w:val="single"/>
        </w:rPr>
        <w:t xml:space="preserve">           （投标人名称）</w:t>
      </w:r>
      <w:r>
        <w:rPr>
          <w:rFonts w:hint="eastAsia" w:ascii="宋体" w:hAnsi="宋体" w:eastAsia="宋体" w:cs="宋体"/>
          <w:color w:val="auto"/>
          <w:highlight w:val="none"/>
        </w:rPr>
        <w:t>作为投标者正式授权</w:t>
      </w:r>
      <w:r>
        <w:rPr>
          <w:rFonts w:hint="eastAsia" w:ascii="宋体" w:hAnsi="宋体" w:eastAsia="宋体" w:cs="宋体"/>
          <w:color w:val="auto"/>
          <w:highlight w:val="none"/>
          <w:u w:val="single"/>
        </w:rPr>
        <w:t>（授权代表全名, 职务）</w:t>
      </w:r>
      <w:r>
        <w:rPr>
          <w:rFonts w:hint="eastAsia" w:ascii="宋体" w:hAnsi="宋体" w:eastAsia="宋体" w:cs="宋体"/>
          <w:color w:val="auto"/>
          <w:highlight w:val="none"/>
        </w:rPr>
        <w:t>代表我方进行有关本投标的一切事宜。</w:t>
      </w:r>
    </w:p>
    <w:p>
      <w:pPr>
        <w:spacing w:line="360" w:lineRule="auto"/>
        <w:ind w:firstLine="516" w:firstLineChars="246"/>
        <w:rPr>
          <w:rFonts w:hint="eastAsia" w:ascii="宋体" w:hAnsi="宋体" w:eastAsia="宋体" w:cs="宋体"/>
          <w:color w:val="auto"/>
          <w:highlight w:val="none"/>
        </w:rPr>
      </w:pPr>
      <w:r>
        <w:rPr>
          <w:rFonts w:hint="eastAsia" w:ascii="宋体" w:hAnsi="宋体" w:eastAsia="宋体" w:cs="宋体"/>
          <w:color w:val="auto"/>
          <w:highlight w:val="none"/>
        </w:rPr>
        <w:t>在此提交的投标文件, 正本一份, 副本</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份，包括如下等内容：</w:t>
      </w:r>
    </w:p>
    <w:p>
      <w:pPr>
        <w:numPr>
          <w:ilvl w:val="0"/>
          <w:numId w:val="9"/>
        </w:numPr>
        <w:tabs>
          <w:tab w:val="left" w:pos="0"/>
          <w:tab w:val="clear" w:pos="851"/>
        </w:tabs>
        <w:autoSpaceDE w:val="0"/>
        <w:autoSpaceDN w:val="0"/>
        <w:adjustRightInd w:val="0"/>
        <w:spacing w:line="360" w:lineRule="auto"/>
        <w:ind w:left="-2" w:leftChars="-1" w:firstLine="516" w:firstLineChars="246"/>
        <w:rPr>
          <w:rFonts w:hint="eastAsia" w:ascii="宋体" w:hAnsi="宋体" w:eastAsia="宋体" w:cs="宋体"/>
          <w:color w:val="auto"/>
          <w:highlight w:val="none"/>
        </w:rPr>
      </w:pPr>
      <w:r>
        <w:rPr>
          <w:rFonts w:hint="eastAsia" w:ascii="宋体" w:hAnsi="宋体" w:eastAsia="宋体" w:cs="宋体"/>
          <w:color w:val="auto"/>
          <w:highlight w:val="none"/>
        </w:rPr>
        <w:t>报价表；</w:t>
      </w:r>
    </w:p>
    <w:p>
      <w:pPr>
        <w:numPr>
          <w:ilvl w:val="0"/>
          <w:numId w:val="9"/>
        </w:numPr>
        <w:tabs>
          <w:tab w:val="left" w:pos="0"/>
          <w:tab w:val="clear" w:pos="851"/>
        </w:tabs>
        <w:autoSpaceDE w:val="0"/>
        <w:autoSpaceDN w:val="0"/>
        <w:adjustRightInd w:val="0"/>
        <w:spacing w:line="360" w:lineRule="auto"/>
        <w:ind w:left="-2" w:leftChars="-1" w:firstLine="516" w:firstLineChars="246"/>
        <w:rPr>
          <w:rFonts w:hint="eastAsia" w:ascii="宋体" w:hAnsi="宋体" w:eastAsia="宋体" w:cs="宋体"/>
          <w:color w:val="auto"/>
          <w:highlight w:val="none"/>
        </w:rPr>
      </w:pPr>
      <w:r>
        <w:rPr>
          <w:rFonts w:hint="eastAsia" w:ascii="宋体" w:hAnsi="宋体" w:eastAsia="宋体" w:cs="宋体"/>
          <w:color w:val="auto"/>
          <w:highlight w:val="none"/>
        </w:rPr>
        <w:t>投标函；</w:t>
      </w:r>
    </w:p>
    <w:p>
      <w:pPr>
        <w:numPr>
          <w:ilvl w:val="0"/>
          <w:numId w:val="9"/>
        </w:numPr>
        <w:tabs>
          <w:tab w:val="left" w:pos="0"/>
          <w:tab w:val="clear" w:pos="851"/>
        </w:tabs>
        <w:autoSpaceDE w:val="0"/>
        <w:autoSpaceDN w:val="0"/>
        <w:adjustRightInd w:val="0"/>
        <w:spacing w:line="360" w:lineRule="auto"/>
        <w:ind w:left="-2" w:leftChars="-1" w:firstLine="516" w:firstLineChars="246"/>
        <w:rPr>
          <w:rFonts w:hint="eastAsia" w:ascii="宋体" w:hAnsi="宋体" w:eastAsia="宋体" w:cs="宋体"/>
          <w:color w:val="auto"/>
          <w:highlight w:val="none"/>
        </w:rPr>
      </w:pPr>
      <w:r>
        <w:rPr>
          <w:rFonts w:hint="eastAsia" w:ascii="宋体" w:hAnsi="宋体" w:eastAsia="宋体" w:cs="宋体"/>
          <w:color w:val="auto"/>
          <w:highlight w:val="none"/>
        </w:rPr>
        <w:t>法定代表人证明书及法人授权书；</w:t>
      </w:r>
    </w:p>
    <w:p>
      <w:pPr>
        <w:numPr>
          <w:ilvl w:val="0"/>
          <w:numId w:val="9"/>
        </w:numPr>
        <w:tabs>
          <w:tab w:val="left" w:pos="0"/>
          <w:tab w:val="clear" w:pos="851"/>
        </w:tabs>
        <w:autoSpaceDE w:val="0"/>
        <w:autoSpaceDN w:val="0"/>
        <w:adjustRightInd w:val="0"/>
        <w:spacing w:line="360" w:lineRule="auto"/>
        <w:ind w:left="-2" w:leftChars="-1" w:firstLine="516" w:firstLineChars="246"/>
        <w:rPr>
          <w:rFonts w:hint="eastAsia" w:ascii="宋体" w:hAnsi="宋体" w:eastAsia="宋体" w:cs="宋体"/>
          <w:color w:val="auto"/>
          <w:highlight w:val="none"/>
        </w:rPr>
      </w:pPr>
      <w:r>
        <w:rPr>
          <w:rFonts w:hint="eastAsia" w:ascii="宋体" w:hAnsi="宋体" w:eastAsia="宋体" w:cs="宋体"/>
          <w:color w:val="auto"/>
          <w:highlight w:val="none"/>
        </w:rPr>
        <w:t>投标保证金支付证明复印件；</w:t>
      </w:r>
    </w:p>
    <w:p>
      <w:pPr>
        <w:numPr>
          <w:ilvl w:val="0"/>
          <w:numId w:val="9"/>
        </w:numPr>
        <w:tabs>
          <w:tab w:val="left" w:pos="0"/>
          <w:tab w:val="clear" w:pos="851"/>
        </w:tabs>
        <w:autoSpaceDE w:val="0"/>
        <w:autoSpaceDN w:val="0"/>
        <w:adjustRightInd w:val="0"/>
        <w:spacing w:line="360" w:lineRule="auto"/>
        <w:ind w:left="-2" w:leftChars="-1" w:firstLine="516" w:firstLineChars="246"/>
        <w:rPr>
          <w:rFonts w:hint="eastAsia" w:ascii="宋体" w:hAnsi="宋体" w:eastAsia="宋体" w:cs="宋体"/>
          <w:color w:val="auto"/>
          <w:szCs w:val="21"/>
          <w:highlight w:val="none"/>
        </w:rPr>
      </w:pPr>
      <w:r>
        <w:rPr>
          <w:rFonts w:hint="eastAsia" w:ascii="宋体" w:hAnsi="宋体" w:eastAsia="宋体" w:cs="宋体"/>
          <w:color w:val="auto"/>
          <w:highlight w:val="none"/>
        </w:rPr>
        <w:t>有关确立投标人法律地位的原始文件副本复印件（如营业执照、组织代码证、税务登记证等）；</w:t>
      </w:r>
    </w:p>
    <w:p>
      <w:pPr>
        <w:numPr>
          <w:ilvl w:val="0"/>
          <w:numId w:val="9"/>
        </w:numPr>
        <w:tabs>
          <w:tab w:val="left" w:pos="0"/>
          <w:tab w:val="clear" w:pos="851"/>
        </w:tabs>
        <w:autoSpaceDE w:val="0"/>
        <w:autoSpaceDN w:val="0"/>
        <w:adjustRightInd w:val="0"/>
        <w:spacing w:line="360" w:lineRule="auto"/>
        <w:ind w:left="-2" w:leftChars="-1" w:firstLine="516" w:firstLineChars="246"/>
        <w:rPr>
          <w:rFonts w:hint="eastAsia" w:ascii="宋体" w:hAnsi="宋体" w:eastAsia="宋体" w:cs="宋体"/>
          <w:color w:val="auto"/>
          <w:szCs w:val="21"/>
          <w:highlight w:val="none"/>
        </w:rPr>
      </w:pPr>
      <w:r>
        <w:rPr>
          <w:rFonts w:hint="eastAsia" w:ascii="宋体" w:hAnsi="宋体" w:eastAsia="宋体" w:cs="宋体"/>
          <w:color w:val="auto"/>
          <w:highlight w:val="none"/>
        </w:rPr>
        <w:t>资格及能力证明文件；</w:t>
      </w:r>
    </w:p>
    <w:p>
      <w:pPr>
        <w:numPr>
          <w:ilvl w:val="0"/>
          <w:numId w:val="9"/>
        </w:numPr>
        <w:tabs>
          <w:tab w:val="left" w:pos="0"/>
          <w:tab w:val="clear" w:pos="851"/>
        </w:tabs>
        <w:autoSpaceDE w:val="0"/>
        <w:autoSpaceDN w:val="0"/>
        <w:adjustRightInd w:val="0"/>
        <w:spacing w:line="360" w:lineRule="auto"/>
        <w:ind w:left="-2" w:leftChars="-1" w:firstLine="516" w:firstLineChars="246"/>
        <w:rPr>
          <w:rFonts w:hint="eastAsia" w:ascii="宋体" w:hAnsi="宋体" w:eastAsia="宋体" w:cs="宋体"/>
          <w:color w:val="auto"/>
          <w:szCs w:val="21"/>
          <w:highlight w:val="none"/>
        </w:rPr>
      </w:pPr>
      <w:r>
        <w:rPr>
          <w:rFonts w:hint="eastAsia" w:ascii="宋体" w:hAnsi="宋体" w:eastAsia="宋体" w:cs="宋体"/>
          <w:color w:val="auto"/>
          <w:highlight w:val="none"/>
        </w:rPr>
        <w:t>商务响应文件；</w:t>
      </w:r>
    </w:p>
    <w:p>
      <w:pPr>
        <w:numPr>
          <w:ilvl w:val="0"/>
          <w:numId w:val="9"/>
        </w:numPr>
        <w:tabs>
          <w:tab w:val="left" w:pos="0"/>
          <w:tab w:val="clear" w:pos="851"/>
        </w:tabs>
        <w:autoSpaceDE w:val="0"/>
        <w:autoSpaceDN w:val="0"/>
        <w:adjustRightInd w:val="0"/>
        <w:spacing w:line="360" w:lineRule="auto"/>
        <w:ind w:left="-2" w:leftChars="-1" w:firstLine="516" w:firstLineChars="246"/>
        <w:rPr>
          <w:rFonts w:hint="eastAsia" w:ascii="宋体" w:hAnsi="宋体" w:eastAsia="宋体" w:cs="宋体"/>
          <w:color w:val="auto"/>
          <w:highlight w:val="none"/>
        </w:rPr>
      </w:pPr>
      <w:r>
        <w:rPr>
          <w:rFonts w:hint="eastAsia" w:ascii="宋体" w:hAnsi="宋体" w:eastAsia="宋体" w:cs="宋体"/>
          <w:color w:val="auto"/>
          <w:highlight w:val="none"/>
        </w:rPr>
        <w:t>技术响应文件；</w:t>
      </w:r>
    </w:p>
    <w:p>
      <w:pPr>
        <w:numPr>
          <w:ilvl w:val="0"/>
          <w:numId w:val="9"/>
        </w:numPr>
        <w:tabs>
          <w:tab w:val="left" w:pos="0"/>
          <w:tab w:val="clear" w:pos="851"/>
        </w:tabs>
        <w:autoSpaceDE w:val="0"/>
        <w:autoSpaceDN w:val="0"/>
        <w:adjustRightInd w:val="0"/>
        <w:spacing w:line="360" w:lineRule="auto"/>
        <w:ind w:left="-2" w:leftChars="-1" w:firstLine="516" w:firstLineChars="246"/>
        <w:rPr>
          <w:rFonts w:hint="eastAsia" w:ascii="宋体" w:hAnsi="宋体" w:eastAsia="宋体" w:cs="宋体"/>
          <w:color w:val="auto"/>
          <w:highlight w:val="none"/>
        </w:rPr>
      </w:pPr>
      <w:r>
        <w:rPr>
          <w:rFonts w:hint="eastAsia" w:ascii="宋体" w:hAnsi="宋体" w:eastAsia="宋体" w:cs="宋体"/>
          <w:color w:val="auto"/>
          <w:highlight w:val="none"/>
        </w:rPr>
        <w:t>应招标文件的要求提供的其他有关文件</w:t>
      </w:r>
    </w:p>
    <w:p>
      <w:pPr>
        <w:spacing w:line="360" w:lineRule="auto"/>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我方已完全明白招标文件的所有条款要求，并重申以下几点：</w:t>
      </w:r>
    </w:p>
    <w:p>
      <w:pPr>
        <w:spacing w:line="360" w:lineRule="auto"/>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（一）我方决定参加：项目名称为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的投标。</w:t>
      </w:r>
    </w:p>
    <w:p>
      <w:pPr>
        <w:spacing w:line="360" w:lineRule="auto"/>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（二）全部货物之供应和有关服务的投标总价详见投标报价表。</w:t>
      </w:r>
    </w:p>
    <w:p>
      <w:pPr>
        <w:spacing w:line="360" w:lineRule="auto"/>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（三）本投标文件的有效期投标截止日后</w:t>
      </w:r>
      <w:r>
        <w:rPr>
          <w:rFonts w:hint="eastAsia" w:ascii="宋体" w:hAnsi="宋体" w:eastAsia="宋体" w:cs="宋体"/>
          <w:b/>
          <w:color w:val="auto"/>
          <w:highlight w:val="none"/>
        </w:rPr>
        <w:t>90日</w:t>
      </w:r>
      <w:r>
        <w:rPr>
          <w:rFonts w:hint="eastAsia" w:ascii="宋体" w:hAnsi="宋体" w:eastAsia="宋体" w:cs="宋体"/>
          <w:color w:val="auto"/>
          <w:highlight w:val="none"/>
        </w:rPr>
        <w:t>有效，如中标，有效期将延至合同终止日为止。</w:t>
      </w:r>
    </w:p>
    <w:p>
      <w:pPr>
        <w:spacing w:line="360" w:lineRule="auto"/>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（四）我方已详细研究了招标文件的所有内容包括修正文（如果有）和所有已提供的参考资料以及有关附件并完全明白, 我方放弃在此方面提出含糊意见或误解的一切权力。</w:t>
      </w:r>
    </w:p>
    <w:p>
      <w:pPr>
        <w:spacing w:line="360" w:lineRule="auto"/>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（五）我方明白并愿意在规定的开标时间和日期之后,投标有效期之内撤回投标, 则投标保证金将被贵方没收。</w:t>
      </w:r>
    </w:p>
    <w:p>
      <w:pPr>
        <w:spacing w:line="360" w:lineRule="auto"/>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（六）我方同意按照贵方可能提出的要求而提供与投标有关的任何其它数据或信息。</w:t>
      </w:r>
    </w:p>
    <w:p>
      <w:pPr>
        <w:spacing w:line="360" w:lineRule="auto"/>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（七）我方理解贵方不一定接受最低标价或任何贵方可能收到的投标。</w:t>
      </w:r>
    </w:p>
    <w:p>
      <w:pPr>
        <w:spacing w:line="360" w:lineRule="auto"/>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（八）我方如果中标，将保证履行招标文件以及招标文件修改书（如果有的话）中的全部责任和义务，按质、按量、按期完成《合同书》中的全部任务。</w:t>
      </w:r>
    </w:p>
    <w:p>
      <w:pPr>
        <w:spacing w:line="360" w:lineRule="auto"/>
        <w:ind w:firstLine="411" w:firstLineChars="196"/>
        <w:rPr>
          <w:rFonts w:hint="eastAsia" w:ascii="宋体" w:hAnsi="宋体" w:eastAsia="宋体" w:cs="宋体"/>
          <w:color w:val="auto"/>
          <w:szCs w:val="21"/>
          <w:highlight w:val="none"/>
        </w:rPr>
      </w:pPr>
      <w:r>
        <w:rPr>
          <w:rFonts w:hint="eastAsia" w:ascii="宋体" w:hAnsi="宋体" w:eastAsia="宋体" w:cs="宋体"/>
          <w:color w:val="auto"/>
          <w:highlight w:val="none"/>
        </w:rPr>
        <w:t>（九）如我方被授予合同，我方就本次招标支付有关的招标服务费。</w:t>
      </w:r>
    </w:p>
    <w:p>
      <w:pPr>
        <w:spacing w:line="360" w:lineRule="auto"/>
        <w:ind w:firstLine="411" w:firstLineChars="196"/>
        <w:rPr>
          <w:rFonts w:hint="eastAsia" w:ascii="宋体" w:hAnsi="宋体" w:eastAsia="宋体" w:cs="宋体"/>
          <w:color w:val="auto"/>
          <w:highlight w:val="none"/>
        </w:rPr>
      </w:pPr>
      <w:r>
        <w:rPr>
          <w:rFonts w:hint="eastAsia" w:ascii="宋体" w:hAnsi="宋体" w:eastAsia="宋体" w:cs="宋体"/>
          <w:color w:val="auto"/>
          <w:highlight w:val="none"/>
        </w:rPr>
        <w:t>（十）所有与本招标有关的函件请发往下列地址:</w:t>
      </w:r>
    </w:p>
    <w:p>
      <w:pPr>
        <w:spacing w:line="360" w:lineRule="auto"/>
        <w:ind w:left="721"/>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 地    址：</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邮政编码：</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spacing w:line="360" w:lineRule="auto"/>
        <w:ind w:left="721"/>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 电    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传    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spacing w:line="360" w:lineRule="auto"/>
        <w:ind w:left="721"/>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 代表姓名：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职    务：</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spacing w:line="360" w:lineRule="auto"/>
        <w:rPr>
          <w:rFonts w:hint="eastAsia" w:ascii="宋体" w:hAnsi="宋体" w:eastAsia="宋体" w:cs="宋体"/>
          <w:color w:val="auto"/>
          <w:highlight w:val="none"/>
          <w:u w:val="single"/>
        </w:rPr>
      </w:pPr>
    </w:p>
    <w:p>
      <w:pPr>
        <w:spacing w:line="360" w:lineRule="auto"/>
        <w:ind w:left="630" w:hanging="630"/>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u w:val="single"/>
        </w:rPr>
      </w:pPr>
    </w:p>
    <w:p>
      <w:pPr>
        <w:pStyle w:val="28"/>
        <w:ind w:left="4700" w:leftChars="2238"/>
        <w:jc w:val="left"/>
        <w:rPr>
          <w:rFonts w:hint="eastAsia" w:ascii="宋体" w:hAnsi="宋体" w:eastAsia="宋体" w:cs="宋体"/>
          <w:color w:val="auto"/>
          <w:highlight w:val="none"/>
        </w:rPr>
      </w:pPr>
      <w:r>
        <w:rPr>
          <w:rFonts w:hint="eastAsia" w:ascii="宋体" w:hAnsi="宋体" w:eastAsia="宋体" w:cs="宋体"/>
          <w:color w:val="auto"/>
          <w:highlight w:val="none"/>
        </w:rPr>
        <w:t>投标人名称:（盖章）</w:t>
      </w:r>
    </w:p>
    <w:p>
      <w:pPr>
        <w:pStyle w:val="28"/>
        <w:ind w:left="4700" w:leftChars="2238"/>
        <w:jc w:val="left"/>
        <w:rPr>
          <w:rFonts w:hint="eastAsia" w:ascii="宋体" w:hAnsi="宋体" w:eastAsia="宋体" w:cs="宋体"/>
          <w:color w:val="auto"/>
          <w:highlight w:val="none"/>
        </w:rPr>
      </w:pPr>
      <w:r>
        <w:rPr>
          <w:rFonts w:hint="eastAsia" w:ascii="宋体" w:hAnsi="宋体" w:eastAsia="宋体" w:cs="宋体"/>
          <w:color w:val="auto"/>
          <w:highlight w:val="none"/>
        </w:rPr>
        <w:t>投标人法定代表人或其授权代表（签名或盖章）：</w:t>
      </w:r>
    </w:p>
    <w:p>
      <w:pPr>
        <w:pStyle w:val="28"/>
        <w:ind w:left="4700" w:leftChars="2238"/>
        <w:jc w:val="left"/>
        <w:rPr>
          <w:rFonts w:hint="eastAsia" w:ascii="宋体" w:hAnsi="宋体" w:eastAsia="宋体" w:cs="宋体"/>
          <w:color w:val="auto"/>
          <w:szCs w:val="21"/>
          <w:highlight w:val="none"/>
        </w:rPr>
      </w:pPr>
      <w:r>
        <w:rPr>
          <w:rFonts w:hint="eastAsia" w:ascii="宋体" w:hAnsi="宋体" w:eastAsia="宋体" w:cs="宋体"/>
          <w:color w:val="auto"/>
          <w:highlight w:val="none"/>
        </w:rPr>
        <w:t>日期：    年   月   日</w:t>
      </w:r>
    </w:p>
    <w:p>
      <w:pPr>
        <w:spacing w:line="360" w:lineRule="auto"/>
        <w:ind w:left="721"/>
        <w:rPr>
          <w:rFonts w:hint="eastAsia" w:ascii="宋体" w:hAnsi="宋体" w:eastAsia="宋体" w:cs="宋体"/>
          <w:color w:val="auto"/>
          <w:highlight w:val="none"/>
          <w:u w:val="single"/>
        </w:rPr>
      </w:pPr>
    </w:p>
    <w:p>
      <w:pPr>
        <w:tabs>
          <w:tab w:val="left" w:pos="4320"/>
        </w:tabs>
        <w:rPr>
          <w:rFonts w:hint="eastAsia" w:ascii="宋体" w:hAnsi="宋体" w:eastAsia="宋体" w:cs="宋体"/>
          <w:color w:val="auto"/>
          <w:highlight w:val="none"/>
        </w:rPr>
      </w:pPr>
    </w:p>
    <w:p>
      <w:pPr>
        <w:tabs>
          <w:tab w:val="left" w:pos="4320"/>
        </w:tabs>
        <w:rPr>
          <w:rFonts w:hint="eastAsia" w:ascii="宋体" w:hAnsi="宋体" w:eastAsia="宋体" w:cs="宋体"/>
          <w:color w:val="auto"/>
          <w:highlight w:val="none"/>
        </w:rPr>
      </w:pPr>
    </w:p>
    <w:p>
      <w:pPr>
        <w:tabs>
          <w:tab w:val="left" w:pos="4320"/>
        </w:tabs>
        <w:rPr>
          <w:rFonts w:hint="eastAsia" w:ascii="宋体" w:hAnsi="宋体" w:eastAsia="宋体" w:cs="宋体"/>
          <w:color w:val="auto"/>
          <w:highlight w:val="none"/>
        </w:rPr>
      </w:pPr>
    </w:p>
    <w:p>
      <w:pPr>
        <w:tabs>
          <w:tab w:val="left" w:pos="4320"/>
        </w:tabs>
        <w:rPr>
          <w:rFonts w:hint="eastAsia" w:ascii="宋体" w:hAnsi="宋体" w:eastAsia="宋体" w:cs="宋体"/>
          <w:color w:val="auto"/>
          <w:highlight w:val="none"/>
        </w:rPr>
      </w:pPr>
    </w:p>
    <w:p>
      <w:pPr>
        <w:tabs>
          <w:tab w:val="left" w:pos="4320"/>
        </w:tabs>
        <w:rPr>
          <w:rFonts w:hint="eastAsia" w:ascii="宋体" w:hAnsi="宋体" w:eastAsia="宋体" w:cs="宋体"/>
          <w:color w:val="auto"/>
          <w:highlight w:val="none"/>
        </w:rPr>
      </w:pPr>
    </w:p>
    <w:p>
      <w:pPr>
        <w:tabs>
          <w:tab w:val="left" w:pos="4320"/>
        </w:tabs>
        <w:rPr>
          <w:rFonts w:hint="eastAsia" w:ascii="宋体" w:hAnsi="宋体" w:eastAsia="宋体" w:cs="宋体"/>
          <w:color w:val="auto"/>
          <w:highlight w:val="none"/>
        </w:rPr>
      </w:pPr>
    </w:p>
    <w:p>
      <w:pPr>
        <w:tabs>
          <w:tab w:val="left" w:pos="4320"/>
        </w:tabs>
        <w:rPr>
          <w:rFonts w:hint="eastAsia" w:ascii="宋体" w:hAnsi="宋体" w:eastAsia="宋体" w:cs="宋体"/>
          <w:color w:val="auto"/>
          <w:highlight w:val="none"/>
        </w:rPr>
      </w:pPr>
    </w:p>
    <w:p>
      <w:pPr>
        <w:tabs>
          <w:tab w:val="left" w:pos="4320"/>
        </w:tabs>
        <w:rPr>
          <w:rFonts w:hint="eastAsia" w:ascii="宋体" w:hAnsi="宋体" w:eastAsia="宋体" w:cs="宋体"/>
          <w:color w:val="auto"/>
          <w:highlight w:val="none"/>
        </w:rPr>
      </w:pPr>
    </w:p>
    <w:p>
      <w:pPr>
        <w:tabs>
          <w:tab w:val="left" w:pos="4320"/>
        </w:tabs>
        <w:rPr>
          <w:rFonts w:hint="eastAsia" w:ascii="宋体" w:hAnsi="宋体" w:eastAsia="宋体" w:cs="宋体"/>
          <w:color w:val="auto"/>
          <w:highlight w:val="none"/>
        </w:rPr>
      </w:pPr>
    </w:p>
    <w:p>
      <w:pPr>
        <w:tabs>
          <w:tab w:val="left" w:pos="4320"/>
        </w:tabs>
        <w:rPr>
          <w:rFonts w:hint="eastAsia" w:ascii="宋体" w:hAnsi="宋体" w:eastAsia="宋体" w:cs="宋体"/>
          <w:color w:val="auto"/>
          <w:highlight w:val="none"/>
        </w:rPr>
      </w:pPr>
    </w:p>
    <w:p>
      <w:pPr>
        <w:tabs>
          <w:tab w:val="left" w:pos="4320"/>
        </w:tabs>
        <w:rPr>
          <w:rFonts w:hint="eastAsia" w:ascii="宋体" w:hAnsi="宋体" w:eastAsia="宋体" w:cs="宋体"/>
          <w:color w:val="auto"/>
          <w:highlight w:val="none"/>
        </w:rPr>
      </w:pPr>
    </w:p>
    <w:p>
      <w:pPr>
        <w:tabs>
          <w:tab w:val="left" w:pos="4320"/>
        </w:tabs>
        <w:rPr>
          <w:rFonts w:hint="eastAsia" w:ascii="宋体" w:hAnsi="宋体" w:eastAsia="宋体" w:cs="宋体"/>
          <w:color w:val="auto"/>
          <w:highlight w:val="none"/>
        </w:rPr>
      </w:pPr>
    </w:p>
    <w:p>
      <w:pPr>
        <w:rPr>
          <w:rFonts w:hint="eastAsia" w:ascii="宋体" w:hAnsi="宋体" w:eastAsia="宋体" w:cs="宋体"/>
          <w:color w:val="auto"/>
          <w:highlight w:val="none"/>
        </w:rPr>
      </w:pPr>
      <w:bookmarkStart w:id="94" w:name="_Toc496161873"/>
      <w:bookmarkStart w:id="95" w:name="_Toc118018365"/>
      <w:r>
        <w:rPr>
          <w:rFonts w:hint="eastAsia" w:ascii="宋体" w:hAnsi="宋体" w:eastAsia="宋体" w:cs="宋体"/>
          <w:color w:val="auto"/>
          <w:highlight w:val="none"/>
        </w:rPr>
        <w:br w:type="page"/>
      </w:r>
      <w:bookmarkStart w:id="96" w:name="_Toc476177432"/>
      <w:bookmarkStart w:id="97" w:name="_Toc476177991"/>
      <w:bookmarkStart w:id="98" w:name="_Toc455417783"/>
    </w:p>
    <w:p>
      <w:pPr>
        <w:pStyle w:val="6"/>
        <w:numPr>
          <w:ilvl w:val="0"/>
          <w:numId w:val="0"/>
        </w:numPr>
        <w:ind w:left="422"/>
        <w:rPr>
          <w:rFonts w:hint="eastAsia" w:ascii="宋体" w:hAnsi="宋体" w:eastAsia="宋体" w:cs="宋体"/>
          <w:b w:val="0"/>
          <w:bCs/>
          <w:color w:val="auto"/>
          <w:highlight w:val="none"/>
        </w:rPr>
      </w:pPr>
      <w:bookmarkStart w:id="99" w:name="_Toc477186330"/>
      <w:bookmarkStart w:id="100" w:name="_Toc477185969"/>
      <w:r>
        <w:rPr>
          <w:rFonts w:hint="eastAsia" w:ascii="宋体" w:hAnsi="宋体" w:eastAsia="宋体" w:cs="宋体"/>
          <w:b w:val="0"/>
          <w:bCs/>
          <w:color w:val="auto"/>
          <w:highlight w:val="none"/>
        </w:rPr>
        <w:t>（2）法定代表人证明书</w:t>
      </w:r>
      <w:bookmarkEnd w:id="94"/>
      <w:r>
        <w:rPr>
          <w:rFonts w:hint="eastAsia" w:ascii="宋体" w:hAnsi="宋体" w:eastAsia="宋体" w:cs="宋体"/>
          <w:b w:val="0"/>
          <w:bCs/>
          <w:color w:val="auto"/>
          <w:highlight w:val="none"/>
        </w:rPr>
        <w:t>及法定代表人授权书</w:t>
      </w:r>
      <w:bookmarkEnd w:id="95"/>
      <w:bookmarkEnd w:id="96"/>
      <w:bookmarkEnd w:id="97"/>
      <w:bookmarkEnd w:id="98"/>
      <w:bookmarkEnd w:id="99"/>
      <w:bookmarkEnd w:id="100"/>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（投标人可使用下述格式，也可使用广东省工商行政管理局统一印制的法定代表人证明书格式）</w:t>
      </w: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法定代表人证明书</w:t>
      </w:r>
    </w:p>
    <w:p>
      <w:pPr>
        <w:spacing w:line="360" w:lineRule="auto"/>
        <w:rPr>
          <w:rFonts w:hint="eastAsia" w:ascii="宋体" w:hAnsi="宋体" w:eastAsia="宋体" w:cs="宋体"/>
          <w:bCs/>
          <w:color w:val="auto"/>
          <w:szCs w:val="21"/>
          <w:highlight w:val="none"/>
          <w:u w:val="single"/>
        </w:rPr>
      </w:pPr>
    </w:p>
    <w:p>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u w:val="single"/>
        </w:rPr>
        <w:t>（姓名）</w:t>
      </w:r>
      <w:r>
        <w:rPr>
          <w:rFonts w:hint="eastAsia" w:ascii="宋体" w:hAnsi="宋体" w:eastAsia="宋体" w:cs="宋体"/>
          <w:bCs/>
          <w:color w:val="auto"/>
          <w:szCs w:val="21"/>
          <w:highlight w:val="none"/>
        </w:rPr>
        <w:t>现任我单位</w:t>
      </w:r>
      <w:r>
        <w:rPr>
          <w:rFonts w:hint="eastAsia" w:ascii="宋体" w:hAnsi="宋体" w:eastAsia="宋体" w:cs="宋体"/>
          <w:bCs/>
          <w:color w:val="auto"/>
          <w:szCs w:val="21"/>
          <w:highlight w:val="none"/>
          <w:u w:val="single"/>
        </w:rPr>
        <w:t>（职务）</w:t>
      </w:r>
      <w:r>
        <w:rPr>
          <w:rFonts w:hint="eastAsia" w:ascii="宋体" w:hAnsi="宋体" w:eastAsia="宋体" w:cs="宋体"/>
          <w:bCs/>
          <w:color w:val="auto"/>
          <w:szCs w:val="21"/>
          <w:highlight w:val="none"/>
        </w:rPr>
        <w:t>，为我司</w:t>
      </w:r>
      <w:r>
        <w:rPr>
          <w:rFonts w:hint="eastAsia" w:ascii="宋体" w:hAnsi="宋体" w:eastAsia="宋体" w:cs="宋体"/>
          <w:bCs/>
          <w:color w:val="auto"/>
          <w:szCs w:val="21"/>
          <w:highlight w:val="none"/>
          <w:u w:val="single"/>
        </w:rPr>
        <w:t>（单位名称）</w:t>
      </w:r>
      <w:r>
        <w:rPr>
          <w:rFonts w:hint="eastAsia" w:ascii="宋体" w:hAnsi="宋体" w:eastAsia="宋体" w:cs="宋体"/>
          <w:bCs/>
          <w:color w:val="auto"/>
          <w:szCs w:val="21"/>
          <w:highlight w:val="none"/>
        </w:rPr>
        <w:t>法定代表人，特此证明。</w:t>
      </w:r>
    </w:p>
    <w:p>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有效期限：</w:t>
      </w:r>
    </w:p>
    <w:p>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附：代表人性别：年龄：身份证号码：___________________________</w:t>
      </w:r>
    </w:p>
    <w:p>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企业注册号码：企业类型：_____________________________________ </w:t>
      </w:r>
    </w:p>
    <w:p>
      <w:pPr>
        <w:spacing w:line="360" w:lineRule="auto"/>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经营范围：</w:t>
      </w:r>
    </w:p>
    <w:p>
      <w:pPr>
        <w:spacing w:line="360" w:lineRule="auto"/>
        <w:jc w:val="left"/>
        <w:rPr>
          <w:rFonts w:hint="eastAsia" w:ascii="宋体" w:hAnsi="宋体" w:eastAsia="宋体" w:cs="宋体"/>
          <w:b/>
          <w:color w:val="auto"/>
          <w:szCs w:val="21"/>
          <w:highlight w:val="none"/>
          <w:u w:val="single"/>
        </w:rPr>
      </w:pPr>
      <w:r>
        <w:rPr>
          <w:rFonts w:hint="eastAsia" w:ascii="宋体" w:hAnsi="宋体" w:eastAsia="宋体" w:cs="宋体"/>
          <w:bCs/>
          <w:color w:val="auto"/>
          <w:szCs w:val="21"/>
          <w:highlight w:val="none"/>
        </w:rPr>
        <w:t>______________________________________________________。</w:t>
      </w:r>
    </w:p>
    <w:p>
      <w:pPr>
        <w:spacing w:line="360" w:lineRule="auto"/>
        <w:rPr>
          <w:rFonts w:hint="eastAsia" w:ascii="宋体" w:hAnsi="宋体" w:eastAsia="宋体" w:cs="宋体"/>
          <w:b/>
          <w:color w:val="auto"/>
          <w:szCs w:val="21"/>
          <w:highlight w:val="none"/>
        </w:rPr>
      </w:pPr>
    </w:p>
    <w:p>
      <w:pPr>
        <w:pStyle w:val="28"/>
        <w:ind w:left="4700" w:leftChars="2238"/>
        <w:jc w:val="left"/>
        <w:rPr>
          <w:rFonts w:hint="eastAsia" w:ascii="宋体" w:hAnsi="宋体" w:eastAsia="宋体" w:cs="宋体"/>
          <w:color w:val="auto"/>
          <w:highlight w:val="none"/>
        </w:rPr>
      </w:pPr>
      <w:r>
        <w:rPr>
          <w:rFonts w:hint="eastAsia" w:ascii="宋体" w:hAnsi="宋体" w:eastAsia="宋体" w:cs="宋体"/>
          <w:color w:val="auto"/>
          <w:highlight w:val="none"/>
        </w:rPr>
        <w:t>投标人名称:（盖章）</w:t>
      </w:r>
    </w:p>
    <w:p>
      <w:pPr>
        <w:pStyle w:val="28"/>
        <w:ind w:left="4700" w:leftChars="2238"/>
        <w:jc w:val="left"/>
        <w:rPr>
          <w:rFonts w:hint="eastAsia" w:ascii="宋体" w:hAnsi="宋体" w:eastAsia="宋体" w:cs="宋体"/>
          <w:color w:val="auto"/>
          <w:szCs w:val="21"/>
          <w:highlight w:val="none"/>
        </w:rPr>
      </w:pPr>
      <w:r>
        <w:rPr>
          <w:rFonts w:hint="eastAsia" w:ascii="宋体" w:hAnsi="宋体" w:eastAsia="宋体" w:cs="宋体"/>
          <w:color w:val="auto"/>
          <w:highlight w:val="none"/>
        </w:rPr>
        <w:t>日期：    年   月   日</w:t>
      </w:r>
    </w:p>
    <w:p>
      <w:pPr>
        <w:rPr>
          <w:rFonts w:hint="eastAsia" w:ascii="宋体" w:hAnsi="宋体" w:eastAsia="宋体" w:cs="宋体"/>
          <w:color w:val="auto"/>
          <w:sz w:val="28"/>
          <w:szCs w:val="28"/>
          <w:highlight w:val="none"/>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10" w:hRule="atLeast"/>
        </w:trPr>
        <w:tc>
          <w:tcPr>
            <w:tcW w:w="8338" w:type="dxa"/>
            <w:noWrap w:val="0"/>
            <w:vAlign w:val="center"/>
          </w:tcPr>
          <w:p>
            <w:pPr>
              <w:jc w:val="center"/>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粘贴法定代表人身份证复印件</w:t>
            </w:r>
          </w:p>
        </w:tc>
      </w:tr>
    </w:tbl>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br w:type="page"/>
      </w:r>
    </w:p>
    <w:p>
      <w:pPr>
        <w:spacing w:line="360" w:lineRule="auto"/>
        <w:jc w:val="center"/>
        <w:rPr>
          <w:rFonts w:hint="eastAsia" w:ascii="宋体" w:hAnsi="宋体" w:eastAsia="宋体" w:cs="宋体"/>
          <w:b/>
          <w:bCs/>
          <w:color w:val="auto"/>
          <w:sz w:val="30"/>
          <w:highlight w:val="none"/>
        </w:rPr>
      </w:pPr>
      <w:r>
        <w:rPr>
          <w:rFonts w:hint="eastAsia" w:ascii="宋体" w:hAnsi="宋体" w:eastAsia="宋体" w:cs="宋体"/>
          <w:b/>
          <w:bCs/>
          <w:color w:val="auto"/>
          <w:sz w:val="30"/>
          <w:highlight w:val="none"/>
        </w:rPr>
        <w:t>法定代表人授权书</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致：</w:t>
      </w:r>
      <w:r>
        <w:rPr>
          <w:rFonts w:hint="eastAsia" w:ascii="宋体" w:hAnsi="宋体" w:eastAsia="宋体" w:cs="宋体"/>
          <w:color w:val="auto"/>
          <w:szCs w:val="21"/>
          <w:highlight w:val="none"/>
        </w:rPr>
        <w:t>广东省机电设备招标有限公司</w:t>
      </w:r>
    </w:p>
    <w:p>
      <w:pPr>
        <w:spacing w:line="360" w:lineRule="auto"/>
        <w:ind w:firstLine="630" w:firstLineChars="300"/>
        <w:rPr>
          <w:rFonts w:hint="eastAsia" w:ascii="宋体" w:hAnsi="宋体" w:eastAsia="宋体" w:cs="宋体"/>
          <w:color w:val="auto"/>
          <w:highlight w:val="none"/>
        </w:rPr>
      </w:pPr>
      <w:r>
        <w:rPr>
          <w:rFonts w:hint="eastAsia" w:ascii="宋体" w:hAnsi="宋体" w:eastAsia="宋体" w:cs="宋体"/>
          <w:color w:val="auto"/>
          <w:highlight w:val="none"/>
        </w:rPr>
        <w:t>本授权书声明：注册于</w:t>
      </w:r>
      <w:r>
        <w:rPr>
          <w:rFonts w:hint="eastAsia" w:ascii="宋体" w:hAnsi="宋体" w:eastAsia="宋体" w:cs="宋体"/>
          <w:color w:val="auto"/>
          <w:highlight w:val="none"/>
          <w:u w:val="single"/>
        </w:rPr>
        <w:t>（国家或地区）</w:t>
      </w:r>
      <w:r>
        <w:rPr>
          <w:rFonts w:hint="eastAsia" w:ascii="宋体" w:hAnsi="宋体" w:eastAsia="宋体" w:cs="宋体"/>
          <w:color w:val="auto"/>
          <w:highlight w:val="none"/>
        </w:rPr>
        <w:t>的</w:t>
      </w:r>
      <w:r>
        <w:rPr>
          <w:rFonts w:hint="eastAsia" w:ascii="宋体" w:hAnsi="宋体" w:eastAsia="宋体" w:cs="宋体"/>
          <w:color w:val="auto"/>
          <w:highlight w:val="none"/>
          <w:u w:val="single"/>
        </w:rPr>
        <w:t>（投标人名称）</w:t>
      </w:r>
      <w:r>
        <w:rPr>
          <w:rFonts w:hint="eastAsia" w:ascii="宋体" w:hAnsi="宋体" w:eastAsia="宋体" w:cs="宋体"/>
          <w:color w:val="auto"/>
          <w:highlight w:val="none"/>
        </w:rPr>
        <w:t>的在下面签字的</w:t>
      </w:r>
      <w:r>
        <w:rPr>
          <w:rFonts w:hint="eastAsia" w:ascii="宋体" w:hAnsi="宋体" w:eastAsia="宋体" w:cs="宋体"/>
          <w:color w:val="auto"/>
          <w:highlight w:val="none"/>
          <w:u w:val="single"/>
        </w:rPr>
        <w:t>（法定代表人的姓名、职务）</w:t>
      </w:r>
      <w:r>
        <w:rPr>
          <w:rFonts w:hint="eastAsia" w:ascii="宋体" w:hAnsi="宋体" w:eastAsia="宋体" w:cs="宋体"/>
          <w:color w:val="auto"/>
          <w:highlight w:val="none"/>
        </w:rPr>
        <w:t>代表本公司授权在下面签字的</w:t>
      </w:r>
      <w:r>
        <w:rPr>
          <w:rFonts w:hint="eastAsia" w:ascii="宋体" w:hAnsi="宋体" w:eastAsia="宋体" w:cs="宋体"/>
          <w:color w:val="auto"/>
          <w:highlight w:val="none"/>
          <w:u w:val="single"/>
        </w:rPr>
        <w:t>（被授权人的姓名、职务）</w:t>
      </w:r>
      <w:r>
        <w:rPr>
          <w:rFonts w:hint="eastAsia" w:ascii="宋体" w:hAnsi="宋体" w:eastAsia="宋体" w:cs="宋体"/>
          <w:color w:val="auto"/>
          <w:highlight w:val="none"/>
        </w:rPr>
        <w:t>为本公司的合法代表人，就“项目名称：</w:t>
      </w:r>
      <w:r>
        <w:rPr>
          <w:rFonts w:hint="eastAsia" w:ascii="宋体" w:hAnsi="宋体" w:eastAsia="宋体" w:cs="宋体"/>
          <w:b/>
          <w:color w:val="auto"/>
          <w:szCs w:val="21"/>
          <w:highlight w:val="none"/>
          <w:u w:val="single"/>
        </w:rPr>
        <w:t xml:space="preserve">                  </w:t>
      </w:r>
      <w:r>
        <w:rPr>
          <w:rFonts w:hint="eastAsia" w:ascii="宋体" w:hAnsi="宋体" w:eastAsia="宋体" w:cs="宋体"/>
          <w:color w:val="auto"/>
          <w:szCs w:val="21"/>
          <w:highlight w:val="none"/>
        </w:rPr>
        <w:t>【项目编号：</w:t>
      </w:r>
      <w:r>
        <w:rPr>
          <w:rFonts w:hint="eastAsia" w:ascii="宋体" w:hAnsi="宋体" w:eastAsia="宋体" w:cs="宋体"/>
          <w:b/>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highlight w:val="none"/>
        </w:rPr>
        <w:t>招标的投标和合同执行，以我方的名义处理一切与之有关的事宜。</w:t>
      </w:r>
    </w:p>
    <w:p>
      <w:pPr>
        <w:spacing w:line="276"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本授权书于 年 月 日签字生效，特此证明。</w:t>
      </w:r>
    </w:p>
    <w:p>
      <w:pPr>
        <w:spacing w:line="480" w:lineRule="auto"/>
        <w:ind w:firstLine="4740"/>
        <w:rPr>
          <w:rFonts w:hint="eastAsia" w:ascii="宋体" w:hAnsi="宋体" w:eastAsia="宋体" w:cs="宋体"/>
          <w:color w:val="auto"/>
          <w:highlight w:val="none"/>
        </w:rPr>
      </w:pPr>
      <w:r>
        <w:rPr>
          <w:rFonts w:hint="eastAsia" w:ascii="宋体" w:hAnsi="宋体" w:eastAsia="宋体" w:cs="宋体"/>
          <w:color w:val="auto"/>
          <w:highlight w:val="none"/>
        </w:rPr>
        <w:t>投标人名称:（盖章）：</w:t>
      </w:r>
    </w:p>
    <w:p>
      <w:pPr>
        <w:spacing w:line="480" w:lineRule="auto"/>
        <w:ind w:firstLine="4740"/>
        <w:rPr>
          <w:rFonts w:hint="eastAsia" w:ascii="宋体" w:hAnsi="宋体" w:eastAsia="宋体" w:cs="宋体"/>
          <w:color w:val="auto"/>
          <w:highlight w:val="none"/>
        </w:rPr>
      </w:pPr>
      <w:r>
        <w:rPr>
          <w:rFonts w:hint="eastAsia" w:ascii="宋体" w:hAnsi="宋体" w:eastAsia="宋体" w:cs="宋体"/>
          <w:color w:val="auto"/>
          <w:highlight w:val="none"/>
        </w:rPr>
        <w:t>法定代表人（签字或盖章）：</w:t>
      </w:r>
    </w:p>
    <w:p>
      <w:pPr>
        <w:spacing w:line="480" w:lineRule="auto"/>
        <w:ind w:firstLine="4740"/>
        <w:rPr>
          <w:rFonts w:hint="eastAsia" w:ascii="宋体" w:hAnsi="宋体" w:eastAsia="宋体" w:cs="宋体"/>
          <w:color w:val="auto"/>
          <w:highlight w:val="none"/>
        </w:rPr>
      </w:pPr>
      <w:r>
        <w:rPr>
          <w:rFonts w:hint="eastAsia" w:ascii="宋体" w:hAnsi="宋体" w:eastAsia="宋体" w:cs="宋体"/>
          <w:color w:val="auto"/>
          <w:highlight w:val="none"/>
        </w:rPr>
        <w:t>职务：</w:t>
      </w:r>
    </w:p>
    <w:p>
      <w:pPr>
        <w:spacing w:line="480" w:lineRule="auto"/>
        <w:ind w:firstLine="4740"/>
        <w:rPr>
          <w:rFonts w:hint="eastAsia" w:ascii="宋体" w:hAnsi="宋体" w:eastAsia="宋体" w:cs="宋体"/>
          <w:color w:val="auto"/>
          <w:highlight w:val="none"/>
        </w:rPr>
      </w:pPr>
    </w:p>
    <w:p>
      <w:pPr>
        <w:spacing w:line="480" w:lineRule="auto"/>
        <w:ind w:firstLine="4740"/>
        <w:rPr>
          <w:rFonts w:hint="eastAsia" w:ascii="宋体" w:hAnsi="宋体" w:eastAsia="宋体" w:cs="宋体"/>
          <w:color w:val="auto"/>
          <w:highlight w:val="none"/>
        </w:rPr>
      </w:pPr>
      <w:r>
        <w:rPr>
          <w:rFonts w:hint="eastAsia" w:ascii="宋体" w:hAnsi="宋体" w:eastAsia="宋体" w:cs="宋体"/>
          <w:color w:val="auto"/>
          <w:highlight w:val="none"/>
        </w:rPr>
        <w:t>被授权人（签字或盖章）：</w:t>
      </w:r>
    </w:p>
    <w:p>
      <w:pPr>
        <w:spacing w:line="480" w:lineRule="auto"/>
        <w:ind w:firstLine="4740"/>
        <w:rPr>
          <w:rFonts w:hint="eastAsia" w:ascii="宋体" w:hAnsi="宋体" w:eastAsia="宋体" w:cs="宋体"/>
          <w:color w:val="auto"/>
          <w:highlight w:val="none"/>
        </w:rPr>
      </w:pPr>
      <w:r>
        <w:rPr>
          <w:rFonts w:hint="eastAsia" w:ascii="宋体" w:hAnsi="宋体" w:eastAsia="宋体" w:cs="宋体"/>
          <w:color w:val="auto"/>
          <w:highlight w:val="none"/>
        </w:rPr>
        <w:t>被授权人身份证号码：</w:t>
      </w:r>
    </w:p>
    <w:p>
      <w:pPr>
        <w:spacing w:line="480" w:lineRule="auto"/>
        <w:ind w:firstLine="4740"/>
        <w:rPr>
          <w:rFonts w:hint="eastAsia" w:ascii="宋体" w:hAnsi="宋体" w:eastAsia="宋体" w:cs="宋体"/>
          <w:color w:val="auto"/>
          <w:highlight w:val="none"/>
        </w:rPr>
      </w:pPr>
      <w:r>
        <w:rPr>
          <w:rFonts w:hint="eastAsia" w:ascii="宋体" w:hAnsi="宋体" w:eastAsia="宋体" w:cs="宋体"/>
          <w:color w:val="auto"/>
          <w:highlight w:val="none"/>
        </w:rPr>
        <w:t>职务：</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noWrap w:val="0"/>
            <w:vAlign w:val="center"/>
          </w:tcPr>
          <w:p>
            <w:pPr>
              <w:spacing w:line="360" w:lineRule="auto"/>
              <w:jc w:val="center"/>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粘贴被授权人身份证复印件</w:t>
            </w:r>
          </w:p>
        </w:tc>
      </w:tr>
    </w:tbl>
    <w:p>
      <w:pPr>
        <w:widowControl/>
        <w:jc w:val="left"/>
        <w:rPr>
          <w:rFonts w:hint="eastAsia" w:ascii="宋体" w:hAnsi="宋体" w:eastAsia="宋体" w:cs="宋体"/>
          <w:bCs/>
          <w:color w:val="auto"/>
          <w:sz w:val="28"/>
          <w:szCs w:val="28"/>
          <w:highlight w:val="none"/>
        </w:rPr>
      </w:pPr>
      <w:r>
        <w:rPr>
          <w:rFonts w:hint="eastAsia" w:ascii="宋体" w:hAnsi="宋体" w:eastAsia="宋体" w:cs="宋体"/>
          <w:color w:val="auto"/>
          <w:highlight w:val="none"/>
        </w:rPr>
        <w:br w:type="page"/>
      </w:r>
    </w:p>
    <w:p>
      <w:pPr>
        <w:spacing w:line="480" w:lineRule="auto"/>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（3）资格声明格式</w:t>
      </w:r>
    </w:p>
    <w:p>
      <w:pPr>
        <w:spacing w:before="120"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资格声明</w:t>
      </w:r>
    </w:p>
    <w:p>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广东省机电设备招标有限公司：</w:t>
      </w:r>
    </w:p>
    <w:p>
      <w:pPr>
        <w:spacing w:line="360" w:lineRule="auto"/>
        <w:ind w:firstLine="54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下述投标人愿响应你方</w:t>
      </w:r>
      <w:r>
        <w:rPr>
          <w:rFonts w:hint="eastAsia" w:ascii="宋体" w:hAnsi="宋体" w:eastAsia="宋体" w:cs="宋体"/>
          <w:color w:val="auto"/>
          <w:szCs w:val="21"/>
          <w:highlight w:val="none"/>
          <w:u w:val="single"/>
        </w:rPr>
        <w:t>（项目编号）</w:t>
      </w:r>
      <w:r>
        <w:rPr>
          <w:rFonts w:hint="eastAsia" w:ascii="宋体" w:hAnsi="宋体" w:eastAsia="宋体" w:cs="宋体"/>
          <w:color w:val="auto"/>
          <w:szCs w:val="21"/>
          <w:highlight w:val="none"/>
        </w:rPr>
        <w:t>投标邀请，参与投标，并按招标文件要求提交所附资格文件且声明和保证如下：</w:t>
      </w:r>
    </w:p>
    <w:p>
      <w:pPr>
        <w:numPr>
          <w:ilvl w:val="0"/>
          <w:numId w:val="10"/>
        </w:numPr>
        <w:tabs>
          <w:tab w:val="left" w:pos="515"/>
        </w:tabs>
        <w:spacing w:line="360" w:lineRule="auto"/>
        <w:ind w:left="0" w:firstLine="515"/>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我方为本次投标所提交的所有证明其合格和资格的文件是真实的和正确的，并愿为其真实性和正确性承担法律责任；</w:t>
      </w:r>
    </w:p>
    <w:p>
      <w:pPr>
        <w:numPr>
          <w:ilvl w:val="0"/>
          <w:numId w:val="10"/>
        </w:numPr>
        <w:tabs>
          <w:tab w:val="left" w:pos="515"/>
        </w:tabs>
        <w:spacing w:line="360" w:lineRule="auto"/>
        <w:ind w:left="0" w:firstLine="515"/>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我方是依法注册的法人，在法律上、财务上和运作上完全独立于</w:t>
      </w:r>
      <w:r>
        <w:rPr>
          <w:rFonts w:hint="eastAsia" w:ascii="宋体" w:hAnsi="宋体" w:eastAsia="宋体" w:cs="宋体"/>
          <w:color w:val="auto"/>
          <w:szCs w:val="21"/>
          <w:highlight w:val="none"/>
          <w:u w:val="single"/>
        </w:rPr>
        <w:t>（招标人名称）</w:t>
      </w:r>
      <w:r>
        <w:rPr>
          <w:rFonts w:hint="eastAsia" w:ascii="宋体" w:hAnsi="宋体" w:eastAsia="宋体" w:cs="宋体"/>
          <w:color w:val="auto"/>
          <w:szCs w:val="21"/>
          <w:highlight w:val="none"/>
        </w:rPr>
        <w:t>及广东省机电设备招标有限公司（招标代理机构）；</w:t>
      </w:r>
    </w:p>
    <w:p>
      <w:pPr>
        <w:numPr>
          <w:ilvl w:val="0"/>
          <w:numId w:val="10"/>
        </w:numPr>
        <w:tabs>
          <w:tab w:val="left" w:pos="515"/>
        </w:tabs>
        <w:spacing w:line="360" w:lineRule="auto"/>
        <w:ind w:left="0" w:firstLine="515"/>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我方在参加本次投标前3年内，在经营活动及参与投标活动中没有重大违法活动及涉嫌违规行为，并没有因而被有关部门警告或处分的记录。</w:t>
      </w:r>
    </w:p>
    <w:p>
      <w:pPr>
        <w:numPr>
          <w:ilvl w:val="0"/>
          <w:numId w:val="10"/>
        </w:numPr>
        <w:tabs>
          <w:tab w:val="left" w:pos="515"/>
        </w:tabs>
        <w:spacing w:line="360" w:lineRule="auto"/>
        <w:ind w:left="0" w:firstLine="515"/>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我方所属的单位负责人为同一人或者存在控股、管理等关联关系的不同供应商，未参加同一合同项下的采购活动。</w:t>
      </w:r>
    </w:p>
    <w:p>
      <w:pPr>
        <w:numPr>
          <w:ilvl w:val="0"/>
          <w:numId w:val="10"/>
        </w:numPr>
        <w:tabs>
          <w:tab w:val="left" w:pos="515"/>
        </w:tabs>
        <w:spacing w:line="360" w:lineRule="auto"/>
        <w:ind w:left="0" w:firstLine="515"/>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单位地址为同一地址的不同投标人，未参与同一合同项下的采购活动。</w:t>
      </w:r>
    </w:p>
    <w:p>
      <w:pPr>
        <w:pStyle w:val="16"/>
        <w:rPr>
          <w:rFonts w:hint="eastAsia" w:ascii="宋体" w:hAnsi="宋体" w:eastAsia="宋体" w:cs="宋体"/>
          <w:color w:val="auto"/>
          <w:highlight w:val="none"/>
        </w:rPr>
      </w:pPr>
    </w:p>
    <w:p>
      <w:pPr>
        <w:spacing w:line="360" w:lineRule="auto"/>
        <w:ind w:left="540"/>
        <w:rPr>
          <w:rFonts w:hint="eastAsia" w:ascii="宋体" w:hAnsi="宋体" w:eastAsia="宋体" w:cs="宋体"/>
          <w:strike/>
          <w:color w:val="auto"/>
          <w:szCs w:val="21"/>
          <w:highlight w:val="none"/>
        </w:rPr>
      </w:pPr>
    </w:p>
    <w:p>
      <w:pPr>
        <w:spacing w:line="360" w:lineRule="auto"/>
        <w:ind w:firstLine="3990" w:firstLineChars="1900"/>
        <w:rPr>
          <w:rFonts w:hint="eastAsia" w:ascii="宋体" w:hAnsi="宋体" w:eastAsia="宋体" w:cs="宋体"/>
          <w:color w:val="auto"/>
          <w:highlight w:val="none"/>
        </w:rPr>
      </w:pPr>
      <w:r>
        <w:rPr>
          <w:rFonts w:hint="eastAsia" w:ascii="宋体" w:hAnsi="宋体" w:eastAsia="宋体" w:cs="宋体"/>
          <w:color w:val="auto"/>
          <w:highlight w:val="none"/>
        </w:rPr>
        <w:t>投标人名称:（盖章）</w:t>
      </w:r>
    </w:p>
    <w:p>
      <w:pPr>
        <w:spacing w:line="360" w:lineRule="auto"/>
        <w:ind w:firstLine="3990" w:firstLineChars="1900"/>
        <w:rPr>
          <w:rFonts w:hint="eastAsia" w:ascii="宋体" w:hAnsi="宋体" w:eastAsia="宋体" w:cs="宋体"/>
          <w:color w:val="auto"/>
          <w:highlight w:val="none"/>
        </w:rPr>
      </w:pPr>
      <w:r>
        <w:rPr>
          <w:rFonts w:hint="eastAsia" w:ascii="宋体" w:hAnsi="宋体" w:eastAsia="宋体" w:cs="宋体"/>
          <w:color w:val="auto"/>
          <w:highlight w:val="none"/>
        </w:rPr>
        <w:t>投标人法定代表人或其授权代表（签名或盖章）：</w:t>
      </w:r>
    </w:p>
    <w:p>
      <w:pPr>
        <w:spacing w:line="360" w:lineRule="auto"/>
        <w:ind w:firstLine="3990" w:firstLineChars="1900"/>
        <w:rPr>
          <w:rFonts w:hint="eastAsia" w:ascii="宋体" w:hAnsi="宋体" w:eastAsia="宋体" w:cs="宋体"/>
          <w:color w:val="auto"/>
          <w:highlight w:val="none"/>
        </w:rPr>
      </w:pPr>
      <w:r>
        <w:rPr>
          <w:rFonts w:hint="eastAsia" w:ascii="宋体" w:hAnsi="宋体" w:eastAsia="宋体" w:cs="宋体"/>
          <w:color w:val="auto"/>
          <w:highlight w:val="none"/>
        </w:rPr>
        <w:t>日期：    年   月   日</w:t>
      </w:r>
    </w:p>
    <w:p>
      <w:pPr>
        <w:spacing w:line="480" w:lineRule="auto"/>
        <w:ind w:firstLine="3990" w:firstLineChars="1900"/>
        <w:rPr>
          <w:rFonts w:hint="eastAsia" w:ascii="宋体" w:hAnsi="宋体" w:eastAsia="宋体" w:cs="宋体"/>
          <w:color w:val="auto"/>
          <w:highlight w:val="none"/>
          <w:u w:val="single"/>
        </w:rPr>
      </w:pPr>
    </w:p>
    <w:p>
      <w:pPr>
        <w:pStyle w:val="9"/>
        <w:spacing w:before="0" w:after="0" w:line="360" w:lineRule="auto"/>
        <w:ind w:left="0" w:firstLine="0"/>
        <w:rPr>
          <w:rFonts w:hint="eastAsia" w:ascii="宋体" w:hAnsi="宋体" w:eastAsia="宋体" w:cs="宋体"/>
          <w:b w:val="0"/>
          <w:bCs/>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val="0"/>
          <w:bCs/>
          <w:color w:val="auto"/>
          <w:szCs w:val="28"/>
          <w:highlight w:val="none"/>
        </w:rPr>
        <w:t>（4）其他资格证明材料</w:t>
      </w:r>
    </w:p>
    <w:p>
      <w:pPr>
        <w:spacing w:line="480" w:lineRule="auto"/>
        <w:rPr>
          <w:rFonts w:hint="eastAsia" w:ascii="宋体" w:hAnsi="宋体" w:eastAsia="宋体" w:cs="宋体"/>
          <w:color w:val="auto"/>
          <w:highlight w:val="none"/>
        </w:rPr>
      </w:pPr>
      <w:r>
        <w:rPr>
          <w:rFonts w:hint="eastAsia" w:ascii="宋体" w:hAnsi="宋体" w:eastAsia="宋体" w:cs="宋体"/>
          <w:color w:val="auto"/>
          <w:highlight w:val="none"/>
        </w:rPr>
        <w:t>根据合格投标人资格条件提供证明材料</w:t>
      </w:r>
    </w:p>
    <w:p>
      <w:pPr>
        <w:adjustRightInd w:val="0"/>
        <w:snapToGrid w:val="0"/>
        <w:spacing w:line="360" w:lineRule="auto"/>
        <w:rPr>
          <w:rFonts w:hint="eastAsia" w:ascii="宋体" w:hAnsi="宋体" w:eastAsia="宋体" w:cs="宋体"/>
          <w:color w:val="auto"/>
          <w:szCs w:val="21"/>
          <w:highlight w:val="none"/>
        </w:rPr>
      </w:pPr>
    </w:p>
    <w:p>
      <w:pPr>
        <w:spacing w:line="360" w:lineRule="auto"/>
        <w:rPr>
          <w:rFonts w:hint="eastAsia" w:ascii="宋体" w:hAnsi="宋体" w:eastAsia="宋体" w:cs="宋体"/>
          <w:i/>
          <w:color w:val="auto"/>
          <w:highlight w:val="none"/>
        </w:rPr>
      </w:pPr>
    </w:p>
    <w:p>
      <w:pPr>
        <w:pStyle w:val="8"/>
        <w:spacing w:before="0" w:after="0"/>
        <w:ind w:left="0" w:firstLine="0"/>
        <w:rPr>
          <w:rFonts w:hint="eastAsia" w:ascii="宋体" w:hAnsi="宋体" w:eastAsia="宋体" w:cs="宋体"/>
          <w:bCs/>
          <w:color w:val="auto"/>
          <w:szCs w:val="21"/>
          <w:highlight w:val="none"/>
        </w:rPr>
      </w:pPr>
      <w:r>
        <w:rPr>
          <w:rFonts w:hint="eastAsia" w:ascii="宋体" w:hAnsi="宋体" w:eastAsia="宋体" w:cs="宋体"/>
          <w:b w:val="0"/>
          <w:color w:val="auto"/>
          <w:sz w:val="24"/>
          <w:highlight w:val="none"/>
        </w:rPr>
        <w:br w:type="page"/>
      </w:r>
      <w:r>
        <w:rPr>
          <w:rFonts w:hint="eastAsia" w:ascii="宋体" w:hAnsi="宋体" w:eastAsia="宋体" w:cs="宋体"/>
          <w:bCs/>
          <w:color w:val="auto"/>
          <w:szCs w:val="21"/>
          <w:highlight w:val="none"/>
        </w:rPr>
        <w:t>五、商务文件格式</w:t>
      </w:r>
    </w:p>
    <w:p>
      <w:pPr>
        <w:pStyle w:val="8"/>
        <w:spacing w:before="0" w:after="0"/>
        <w:ind w:left="0" w:firstLine="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（一）企业状况</w:t>
      </w:r>
    </w:p>
    <w:p>
      <w:pPr>
        <w:pStyle w:val="9"/>
        <w:spacing w:before="0" w:after="0" w:line="360" w:lineRule="auto"/>
        <w:ind w:left="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（1）企业基本情况介绍</w:t>
      </w:r>
    </w:p>
    <w:tbl>
      <w:tblPr>
        <w:tblStyle w:val="54"/>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联系方式</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网 址</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32"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5531" w:type="dxa"/>
            <w:gridSpan w:val="7"/>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企业资质等级</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（如有）</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1、各类注册人员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2、高级职称人员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3、中级职称人员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实缴资金（资本）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4、初级职称人员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1-4人员合计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委托代理人姓名</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eastAsia="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   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固定电话</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eastAsia="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手   机</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eastAsia="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   箱</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noWrap w:val="0"/>
            <w:vAlign w:val="center"/>
          </w:tcPr>
          <w:p>
            <w:pPr>
              <w:topLinePunct/>
              <w:snapToGrid w:val="0"/>
              <w:spacing w:line="360" w:lineRule="auto"/>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后附证明文件</w:t>
            </w:r>
          </w:p>
        </w:tc>
        <w:tc>
          <w:tcPr>
            <w:tcW w:w="7691" w:type="dxa"/>
            <w:gridSpan w:val="9"/>
            <w:tcBorders>
              <w:top w:val="single" w:color="auto" w:sz="4" w:space="0"/>
              <w:left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1、投标人介绍；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rPr>
            </w:pPr>
          </w:p>
        </w:tc>
      </w:tr>
    </w:tbl>
    <w:p>
      <w:pPr>
        <w:pStyle w:val="9"/>
        <w:spacing w:line="360" w:lineRule="auto"/>
        <w:ind w:left="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（2）企业类似项目业绩证明材料</w:t>
      </w:r>
    </w:p>
    <w:p>
      <w:pPr>
        <w:spacing w:line="360" w:lineRule="auto"/>
        <w:jc w:val="center"/>
        <w:rPr>
          <w:rFonts w:hint="eastAsia" w:ascii="宋体" w:hAnsi="宋体" w:eastAsia="宋体" w:cs="宋体"/>
          <w:b/>
          <w:bCs/>
          <w:color w:val="auto"/>
          <w:spacing w:val="20"/>
          <w:sz w:val="30"/>
          <w:szCs w:val="30"/>
          <w:highlight w:val="none"/>
        </w:rPr>
      </w:pPr>
      <w:r>
        <w:rPr>
          <w:rFonts w:hint="eastAsia" w:ascii="宋体" w:hAnsi="宋体" w:eastAsia="宋体" w:cs="宋体"/>
          <w:b/>
          <w:bCs/>
          <w:color w:val="auto"/>
          <w:spacing w:val="20"/>
          <w:sz w:val="30"/>
          <w:szCs w:val="30"/>
          <w:highlight w:val="none"/>
        </w:rPr>
        <w:t>业绩表</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712"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1742"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合同金额（万元）</w:t>
            </w:r>
          </w:p>
        </w:tc>
        <w:tc>
          <w:tcPr>
            <w:tcW w:w="1740"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合同签订时间</w:t>
            </w:r>
          </w:p>
        </w:tc>
        <w:tc>
          <w:tcPr>
            <w:tcW w:w="1419"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w:t>
            </w:r>
          </w:p>
        </w:tc>
        <w:tc>
          <w:tcPr>
            <w:tcW w:w="2062"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eastAsia="宋体" w:cs="宋体"/>
                <w:color w:val="auto"/>
                <w:szCs w:val="21"/>
                <w:highlight w:val="none"/>
              </w:rPr>
            </w:pPr>
          </w:p>
        </w:tc>
        <w:tc>
          <w:tcPr>
            <w:tcW w:w="1712" w:type="dxa"/>
            <w:noWrap w:val="0"/>
            <w:vAlign w:val="top"/>
          </w:tcPr>
          <w:p>
            <w:pPr>
              <w:spacing w:line="360" w:lineRule="auto"/>
              <w:rPr>
                <w:rFonts w:hint="eastAsia" w:ascii="宋体" w:hAnsi="宋体" w:eastAsia="宋体" w:cs="宋体"/>
                <w:color w:val="auto"/>
                <w:szCs w:val="21"/>
                <w:highlight w:val="none"/>
              </w:rPr>
            </w:pPr>
          </w:p>
        </w:tc>
        <w:tc>
          <w:tcPr>
            <w:tcW w:w="1742" w:type="dxa"/>
            <w:noWrap w:val="0"/>
            <w:vAlign w:val="top"/>
          </w:tcPr>
          <w:p>
            <w:pPr>
              <w:spacing w:line="360" w:lineRule="auto"/>
              <w:rPr>
                <w:rFonts w:hint="eastAsia" w:ascii="宋体" w:hAnsi="宋体" w:eastAsia="宋体" w:cs="宋体"/>
                <w:color w:val="auto"/>
                <w:szCs w:val="21"/>
                <w:highlight w:val="none"/>
              </w:rPr>
            </w:pPr>
          </w:p>
        </w:tc>
        <w:tc>
          <w:tcPr>
            <w:tcW w:w="1740" w:type="dxa"/>
            <w:noWrap w:val="0"/>
            <w:vAlign w:val="top"/>
          </w:tcPr>
          <w:p>
            <w:pPr>
              <w:spacing w:line="360" w:lineRule="auto"/>
              <w:rPr>
                <w:rFonts w:hint="eastAsia" w:ascii="宋体" w:hAnsi="宋体" w:eastAsia="宋体" w:cs="宋体"/>
                <w:color w:val="auto"/>
                <w:szCs w:val="21"/>
                <w:highlight w:val="none"/>
              </w:rPr>
            </w:pPr>
          </w:p>
        </w:tc>
        <w:tc>
          <w:tcPr>
            <w:tcW w:w="1419" w:type="dxa"/>
            <w:noWrap w:val="0"/>
            <w:vAlign w:val="top"/>
          </w:tcPr>
          <w:p>
            <w:pPr>
              <w:spacing w:line="360" w:lineRule="auto"/>
              <w:rPr>
                <w:rFonts w:hint="eastAsia" w:ascii="宋体" w:hAnsi="宋体" w:eastAsia="宋体" w:cs="宋体"/>
                <w:color w:val="auto"/>
                <w:szCs w:val="21"/>
                <w:highlight w:val="none"/>
              </w:rPr>
            </w:pPr>
          </w:p>
        </w:tc>
        <w:tc>
          <w:tcPr>
            <w:tcW w:w="2062"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eastAsia="宋体" w:cs="宋体"/>
                <w:color w:val="auto"/>
                <w:szCs w:val="21"/>
                <w:highlight w:val="none"/>
              </w:rPr>
            </w:pPr>
          </w:p>
        </w:tc>
        <w:tc>
          <w:tcPr>
            <w:tcW w:w="1712" w:type="dxa"/>
            <w:noWrap w:val="0"/>
            <w:vAlign w:val="top"/>
          </w:tcPr>
          <w:p>
            <w:pPr>
              <w:spacing w:line="360" w:lineRule="auto"/>
              <w:rPr>
                <w:rFonts w:hint="eastAsia" w:ascii="宋体" w:hAnsi="宋体" w:eastAsia="宋体" w:cs="宋体"/>
                <w:color w:val="auto"/>
                <w:szCs w:val="21"/>
                <w:highlight w:val="none"/>
              </w:rPr>
            </w:pPr>
          </w:p>
        </w:tc>
        <w:tc>
          <w:tcPr>
            <w:tcW w:w="1742" w:type="dxa"/>
            <w:noWrap w:val="0"/>
            <w:vAlign w:val="top"/>
          </w:tcPr>
          <w:p>
            <w:pPr>
              <w:spacing w:line="360" w:lineRule="auto"/>
              <w:rPr>
                <w:rFonts w:hint="eastAsia" w:ascii="宋体" w:hAnsi="宋体" w:eastAsia="宋体" w:cs="宋体"/>
                <w:color w:val="auto"/>
                <w:szCs w:val="21"/>
                <w:highlight w:val="none"/>
              </w:rPr>
            </w:pPr>
          </w:p>
        </w:tc>
        <w:tc>
          <w:tcPr>
            <w:tcW w:w="1740" w:type="dxa"/>
            <w:noWrap w:val="0"/>
            <w:vAlign w:val="top"/>
          </w:tcPr>
          <w:p>
            <w:pPr>
              <w:spacing w:line="360" w:lineRule="auto"/>
              <w:rPr>
                <w:rFonts w:hint="eastAsia" w:ascii="宋体" w:hAnsi="宋体" w:eastAsia="宋体" w:cs="宋体"/>
                <w:color w:val="auto"/>
                <w:szCs w:val="21"/>
                <w:highlight w:val="none"/>
              </w:rPr>
            </w:pPr>
          </w:p>
        </w:tc>
        <w:tc>
          <w:tcPr>
            <w:tcW w:w="1419" w:type="dxa"/>
            <w:noWrap w:val="0"/>
            <w:vAlign w:val="top"/>
          </w:tcPr>
          <w:p>
            <w:pPr>
              <w:spacing w:line="360" w:lineRule="auto"/>
              <w:rPr>
                <w:rFonts w:hint="eastAsia" w:ascii="宋体" w:hAnsi="宋体" w:eastAsia="宋体" w:cs="宋体"/>
                <w:color w:val="auto"/>
                <w:szCs w:val="21"/>
                <w:highlight w:val="none"/>
              </w:rPr>
            </w:pPr>
          </w:p>
        </w:tc>
        <w:tc>
          <w:tcPr>
            <w:tcW w:w="2062"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eastAsia="宋体" w:cs="宋体"/>
                <w:color w:val="auto"/>
                <w:szCs w:val="21"/>
                <w:highlight w:val="none"/>
              </w:rPr>
            </w:pPr>
          </w:p>
        </w:tc>
        <w:tc>
          <w:tcPr>
            <w:tcW w:w="1712" w:type="dxa"/>
            <w:noWrap w:val="0"/>
            <w:vAlign w:val="top"/>
          </w:tcPr>
          <w:p>
            <w:pPr>
              <w:spacing w:line="360" w:lineRule="auto"/>
              <w:rPr>
                <w:rFonts w:hint="eastAsia" w:ascii="宋体" w:hAnsi="宋体" w:eastAsia="宋体" w:cs="宋体"/>
                <w:color w:val="auto"/>
                <w:szCs w:val="21"/>
                <w:highlight w:val="none"/>
              </w:rPr>
            </w:pPr>
          </w:p>
        </w:tc>
        <w:tc>
          <w:tcPr>
            <w:tcW w:w="1742" w:type="dxa"/>
            <w:noWrap w:val="0"/>
            <w:vAlign w:val="top"/>
          </w:tcPr>
          <w:p>
            <w:pPr>
              <w:spacing w:line="360" w:lineRule="auto"/>
              <w:rPr>
                <w:rFonts w:hint="eastAsia" w:ascii="宋体" w:hAnsi="宋体" w:eastAsia="宋体" w:cs="宋体"/>
                <w:color w:val="auto"/>
                <w:szCs w:val="21"/>
                <w:highlight w:val="none"/>
              </w:rPr>
            </w:pPr>
          </w:p>
        </w:tc>
        <w:tc>
          <w:tcPr>
            <w:tcW w:w="1740" w:type="dxa"/>
            <w:noWrap w:val="0"/>
            <w:vAlign w:val="top"/>
          </w:tcPr>
          <w:p>
            <w:pPr>
              <w:spacing w:line="360" w:lineRule="auto"/>
              <w:rPr>
                <w:rFonts w:hint="eastAsia" w:ascii="宋体" w:hAnsi="宋体" w:eastAsia="宋体" w:cs="宋体"/>
                <w:color w:val="auto"/>
                <w:szCs w:val="21"/>
                <w:highlight w:val="none"/>
              </w:rPr>
            </w:pPr>
          </w:p>
        </w:tc>
        <w:tc>
          <w:tcPr>
            <w:tcW w:w="1419" w:type="dxa"/>
            <w:noWrap w:val="0"/>
            <w:vAlign w:val="top"/>
          </w:tcPr>
          <w:p>
            <w:pPr>
              <w:spacing w:line="360" w:lineRule="auto"/>
              <w:rPr>
                <w:rFonts w:hint="eastAsia" w:ascii="宋体" w:hAnsi="宋体" w:eastAsia="宋体" w:cs="宋体"/>
                <w:color w:val="auto"/>
                <w:szCs w:val="21"/>
                <w:highlight w:val="none"/>
              </w:rPr>
            </w:pPr>
          </w:p>
        </w:tc>
        <w:tc>
          <w:tcPr>
            <w:tcW w:w="2062"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eastAsia="宋体" w:cs="宋体"/>
                <w:color w:val="auto"/>
                <w:szCs w:val="21"/>
                <w:highlight w:val="none"/>
              </w:rPr>
            </w:pPr>
          </w:p>
        </w:tc>
        <w:tc>
          <w:tcPr>
            <w:tcW w:w="1712" w:type="dxa"/>
            <w:noWrap w:val="0"/>
            <w:vAlign w:val="top"/>
          </w:tcPr>
          <w:p>
            <w:pPr>
              <w:spacing w:line="360" w:lineRule="auto"/>
              <w:rPr>
                <w:rFonts w:hint="eastAsia" w:ascii="宋体" w:hAnsi="宋体" w:eastAsia="宋体" w:cs="宋体"/>
                <w:color w:val="auto"/>
                <w:szCs w:val="21"/>
                <w:highlight w:val="none"/>
              </w:rPr>
            </w:pPr>
          </w:p>
        </w:tc>
        <w:tc>
          <w:tcPr>
            <w:tcW w:w="1742" w:type="dxa"/>
            <w:noWrap w:val="0"/>
            <w:vAlign w:val="top"/>
          </w:tcPr>
          <w:p>
            <w:pPr>
              <w:spacing w:line="360" w:lineRule="auto"/>
              <w:rPr>
                <w:rFonts w:hint="eastAsia" w:ascii="宋体" w:hAnsi="宋体" w:eastAsia="宋体" w:cs="宋体"/>
                <w:color w:val="auto"/>
                <w:szCs w:val="21"/>
                <w:highlight w:val="none"/>
              </w:rPr>
            </w:pPr>
          </w:p>
        </w:tc>
        <w:tc>
          <w:tcPr>
            <w:tcW w:w="1740" w:type="dxa"/>
            <w:noWrap w:val="0"/>
            <w:vAlign w:val="top"/>
          </w:tcPr>
          <w:p>
            <w:pPr>
              <w:spacing w:line="360" w:lineRule="auto"/>
              <w:rPr>
                <w:rFonts w:hint="eastAsia" w:ascii="宋体" w:hAnsi="宋体" w:eastAsia="宋体" w:cs="宋体"/>
                <w:color w:val="auto"/>
                <w:szCs w:val="21"/>
                <w:highlight w:val="none"/>
              </w:rPr>
            </w:pPr>
          </w:p>
        </w:tc>
        <w:tc>
          <w:tcPr>
            <w:tcW w:w="1419" w:type="dxa"/>
            <w:noWrap w:val="0"/>
            <w:vAlign w:val="top"/>
          </w:tcPr>
          <w:p>
            <w:pPr>
              <w:spacing w:line="360" w:lineRule="auto"/>
              <w:rPr>
                <w:rFonts w:hint="eastAsia" w:ascii="宋体" w:hAnsi="宋体" w:eastAsia="宋体" w:cs="宋体"/>
                <w:color w:val="auto"/>
                <w:szCs w:val="21"/>
                <w:highlight w:val="none"/>
              </w:rPr>
            </w:pPr>
          </w:p>
        </w:tc>
        <w:tc>
          <w:tcPr>
            <w:tcW w:w="2062"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eastAsia="宋体" w:cs="宋体"/>
                <w:color w:val="auto"/>
                <w:szCs w:val="21"/>
                <w:highlight w:val="none"/>
              </w:rPr>
            </w:pPr>
          </w:p>
        </w:tc>
        <w:tc>
          <w:tcPr>
            <w:tcW w:w="1712" w:type="dxa"/>
            <w:noWrap w:val="0"/>
            <w:vAlign w:val="top"/>
          </w:tcPr>
          <w:p>
            <w:pPr>
              <w:spacing w:line="360" w:lineRule="auto"/>
              <w:rPr>
                <w:rFonts w:hint="eastAsia" w:ascii="宋体" w:hAnsi="宋体" w:eastAsia="宋体" w:cs="宋体"/>
                <w:color w:val="auto"/>
                <w:szCs w:val="21"/>
                <w:highlight w:val="none"/>
              </w:rPr>
            </w:pPr>
          </w:p>
        </w:tc>
        <w:tc>
          <w:tcPr>
            <w:tcW w:w="1742" w:type="dxa"/>
            <w:noWrap w:val="0"/>
            <w:vAlign w:val="top"/>
          </w:tcPr>
          <w:p>
            <w:pPr>
              <w:spacing w:line="360" w:lineRule="auto"/>
              <w:rPr>
                <w:rFonts w:hint="eastAsia" w:ascii="宋体" w:hAnsi="宋体" w:eastAsia="宋体" w:cs="宋体"/>
                <w:color w:val="auto"/>
                <w:szCs w:val="21"/>
                <w:highlight w:val="none"/>
              </w:rPr>
            </w:pPr>
          </w:p>
        </w:tc>
        <w:tc>
          <w:tcPr>
            <w:tcW w:w="1740" w:type="dxa"/>
            <w:noWrap w:val="0"/>
            <w:vAlign w:val="top"/>
          </w:tcPr>
          <w:p>
            <w:pPr>
              <w:spacing w:line="360" w:lineRule="auto"/>
              <w:rPr>
                <w:rFonts w:hint="eastAsia" w:ascii="宋体" w:hAnsi="宋体" w:eastAsia="宋体" w:cs="宋体"/>
                <w:color w:val="auto"/>
                <w:szCs w:val="21"/>
                <w:highlight w:val="none"/>
              </w:rPr>
            </w:pPr>
          </w:p>
        </w:tc>
        <w:tc>
          <w:tcPr>
            <w:tcW w:w="1419" w:type="dxa"/>
            <w:noWrap w:val="0"/>
            <w:vAlign w:val="top"/>
          </w:tcPr>
          <w:p>
            <w:pPr>
              <w:spacing w:line="360" w:lineRule="auto"/>
              <w:rPr>
                <w:rFonts w:hint="eastAsia" w:ascii="宋体" w:hAnsi="宋体" w:eastAsia="宋体" w:cs="宋体"/>
                <w:color w:val="auto"/>
                <w:szCs w:val="21"/>
                <w:highlight w:val="none"/>
              </w:rPr>
            </w:pPr>
          </w:p>
        </w:tc>
        <w:tc>
          <w:tcPr>
            <w:tcW w:w="2062" w:type="dxa"/>
            <w:noWrap w:val="0"/>
            <w:vAlign w:val="top"/>
          </w:tcPr>
          <w:p>
            <w:pPr>
              <w:spacing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eastAsia="宋体" w:cs="宋体"/>
                <w:color w:val="auto"/>
                <w:szCs w:val="21"/>
                <w:highlight w:val="none"/>
              </w:rPr>
            </w:pPr>
          </w:p>
        </w:tc>
        <w:tc>
          <w:tcPr>
            <w:tcW w:w="1712" w:type="dxa"/>
            <w:noWrap w:val="0"/>
            <w:vAlign w:val="top"/>
          </w:tcPr>
          <w:p>
            <w:pPr>
              <w:spacing w:line="360" w:lineRule="auto"/>
              <w:rPr>
                <w:rFonts w:hint="eastAsia" w:ascii="宋体" w:hAnsi="宋体" w:eastAsia="宋体" w:cs="宋体"/>
                <w:color w:val="auto"/>
                <w:szCs w:val="21"/>
                <w:highlight w:val="none"/>
              </w:rPr>
            </w:pPr>
          </w:p>
        </w:tc>
        <w:tc>
          <w:tcPr>
            <w:tcW w:w="1742" w:type="dxa"/>
            <w:noWrap w:val="0"/>
            <w:vAlign w:val="top"/>
          </w:tcPr>
          <w:p>
            <w:pPr>
              <w:spacing w:line="360" w:lineRule="auto"/>
              <w:rPr>
                <w:rFonts w:hint="eastAsia" w:ascii="宋体" w:hAnsi="宋体" w:eastAsia="宋体" w:cs="宋体"/>
                <w:color w:val="auto"/>
                <w:szCs w:val="21"/>
                <w:highlight w:val="none"/>
              </w:rPr>
            </w:pPr>
          </w:p>
        </w:tc>
        <w:tc>
          <w:tcPr>
            <w:tcW w:w="1740" w:type="dxa"/>
            <w:noWrap w:val="0"/>
            <w:vAlign w:val="top"/>
          </w:tcPr>
          <w:p>
            <w:pPr>
              <w:spacing w:line="360" w:lineRule="auto"/>
              <w:rPr>
                <w:rFonts w:hint="eastAsia" w:ascii="宋体" w:hAnsi="宋体" w:eastAsia="宋体" w:cs="宋体"/>
                <w:color w:val="auto"/>
                <w:szCs w:val="21"/>
                <w:highlight w:val="none"/>
              </w:rPr>
            </w:pPr>
          </w:p>
        </w:tc>
        <w:tc>
          <w:tcPr>
            <w:tcW w:w="1419" w:type="dxa"/>
            <w:noWrap w:val="0"/>
            <w:vAlign w:val="top"/>
          </w:tcPr>
          <w:p>
            <w:pPr>
              <w:spacing w:line="360" w:lineRule="auto"/>
              <w:rPr>
                <w:rFonts w:hint="eastAsia" w:ascii="宋体" w:hAnsi="宋体" w:eastAsia="宋体" w:cs="宋体"/>
                <w:color w:val="auto"/>
                <w:szCs w:val="21"/>
                <w:highlight w:val="none"/>
              </w:rPr>
            </w:pPr>
          </w:p>
        </w:tc>
        <w:tc>
          <w:tcPr>
            <w:tcW w:w="2062" w:type="dxa"/>
            <w:noWrap w:val="0"/>
            <w:vAlign w:val="top"/>
          </w:tcPr>
          <w:p>
            <w:pPr>
              <w:spacing w:line="360" w:lineRule="auto"/>
              <w:rPr>
                <w:rFonts w:hint="eastAsia" w:ascii="宋体" w:hAnsi="宋体" w:eastAsia="宋体" w:cs="宋体"/>
                <w:color w:val="auto"/>
                <w:szCs w:val="21"/>
                <w:highlight w:val="none"/>
              </w:rPr>
            </w:pPr>
          </w:p>
        </w:tc>
      </w:tr>
    </w:tbl>
    <w:p>
      <w:pPr>
        <w:tabs>
          <w:tab w:val="left" w:pos="900"/>
          <w:tab w:val="left" w:pos="1080"/>
        </w:tabs>
        <w:spacing w:line="360" w:lineRule="auto"/>
        <w:rPr>
          <w:rFonts w:hint="eastAsia" w:ascii="宋体" w:hAnsi="宋体" w:eastAsia="宋体" w:cs="宋体"/>
          <w:b/>
          <w:color w:val="auto"/>
          <w:szCs w:val="21"/>
          <w:highlight w:val="none"/>
        </w:rPr>
      </w:pPr>
    </w:p>
    <w:p>
      <w:pPr>
        <w:tabs>
          <w:tab w:val="left" w:pos="900"/>
          <w:tab w:val="left" w:pos="1080"/>
        </w:tabs>
        <w:spacing w:line="360" w:lineRule="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注：业绩表后应附对应合同复印件合同内容应至少包括上述表格中要求的关键要素，若缺少将影响评标委员会对投标人此项评分的得分。</w:t>
      </w:r>
    </w:p>
    <w:p>
      <w:pPr>
        <w:spacing w:line="360" w:lineRule="auto"/>
        <w:jc w:val="center"/>
        <w:rPr>
          <w:rFonts w:hint="eastAsia" w:ascii="宋体" w:hAnsi="宋体" w:eastAsia="宋体" w:cs="宋体"/>
          <w:b/>
          <w:color w:val="auto"/>
          <w:szCs w:val="21"/>
          <w:highlight w:val="none"/>
        </w:rPr>
      </w:pPr>
    </w:p>
    <w:p>
      <w:pPr>
        <w:spacing w:line="360" w:lineRule="auto"/>
        <w:ind w:firstLine="3990" w:firstLineChars="1900"/>
        <w:rPr>
          <w:rFonts w:hint="eastAsia" w:ascii="宋体" w:hAnsi="宋体" w:eastAsia="宋体" w:cs="宋体"/>
          <w:color w:val="auto"/>
          <w:highlight w:val="none"/>
        </w:rPr>
      </w:pPr>
      <w:r>
        <w:rPr>
          <w:rFonts w:hint="eastAsia" w:ascii="宋体" w:hAnsi="宋体" w:eastAsia="宋体" w:cs="宋体"/>
          <w:color w:val="auto"/>
          <w:highlight w:val="none"/>
        </w:rPr>
        <w:t>投标人名称:（盖章）</w:t>
      </w:r>
    </w:p>
    <w:p>
      <w:pPr>
        <w:spacing w:line="360" w:lineRule="auto"/>
        <w:ind w:firstLine="3990" w:firstLineChars="1900"/>
        <w:rPr>
          <w:rFonts w:hint="eastAsia" w:ascii="宋体" w:hAnsi="宋体" w:eastAsia="宋体" w:cs="宋体"/>
          <w:color w:val="auto"/>
          <w:highlight w:val="none"/>
        </w:rPr>
      </w:pPr>
      <w:r>
        <w:rPr>
          <w:rFonts w:hint="eastAsia" w:ascii="宋体" w:hAnsi="宋体" w:eastAsia="宋体" w:cs="宋体"/>
          <w:color w:val="auto"/>
          <w:highlight w:val="none"/>
        </w:rPr>
        <w:t>日期：    年   月   日</w:t>
      </w:r>
    </w:p>
    <w:p>
      <w:pPr>
        <w:spacing w:line="360" w:lineRule="auto"/>
        <w:jc w:val="center"/>
        <w:rPr>
          <w:rFonts w:hint="eastAsia" w:ascii="宋体" w:hAnsi="宋体" w:eastAsia="宋体" w:cs="宋体"/>
          <w:b/>
          <w:color w:val="auto"/>
          <w:szCs w:val="21"/>
          <w:highlight w:val="none"/>
        </w:rPr>
      </w:pPr>
    </w:p>
    <w:p>
      <w:pPr>
        <w:spacing w:line="360" w:lineRule="auto"/>
        <w:jc w:val="center"/>
        <w:rPr>
          <w:rFonts w:hint="eastAsia" w:ascii="宋体" w:hAnsi="宋体" w:eastAsia="宋体" w:cs="宋体"/>
          <w:b/>
          <w:color w:val="auto"/>
          <w:szCs w:val="21"/>
          <w:highlight w:val="none"/>
        </w:rPr>
      </w:pPr>
    </w:p>
    <w:p>
      <w:pPr>
        <w:spacing w:line="360" w:lineRule="auto"/>
        <w:jc w:val="center"/>
        <w:rPr>
          <w:rFonts w:hint="eastAsia" w:ascii="宋体" w:hAnsi="宋体" w:eastAsia="宋体" w:cs="宋体"/>
          <w:b/>
          <w:color w:val="auto"/>
          <w:szCs w:val="21"/>
          <w:highlight w:val="none"/>
        </w:rPr>
        <w:sectPr>
          <w:footnotePr>
            <w:pos w:val="beneathText"/>
          </w:footnotePr>
          <w:pgSz w:w="11906" w:h="16838"/>
          <w:pgMar w:top="1418" w:right="1418" w:bottom="1418" w:left="1418" w:header="850" w:footer="992" w:gutter="0"/>
          <w:cols w:space="720" w:num="1"/>
          <w:docGrid w:linePitch="333" w:charSpace="0"/>
        </w:sectPr>
      </w:pPr>
    </w:p>
    <w:p>
      <w:pPr>
        <w:pStyle w:val="9"/>
        <w:spacing w:before="0" w:after="0" w:line="360" w:lineRule="auto"/>
        <w:ind w:left="0" w:firstLine="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）服务团队情况</w:t>
      </w:r>
    </w:p>
    <w:p>
      <w:pPr>
        <w:overflowPunct w:val="0"/>
        <w:autoSpaceDE w:val="0"/>
        <w:autoSpaceDN w:val="0"/>
        <w:adjustRightInd w:val="0"/>
        <w:snapToGrid w:val="0"/>
        <w:spacing w:before="120" w:beforeLines="50" w:after="120" w:afterLines="50"/>
        <w:jc w:val="center"/>
        <w:rPr>
          <w:rFonts w:hint="eastAsia" w:ascii="宋体" w:hAnsi="宋体" w:eastAsia="宋体" w:cs="宋体"/>
          <w:b/>
          <w:bCs/>
          <w:color w:val="auto"/>
          <w:szCs w:val="21"/>
          <w:highlight w:val="none"/>
        </w:rPr>
      </w:pPr>
      <w:r>
        <w:rPr>
          <w:rFonts w:hint="eastAsia" w:ascii="宋体" w:hAnsi="宋体" w:eastAsia="宋体" w:cs="宋体"/>
          <w:b/>
          <w:bCs/>
          <w:snapToGrid w:val="0"/>
          <w:color w:val="auto"/>
          <w:kern w:val="0"/>
          <w:szCs w:val="21"/>
          <w:highlight w:val="none"/>
        </w:rPr>
        <w:t>拟投入服务团队成员情况一览表</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491"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拟担任本项目的角色</w:t>
            </w:r>
          </w:p>
        </w:tc>
        <w:tc>
          <w:tcPr>
            <w:tcW w:w="560"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姓名</w:t>
            </w:r>
          </w:p>
        </w:tc>
        <w:tc>
          <w:tcPr>
            <w:tcW w:w="560" w:type="dxa"/>
            <w:tcBorders>
              <w:top w:val="single" w:color="auto" w:sz="4" w:space="0"/>
              <w:left w:val="single" w:color="auto" w:sz="4" w:space="0"/>
              <w:bottom w:val="nil"/>
            </w:tcBorders>
            <w:shd w:val="clear" w:color="auto" w:fill="FFFFFF"/>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年龄</w:t>
            </w:r>
          </w:p>
        </w:tc>
        <w:tc>
          <w:tcPr>
            <w:tcW w:w="560" w:type="dxa"/>
            <w:tcBorders>
              <w:top w:val="single" w:color="auto" w:sz="4" w:space="0"/>
              <w:left w:val="single" w:color="auto" w:sz="4" w:space="0"/>
              <w:bottom w:val="nil"/>
            </w:tcBorders>
            <w:shd w:val="clear" w:color="auto" w:fill="FFFFFF"/>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学历</w:t>
            </w:r>
          </w:p>
        </w:tc>
        <w:tc>
          <w:tcPr>
            <w:tcW w:w="560" w:type="dxa"/>
            <w:tcBorders>
              <w:top w:val="single" w:color="auto" w:sz="4" w:space="0"/>
              <w:bottom w:val="nil"/>
            </w:tcBorders>
            <w:shd w:val="clear" w:color="auto" w:fill="FFFFFF"/>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职务</w:t>
            </w:r>
          </w:p>
        </w:tc>
        <w:tc>
          <w:tcPr>
            <w:tcW w:w="1929" w:type="dxa"/>
            <w:tcBorders>
              <w:top w:val="single" w:color="auto" w:sz="4" w:space="0"/>
              <w:bottom w:val="nil"/>
            </w:tcBorders>
            <w:shd w:val="clear" w:color="auto" w:fill="FFFFFF"/>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具有相关证书(含职称证)等</w:t>
            </w:r>
          </w:p>
        </w:tc>
        <w:tc>
          <w:tcPr>
            <w:tcW w:w="826" w:type="dxa"/>
            <w:tcBorders>
              <w:top w:val="single" w:color="auto" w:sz="4" w:space="0"/>
              <w:bottom w:val="nil"/>
            </w:tcBorders>
            <w:shd w:val="clear" w:color="auto" w:fill="FFFFFF"/>
            <w:noWrap w:val="0"/>
            <w:vAlign w:val="center"/>
          </w:tcPr>
          <w:p>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工作年限</w:t>
            </w:r>
          </w:p>
        </w:tc>
        <w:tc>
          <w:tcPr>
            <w:tcW w:w="2241" w:type="dxa"/>
            <w:tcBorders>
              <w:top w:val="single" w:color="auto" w:sz="4" w:space="0"/>
              <w:bottom w:val="nil"/>
              <w:right w:val="single" w:color="auto" w:sz="4" w:space="0"/>
            </w:tcBorders>
            <w:shd w:val="clear" w:color="auto" w:fill="FFFFFF"/>
            <w:noWrap w:val="0"/>
            <w:vAlign w:val="center"/>
          </w:tcPr>
          <w:p>
            <w:pPr>
              <w:ind w:firstLine="12"/>
              <w:jc w:val="center"/>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eastAsia="宋体" w:cs="宋体"/>
                <w:color w:val="auto"/>
                <w:szCs w:val="21"/>
                <w:highlight w:val="none"/>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eastAsia="宋体" w:cs="宋体"/>
                <w:color w:val="auto"/>
                <w:szCs w:val="21"/>
                <w:highlight w:val="none"/>
              </w:rPr>
            </w:pPr>
          </w:p>
        </w:tc>
        <w:tc>
          <w:tcPr>
            <w:tcW w:w="560" w:type="dxa"/>
            <w:tcBorders>
              <w:top w:val="single" w:color="auto" w:sz="4" w:space="0"/>
              <w:bottom w:val="nil"/>
            </w:tcBorders>
            <w:noWrap w:val="0"/>
            <w:vAlign w:val="center"/>
          </w:tcPr>
          <w:p>
            <w:pPr>
              <w:jc w:val="center"/>
              <w:rPr>
                <w:rFonts w:hint="eastAsia" w:ascii="宋体" w:hAnsi="宋体" w:eastAsia="宋体" w:cs="宋体"/>
                <w:color w:val="auto"/>
                <w:szCs w:val="21"/>
                <w:highlight w:val="none"/>
              </w:rPr>
            </w:pPr>
          </w:p>
        </w:tc>
        <w:tc>
          <w:tcPr>
            <w:tcW w:w="1929" w:type="dxa"/>
            <w:tcBorders>
              <w:top w:val="single" w:color="auto" w:sz="4" w:space="0"/>
              <w:bottom w:val="nil"/>
            </w:tcBorders>
            <w:noWrap w:val="0"/>
            <w:vAlign w:val="center"/>
          </w:tcPr>
          <w:p>
            <w:pPr>
              <w:jc w:val="center"/>
              <w:rPr>
                <w:rFonts w:hint="eastAsia" w:ascii="宋体" w:hAnsi="宋体" w:eastAsia="宋体" w:cs="宋体"/>
                <w:color w:val="auto"/>
                <w:szCs w:val="21"/>
                <w:highlight w:val="none"/>
              </w:rPr>
            </w:pPr>
          </w:p>
        </w:tc>
        <w:tc>
          <w:tcPr>
            <w:tcW w:w="826" w:type="dxa"/>
            <w:tcBorders>
              <w:top w:val="single" w:color="auto" w:sz="4" w:space="0"/>
              <w:bottom w:val="nil"/>
            </w:tcBorders>
            <w:noWrap w:val="0"/>
            <w:vAlign w:val="center"/>
          </w:tcPr>
          <w:p>
            <w:pPr>
              <w:ind w:firstLine="12"/>
              <w:jc w:val="center"/>
              <w:rPr>
                <w:rFonts w:hint="eastAsia" w:ascii="宋体" w:hAnsi="宋体" w:eastAsia="宋体" w:cs="宋体"/>
                <w:color w:val="auto"/>
                <w:szCs w:val="21"/>
                <w:highlight w:val="none"/>
              </w:rPr>
            </w:pP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1491"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noWrap w:val="0"/>
            <w:vAlign w:val="center"/>
          </w:tcPr>
          <w:p>
            <w:pPr>
              <w:jc w:val="center"/>
              <w:rPr>
                <w:rFonts w:hint="eastAsia" w:ascii="宋体" w:hAnsi="宋体" w:eastAsia="宋体" w:cs="宋体"/>
                <w:color w:val="auto"/>
                <w:szCs w:val="21"/>
                <w:highlight w:val="none"/>
              </w:rPr>
            </w:pPr>
          </w:p>
        </w:tc>
        <w:tc>
          <w:tcPr>
            <w:tcW w:w="1929" w:type="dxa"/>
            <w:noWrap w:val="0"/>
            <w:vAlign w:val="center"/>
          </w:tcPr>
          <w:p>
            <w:pPr>
              <w:jc w:val="center"/>
              <w:rPr>
                <w:rFonts w:hint="eastAsia" w:ascii="宋体" w:hAnsi="宋体" w:eastAsia="宋体" w:cs="宋体"/>
                <w:color w:val="auto"/>
                <w:szCs w:val="21"/>
                <w:highlight w:val="none"/>
              </w:rPr>
            </w:pPr>
          </w:p>
        </w:tc>
        <w:tc>
          <w:tcPr>
            <w:tcW w:w="826" w:type="dxa"/>
            <w:noWrap w:val="0"/>
            <w:vAlign w:val="center"/>
          </w:tcPr>
          <w:p>
            <w:pPr>
              <w:jc w:val="center"/>
              <w:rPr>
                <w:rFonts w:hint="eastAsia" w:ascii="宋体" w:hAnsi="宋体" w:eastAsia="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1491"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noWrap w:val="0"/>
            <w:vAlign w:val="center"/>
          </w:tcPr>
          <w:p>
            <w:pPr>
              <w:jc w:val="center"/>
              <w:rPr>
                <w:rFonts w:hint="eastAsia" w:ascii="宋体" w:hAnsi="宋体" w:eastAsia="宋体" w:cs="宋体"/>
                <w:color w:val="auto"/>
                <w:szCs w:val="21"/>
                <w:highlight w:val="none"/>
              </w:rPr>
            </w:pPr>
          </w:p>
        </w:tc>
        <w:tc>
          <w:tcPr>
            <w:tcW w:w="1929" w:type="dxa"/>
            <w:noWrap w:val="0"/>
            <w:vAlign w:val="center"/>
          </w:tcPr>
          <w:p>
            <w:pPr>
              <w:jc w:val="center"/>
              <w:rPr>
                <w:rFonts w:hint="eastAsia" w:ascii="宋体" w:hAnsi="宋体" w:eastAsia="宋体" w:cs="宋体"/>
                <w:color w:val="auto"/>
                <w:szCs w:val="21"/>
                <w:highlight w:val="none"/>
              </w:rPr>
            </w:pPr>
          </w:p>
        </w:tc>
        <w:tc>
          <w:tcPr>
            <w:tcW w:w="826" w:type="dxa"/>
            <w:noWrap w:val="0"/>
            <w:vAlign w:val="center"/>
          </w:tcPr>
          <w:p>
            <w:pPr>
              <w:jc w:val="center"/>
              <w:rPr>
                <w:rFonts w:hint="eastAsia" w:ascii="宋体" w:hAnsi="宋体" w:eastAsia="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1491"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noWrap w:val="0"/>
            <w:vAlign w:val="center"/>
          </w:tcPr>
          <w:p>
            <w:pPr>
              <w:jc w:val="center"/>
              <w:rPr>
                <w:rFonts w:hint="eastAsia" w:ascii="宋体" w:hAnsi="宋体" w:eastAsia="宋体" w:cs="宋体"/>
                <w:color w:val="auto"/>
                <w:szCs w:val="21"/>
                <w:highlight w:val="none"/>
              </w:rPr>
            </w:pPr>
          </w:p>
        </w:tc>
        <w:tc>
          <w:tcPr>
            <w:tcW w:w="1929" w:type="dxa"/>
            <w:noWrap w:val="0"/>
            <w:vAlign w:val="center"/>
          </w:tcPr>
          <w:p>
            <w:pPr>
              <w:jc w:val="center"/>
              <w:rPr>
                <w:rFonts w:hint="eastAsia" w:ascii="宋体" w:hAnsi="宋体" w:eastAsia="宋体" w:cs="宋体"/>
                <w:color w:val="auto"/>
                <w:szCs w:val="21"/>
                <w:highlight w:val="none"/>
              </w:rPr>
            </w:pPr>
          </w:p>
        </w:tc>
        <w:tc>
          <w:tcPr>
            <w:tcW w:w="826" w:type="dxa"/>
            <w:noWrap w:val="0"/>
            <w:vAlign w:val="center"/>
          </w:tcPr>
          <w:p>
            <w:pPr>
              <w:jc w:val="center"/>
              <w:rPr>
                <w:rFonts w:hint="eastAsia" w:ascii="宋体" w:hAnsi="宋体" w:eastAsia="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1491"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noWrap w:val="0"/>
            <w:vAlign w:val="center"/>
          </w:tcPr>
          <w:p>
            <w:pPr>
              <w:jc w:val="center"/>
              <w:rPr>
                <w:rFonts w:hint="eastAsia" w:ascii="宋体" w:hAnsi="宋体" w:eastAsia="宋体" w:cs="宋体"/>
                <w:color w:val="auto"/>
                <w:szCs w:val="21"/>
                <w:highlight w:val="none"/>
              </w:rPr>
            </w:pPr>
          </w:p>
        </w:tc>
        <w:tc>
          <w:tcPr>
            <w:tcW w:w="1929" w:type="dxa"/>
            <w:noWrap w:val="0"/>
            <w:vAlign w:val="center"/>
          </w:tcPr>
          <w:p>
            <w:pPr>
              <w:jc w:val="center"/>
              <w:rPr>
                <w:rFonts w:hint="eastAsia" w:ascii="宋体" w:hAnsi="宋体" w:eastAsia="宋体" w:cs="宋体"/>
                <w:color w:val="auto"/>
                <w:szCs w:val="21"/>
                <w:highlight w:val="none"/>
              </w:rPr>
            </w:pPr>
          </w:p>
        </w:tc>
        <w:tc>
          <w:tcPr>
            <w:tcW w:w="826" w:type="dxa"/>
            <w:noWrap w:val="0"/>
            <w:vAlign w:val="center"/>
          </w:tcPr>
          <w:p>
            <w:pPr>
              <w:jc w:val="center"/>
              <w:rPr>
                <w:rFonts w:hint="eastAsia" w:ascii="宋体" w:hAnsi="宋体" w:eastAsia="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491"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noWrap w:val="0"/>
            <w:vAlign w:val="center"/>
          </w:tcPr>
          <w:p>
            <w:pPr>
              <w:jc w:val="center"/>
              <w:rPr>
                <w:rFonts w:hint="eastAsia" w:ascii="宋体" w:hAnsi="宋体" w:eastAsia="宋体" w:cs="宋体"/>
                <w:color w:val="auto"/>
                <w:szCs w:val="21"/>
                <w:highlight w:val="none"/>
              </w:rPr>
            </w:pPr>
          </w:p>
        </w:tc>
        <w:tc>
          <w:tcPr>
            <w:tcW w:w="1929" w:type="dxa"/>
            <w:noWrap w:val="0"/>
            <w:vAlign w:val="center"/>
          </w:tcPr>
          <w:p>
            <w:pPr>
              <w:jc w:val="center"/>
              <w:rPr>
                <w:rFonts w:hint="eastAsia" w:ascii="宋体" w:hAnsi="宋体" w:eastAsia="宋体" w:cs="宋体"/>
                <w:color w:val="auto"/>
                <w:szCs w:val="21"/>
                <w:highlight w:val="none"/>
              </w:rPr>
            </w:pPr>
          </w:p>
        </w:tc>
        <w:tc>
          <w:tcPr>
            <w:tcW w:w="826" w:type="dxa"/>
            <w:noWrap w:val="0"/>
            <w:vAlign w:val="center"/>
          </w:tcPr>
          <w:p>
            <w:pPr>
              <w:jc w:val="center"/>
              <w:rPr>
                <w:rFonts w:hint="eastAsia" w:ascii="宋体" w:hAnsi="宋体" w:eastAsia="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491"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eastAsia="宋体" w:cs="宋体"/>
                <w:color w:val="auto"/>
                <w:szCs w:val="21"/>
                <w:highlight w:val="none"/>
              </w:rPr>
            </w:pPr>
          </w:p>
        </w:tc>
        <w:tc>
          <w:tcPr>
            <w:tcW w:w="560" w:type="dxa"/>
            <w:noWrap w:val="0"/>
            <w:vAlign w:val="center"/>
          </w:tcPr>
          <w:p>
            <w:pPr>
              <w:jc w:val="center"/>
              <w:rPr>
                <w:rFonts w:hint="eastAsia" w:ascii="宋体" w:hAnsi="宋体" w:eastAsia="宋体" w:cs="宋体"/>
                <w:color w:val="auto"/>
                <w:szCs w:val="21"/>
                <w:highlight w:val="none"/>
              </w:rPr>
            </w:pPr>
          </w:p>
        </w:tc>
        <w:tc>
          <w:tcPr>
            <w:tcW w:w="1929" w:type="dxa"/>
            <w:noWrap w:val="0"/>
            <w:vAlign w:val="center"/>
          </w:tcPr>
          <w:p>
            <w:pPr>
              <w:jc w:val="center"/>
              <w:rPr>
                <w:rFonts w:hint="eastAsia" w:ascii="宋体" w:hAnsi="宋体" w:eastAsia="宋体" w:cs="宋体"/>
                <w:color w:val="auto"/>
                <w:szCs w:val="21"/>
                <w:highlight w:val="none"/>
              </w:rPr>
            </w:pPr>
          </w:p>
        </w:tc>
        <w:tc>
          <w:tcPr>
            <w:tcW w:w="826" w:type="dxa"/>
            <w:noWrap w:val="0"/>
            <w:vAlign w:val="center"/>
          </w:tcPr>
          <w:p>
            <w:pPr>
              <w:jc w:val="center"/>
              <w:rPr>
                <w:rFonts w:hint="eastAsia" w:ascii="宋体" w:hAnsi="宋体" w:eastAsia="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eastAsia="宋体" w:cs="宋体"/>
                <w:color w:val="auto"/>
                <w:szCs w:val="21"/>
                <w:highlight w:val="none"/>
              </w:rPr>
            </w:pPr>
          </w:p>
        </w:tc>
      </w:tr>
    </w:tbl>
    <w:p>
      <w:pPr>
        <w:spacing w:before="120" w:beforeLines="50" w:line="360" w:lineRule="auto"/>
        <w:rPr>
          <w:rFonts w:hint="eastAsia" w:ascii="宋体" w:hAnsi="宋体" w:eastAsia="宋体" w:cs="宋体"/>
          <w:color w:val="auto"/>
          <w:szCs w:val="21"/>
          <w:highlight w:val="none"/>
          <w:lang w:val="en-GB"/>
        </w:rPr>
      </w:pPr>
      <w:r>
        <w:rPr>
          <w:rFonts w:hint="eastAsia" w:ascii="宋体" w:hAnsi="宋体" w:eastAsia="宋体" w:cs="宋体"/>
          <w:color w:val="auto"/>
          <w:szCs w:val="21"/>
          <w:highlight w:val="none"/>
          <w:lang w:val="en-GB"/>
        </w:rPr>
        <w:t>注：需按招标文件要求提供上述团队成员职称证书复印件</w:t>
      </w:r>
      <w:r>
        <w:rPr>
          <w:rFonts w:hint="eastAsia" w:ascii="宋体" w:hAnsi="宋体" w:eastAsia="宋体" w:cs="宋体"/>
          <w:color w:val="auto"/>
          <w:szCs w:val="21"/>
          <w:highlight w:val="none"/>
          <w:lang w:val="en-GB" w:eastAsia="zh-CN"/>
        </w:rPr>
        <w:t>（</w:t>
      </w:r>
      <w:r>
        <w:rPr>
          <w:rFonts w:hint="eastAsia" w:ascii="宋体" w:hAnsi="宋体" w:eastAsia="宋体" w:cs="宋体"/>
          <w:color w:val="auto"/>
          <w:szCs w:val="21"/>
          <w:highlight w:val="none"/>
          <w:lang w:val="en-US" w:eastAsia="zh-CN"/>
        </w:rPr>
        <w:t>如项目负责人、设计负责人、技术负责人、安全员、项目团队成员等</w:t>
      </w:r>
      <w:r>
        <w:rPr>
          <w:rFonts w:hint="eastAsia" w:ascii="宋体" w:hAnsi="宋体" w:eastAsia="宋体" w:cs="宋体"/>
          <w:color w:val="auto"/>
          <w:szCs w:val="21"/>
          <w:highlight w:val="none"/>
          <w:lang w:val="en-GB" w:eastAsia="zh-CN"/>
        </w:rPr>
        <w:t>）</w:t>
      </w:r>
      <w:r>
        <w:rPr>
          <w:rFonts w:hint="eastAsia" w:ascii="宋体" w:hAnsi="宋体" w:eastAsia="宋体" w:cs="宋体"/>
          <w:color w:val="auto"/>
          <w:szCs w:val="21"/>
          <w:highlight w:val="none"/>
          <w:lang w:val="en-GB"/>
        </w:rPr>
        <w:t>。</w:t>
      </w:r>
    </w:p>
    <w:p>
      <w:pPr>
        <w:pStyle w:val="9"/>
        <w:spacing w:line="360" w:lineRule="auto"/>
        <w:ind w:left="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）企业资信状况（如需，格式自拟）；</w:t>
      </w:r>
    </w:p>
    <w:p>
      <w:pPr>
        <w:pStyle w:val="9"/>
        <w:spacing w:line="360" w:lineRule="auto"/>
        <w:ind w:left="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）企业综合实力（如需，格式自拟）；</w:t>
      </w:r>
    </w:p>
    <w:p>
      <w:pPr>
        <w:pStyle w:val="9"/>
        <w:spacing w:line="360" w:lineRule="auto"/>
        <w:ind w:left="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）企业履约信用、荣誉（如需，格式自拟）；</w:t>
      </w:r>
    </w:p>
    <w:p>
      <w:pPr>
        <w:pStyle w:val="9"/>
        <w:spacing w:line="360" w:lineRule="auto"/>
        <w:ind w:left="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）其他商务证明材料（投标人根据商务评分表内容及认为需要补充的说明提供相关材料）。</w:t>
      </w:r>
    </w:p>
    <w:p>
      <w:pPr>
        <w:spacing w:line="360" w:lineRule="auto"/>
        <w:rPr>
          <w:rFonts w:hint="eastAsia" w:ascii="宋体" w:hAnsi="宋体" w:eastAsia="宋体" w:cs="宋体"/>
          <w:color w:val="auto"/>
          <w:szCs w:val="21"/>
          <w:highlight w:val="none"/>
        </w:rPr>
      </w:pPr>
    </w:p>
    <w:p>
      <w:pPr>
        <w:spacing w:line="360" w:lineRule="auto"/>
        <w:rPr>
          <w:rFonts w:hint="eastAsia" w:ascii="宋体" w:hAnsi="宋体" w:eastAsia="宋体" w:cs="宋体"/>
          <w:color w:val="auto"/>
          <w:szCs w:val="21"/>
          <w:highlight w:val="none"/>
        </w:rPr>
        <w:sectPr>
          <w:footnotePr>
            <w:pos w:val="beneathText"/>
          </w:footnotePr>
          <w:pgSz w:w="11906" w:h="16838"/>
          <w:pgMar w:top="1418" w:right="1418" w:bottom="1418" w:left="1418" w:header="850" w:footer="992" w:gutter="0"/>
          <w:cols w:space="720" w:num="1"/>
          <w:docGrid w:linePitch="333" w:charSpace="0"/>
        </w:sectPr>
      </w:pPr>
    </w:p>
    <w:p>
      <w:pPr>
        <w:spacing w:line="48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（二）主要商务条件响应表</w:t>
      </w:r>
    </w:p>
    <w:p>
      <w:pPr>
        <w:spacing w:line="360" w:lineRule="auto"/>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t>主要商务条款响应表</w:t>
      </w:r>
    </w:p>
    <w:p>
      <w:pPr>
        <w:spacing w:line="360" w:lineRule="auto"/>
        <w:ind w:left="618" w:hanging="618"/>
        <w:rPr>
          <w:rFonts w:hint="eastAsia" w:ascii="宋体" w:hAnsi="宋体" w:eastAsia="宋体" w:cs="宋体"/>
          <w:color w:val="auto"/>
          <w:highlight w:val="none"/>
        </w:rPr>
      </w:pPr>
      <w:r>
        <w:rPr>
          <w:rFonts w:hint="eastAsia" w:ascii="宋体" w:hAnsi="宋体" w:eastAsia="宋体" w:cs="宋体"/>
          <w:color w:val="auto"/>
          <w:highlight w:val="none"/>
        </w:rPr>
        <w:t>[说明]投标人应对招标文件第四部分合同所有条款的内容（而非题目）作全面响应，并在“响应”栏中打“√”，有差异的请在“备注”栏中注明具体偏离情况。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961" w:type="dxa"/>
            <w:noWrap w:val="0"/>
            <w:vAlign w:val="center"/>
          </w:tcPr>
          <w:p>
            <w:pPr>
              <w:spacing w:line="2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商务条款</w:t>
            </w:r>
          </w:p>
        </w:tc>
        <w:tc>
          <w:tcPr>
            <w:tcW w:w="2756" w:type="dxa"/>
            <w:noWrap w:val="0"/>
            <w:vAlign w:val="center"/>
          </w:tcPr>
          <w:p>
            <w:pPr>
              <w:spacing w:line="2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条款内容</w:t>
            </w:r>
          </w:p>
        </w:tc>
        <w:tc>
          <w:tcPr>
            <w:tcW w:w="1020" w:type="dxa"/>
            <w:noWrap w:val="0"/>
            <w:vAlign w:val="center"/>
          </w:tcPr>
          <w:p>
            <w:pPr>
              <w:spacing w:line="2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响应</w:t>
            </w:r>
          </w:p>
        </w:tc>
        <w:tc>
          <w:tcPr>
            <w:tcW w:w="1020" w:type="dxa"/>
            <w:noWrap w:val="0"/>
            <w:vAlign w:val="center"/>
          </w:tcPr>
          <w:p>
            <w:pPr>
              <w:spacing w:line="2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961" w:type="dxa"/>
            <w:noWrap w:val="0"/>
            <w:vAlign w:val="center"/>
          </w:tcPr>
          <w:p>
            <w:pPr>
              <w:jc w:val="center"/>
              <w:rPr>
                <w:rFonts w:hint="eastAsia" w:ascii="宋体" w:hAnsi="宋体" w:eastAsia="宋体" w:cs="宋体"/>
                <w:color w:val="auto"/>
                <w:szCs w:val="21"/>
                <w:highlight w:val="none"/>
              </w:rPr>
            </w:pPr>
          </w:p>
        </w:tc>
        <w:tc>
          <w:tcPr>
            <w:tcW w:w="2756" w:type="dxa"/>
            <w:noWrap w:val="0"/>
            <w:vAlign w:val="center"/>
          </w:tcPr>
          <w:p>
            <w:pPr>
              <w:pStyle w:val="38"/>
              <w:rPr>
                <w:rFonts w:hint="eastAsia" w:ascii="宋体" w:hAnsi="宋体" w:eastAsia="宋体" w:cs="宋体"/>
                <w:color w:val="auto"/>
                <w:highlight w:val="none"/>
              </w:rPr>
            </w:pPr>
          </w:p>
        </w:tc>
        <w:tc>
          <w:tcPr>
            <w:tcW w:w="1020" w:type="dxa"/>
            <w:noWrap w:val="0"/>
            <w:vAlign w:val="center"/>
          </w:tcPr>
          <w:p>
            <w:pPr>
              <w:spacing w:line="200" w:lineRule="atLeast"/>
              <w:jc w:val="center"/>
              <w:rPr>
                <w:rFonts w:hint="eastAsia" w:ascii="宋体" w:hAnsi="宋体" w:eastAsia="宋体" w:cs="宋体"/>
                <w:color w:val="auto"/>
                <w:highlight w:val="none"/>
              </w:rPr>
            </w:pPr>
          </w:p>
        </w:tc>
        <w:tc>
          <w:tcPr>
            <w:tcW w:w="1020" w:type="dxa"/>
            <w:noWrap w:val="0"/>
            <w:vAlign w:val="center"/>
          </w:tcPr>
          <w:p>
            <w:pPr>
              <w:spacing w:line="200" w:lineRule="atLeas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961"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756" w:type="dxa"/>
            <w:noWrap w:val="0"/>
            <w:vAlign w:val="center"/>
          </w:tcPr>
          <w:p>
            <w:pPr>
              <w:pStyle w:val="38"/>
              <w:rPr>
                <w:rFonts w:hint="eastAsia" w:ascii="宋体" w:hAnsi="宋体" w:eastAsia="宋体" w:cs="宋体"/>
                <w:color w:val="auto"/>
                <w:highlight w:val="none"/>
              </w:rPr>
            </w:pPr>
          </w:p>
        </w:tc>
        <w:tc>
          <w:tcPr>
            <w:tcW w:w="1020" w:type="dxa"/>
            <w:noWrap w:val="0"/>
            <w:vAlign w:val="center"/>
          </w:tcPr>
          <w:p>
            <w:pPr>
              <w:spacing w:line="200" w:lineRule="atLeast"/>
              <w:jc w:val="center"/>
              <w:rPr>
                <w:rFonts w:hint="eastAsia" w:ascii="宋体" w:hAnsi="宋体" w:eastAsia="宋体" w:cs="宋体"/>
                <w:color w:val="auto"/>
                <w:highlight w:val="none"/>
              </w:rPr>
            </w:pPr>
          </w:p>
        </w:tc>
        <w:tc>
          <w:tcPr>
            <w:tcW w:w="1020" w:type="dxa"/>
            <w:noWrap w:val="0"/>
            <w:vAlign w:val="center"/>
          </w:tcPr>
          <w:p>
            <w:pPr>
              <w:spacing w:line="200" w:lineRule="atLeas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eastAsia="宋体" w:cs="宋体"/>
                <w:color w:val="auto"/>
                <w:highlight w:val="none"/>
              </w:rPr>
            </w:pPr>
          </w:p>
        </w:tc>
        <w:tc>
          <w:tcPr>
            <w:tcW w:w="2961" w:type="dxa"/>
            <w:noWrap w:val="0"/>
            <w:vAlign w:val="center"/>
          </w:tcPr>
          <w:p>
            <w:pPr>
              <w:rPr>
                <w:rFonts w:hint="eastAsia" w:ascii="宋体" w:hAnsi="宋体" w:eastAsia="宋体" w:cs="宋体"/>
                <w:color w:val="auto"/>
                <w:szCs w:val="21"/>
                <w:highlight w:val="none"/>
              </w:rPr>
            </w:pPr>
          </w:p>
        </w:tc>
        <w:tc>
          <w:tcPr>
            <w:tcW w:w="2756" w:type="dxa"/>
            <w:noWrap w:val="0"/>
            <w:vAlign w:val="center"/>
          </w:tcPr>
          <w:p>
            <w:pPr>
              <w:pStyle w:val="38"/>
              <w:rPr>
                <w:rFonts w:hint="eastAsia" w:ascii="宋体" w:hAnsi="宋体" w:eastAsia="宋体" w:cs="宋体"/>
                <w:color w:val="auto"/>
                <w:highlight w:val="none"/>
              </w:rPr>
            </w:pPr>
          </w:p>
        </w:tc>
        <w:tc>
          <w:tcPr>
            <w:tcW w:w="1020" w:type="dxa"/>
            <w:noWrap w:val="0"/>
            <w:vAlign w:val="center"/>
          </w:tcPr>
          <w:p>
            <w:pPr>
              <w:spacing w:line="200" w:lineRule="atLeast"/>
              <w:jc w:val="center"/>
              <w:rPr>
                <w:rFonts w:hint="eastAsia" w:ascii="宋体" w:hAnsi="宋体" w:eastAsia="宋体" w:cs="宋体"/>
                <w:color w:val="auto"/>
                <w:highlight w:val="none"/>
              </w:rPr>
            </w:pPr>
          </w:p>
        </w:tc>
        <w:tc>
          <w:tcPr>
            <w:tcW w:w="1020" w:type="dxa"/>
            <w:noWrap w:val="0"/>
            <w:vAlign w:val="center"/>
          </w:tcPr>
          <w:p>
            <w:pPr>
              <w:spacing w:line="200" w:lineRule="atLeas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eastAsia="宋体" w:cs="宋体"/>
                <w:color w:val="auto"/>
                <w:highlight w:val="none"/>
              </w:rPr>
            </w:pPr>
          </w:p>
        </w:tc>
        <w:tc>
          <w:tcPr>
            <w:tcW w:w="2961" w:type="dxa"/>
            <w:noWrap w:val="0"/>
            <w:vAlign w:val="center"/>
          </w:tcPr>
          <w:p>
            <w:pPr>
              <w:rPr>
                <w:rFonts w:hint="eastAsia" w:ascii="宋体" w:hAnsi="宋体" w:eastAsia="宋体" w:cs="宋体"/>
                <w:color w:val="auto"/>
                <w:szCs w:val="21"/>
                <w:highlight w:val="none"/>
              </w:rPr>
            </w:pPr>
          </w:p>
        </w:tc>
        <w:tc>
          <w:tcPr>
            <w:tcW w:w="2756" w:type="dxa"/>
            <w:noWrap w:val="0"/>
            <w:vAlign w:val="center"/>
          </w:tcPr>
          <w:p>
            <w:pPr>
              <w:pStyle w:val="38"/>
              <w:rPr>
                <w:rFonts w:hint="eastAsia" w:ascii="宋体" w:hAnsi="宋体" w:eastAsia="宋体" w:cs="宋体"/>
                <w:color w:val="auto"/>
                <w:highlight w:val="none"/>
              </w:rPr>
            </w:pPr>
          </w:p>
        </w:tc>
        <w:tc>
          <w:tcPr>
            <w:tcW w:w="1020" w:type="dxa"/>
            <w:noWrap w:val="0"/>
            <w:vAlign w:val="center"/>
          </w:tcPr>
          <w:p>
            <w:pPr>
              <w:spacing w:line="200" w:lineRule="atLeast"/>
              <w:jc w:val="center"/>
              <w:rPr>
                <w:rFonts w:hint="eastAsia" w:ascii="宋体" w:hAnsi="宋体" w:eastAsia="宋体" w:cs="宋体"/>
                <w:color w:val="auto"/>
                <w:highlight w:val="none"/>
              </w:rPr>
            </w:pPr>
          </w:p>
        </w:tc>
        <w:tc>
          <w:tcPr>
            <w:tcW w:w="1020" w:type="dxa"/>
            <w:noWrap w:val="0"/>
            <w:vAlign w:val="center"/>
          </w:tcPr>
          <w:p>
            <w:pPr>
              <w:spacing w:line="200" w:lineRule="atLeas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eastAsia="宋体" w:cs="宋体"/>
                <w:color w:val="auto"/>
                <w:highlight w:val="none"/>
              </w:rPr>
            </w:pPr>
          </w:p>
        </w:tc>
        <w:tc>
          <w:tcPr>
            <w:tcW w:w="2961" w:type="dxa"/>
            <w:noWrap w:val="0"/>
            <w:vAlign w:val="center"/>
          </w:tcPr>
          <w:p>
            <w:pPr>
              <w:rPr>
                <w:rFonts w:hint="eastAsia" w:ascii="宋体" w:hAnsi="宋体" w:eastAsia="宋体" w:cs="宋体"/>
                <w:color w:val="auto"/>
                <w:szCs w:val="21"/>
                <w:highlight w:val="none"/>
              </w:rPr>
            </w:pPr>
          </w:p>
        </w:tc>
        <w:tc>
          <w:tcPr>
            <w:tcW w:w="2756" w:type="dxa"/>
            <w:noWrap w:val="0"/>
            <w:vAlign w:val="center"/>
          </w:tcPr>
          <w:p>
            <w:pPr>
              <w:pStyle w:val="38"/>
              <w:rPr>
                <w:rFonts w:hint="eastAsia" w:ascii="宋体" w:hAnsi="宋体" w:eastAsia="宋体" w:cs="宋体"/>
                <w:color w:val="auto"/>
                <w:highlight w:val="none"/>
              </w:rPr>
            </w:pPr>
          </w:p>
        </w:tc>
        <w:tc>
          <w:tcPr>
            <w:tcW w:w="1020" w:type="dxa"/>
            <w:noWrap w:val="0"/>
            <w:vAlign w:val="center"/>
          </w:tcPr>
          <w:p>
            <w:pPr>
              <w:spacing w:line="200" w:lineRule="atLeast"/>
              <w:jc w:val="center"/>
              <w:rPr>
                <w:rFonts w:hint="eastAsia" w:ascii="宋体" w:hAnsi="宋体" w:eastAsia="宋体" w:cs="宋体"/>
                <w:color w:val="auto"/>
                <w:highlight w:val="none"/>
              </w:rPr>
            </w:pPr>
          </w:p>
        </w:tc>
        <w:tc>
          <w:tcPr>
            <w:tcW w:w="1020" w:type="dxa"/>
            <w:noWrap w:val="0"/>
            <w:vAlign w:val="center"/>
          </w:tcPr>
          <w:p>
            <w:pPr>
              <w:spacing w:line="200" w:lineRule="atLeast"/>
              <w:jc w:val="center"/>
              <w:rPr>
                <w:rFonts w:hint="eastAsia" w:ascii="宋体" w:hAnsi="宋体" w:eastAsia="宋体" w:cs="宋体"/>
                <w:color w:val="auto"/>
                <w:highlight w:val="none"/>
              </w:rPr>
            </w:pPr>
          </w:p>
        </w:tc>
      </w:tr>
    </w:tbl>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说明：</w:t>
      </w:r>
    </w:p>
    <w:p>
      <w:pPr>
        <w:spacing w:line="30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如投标人对招标文件</w:t>
      </w:r>
      <w:r>
        <w:rPr>
          <w:rFonts w:hint="eastAsia" w:ascii="宋体" w:hAnsi="宋体" w:eastAsia="宋体" w:cs="宋体"/>
          <w:color w:val="auto"/>
          <w:highlight w:val="none"/>
        </w:rPr>
        <w:t>合同</w:t>
      </w:r>
      <w:r>
        <w:rPr>
          <w:rFonts w:hint="eastAsia" w:ascii="宋体" w:hAnsi="宋体" w:eastAsia="宋体" w:cs="宋体"/>
          <w:bCs/>
          <w:color w:val="auto"/>
          <w:szCs w:val="21"/>
          <w:highlight w:val="none"/>
        </w:rPr>
        <w:t>条款有偏离的必须填写上表，否则视为完全响应招标文件要求。</w:t>
      </w:r>
    </w:p>
    <w:p>
      <w:pPr>
        <w:spacing w:line="480" w:lineRule="auto"/>
        <w:rPr>
          <w:rFonts w:hint="eastAsia" w:ascii="宋体" w:hAnsi="宋体" w:eastAsia="宋体" w:cs="宋体"/>
          <w:color w:val="auto"/>
          <w:szCs w:val="22"/>
          <w:highlight w:val="none"/>
        </w:rPr>
      </w:pPr>
    </w:p>
    <w:p>
      <w:pPr>
        <w:spacing w:line="360" w:lineRule="auto"/>
        <w:ind w:firstLine="3990" w:firstLineChars="1900"/>
        <w:rPr>
          <w:rFonts w:hint="eastAsia" w:ascii="宋体" w:hAnsi="宋体" w:eastAsia="宋体" w:cs="宋体"/>
          <w:color w:val="auto"/>
          <w:highlight w:val="none"/>
        </w:rPr>
      </w:pPr>
      <w:r>
        <w:rPr>
          <w:rFonts w:hint="eastAsia" w:ascii="宋体" w:hAnsi="宋体" w:eastAsia="宋体" w:cs="宋体"/>
          <w:color w:val="auto"/>
          <w:highlight w:val="none"/>
        </w:rPr>
        <w:t>投标人名称:（盖章）</w:t>
      </w:r>
    </w:p>
    <w:p>
      <w:pPr>
        <w:spacing w:line="360" w:lineRule="auto"/>
        <w:ind w:firstLine="3990" w:firstLineChars="1900"/>
        <w:rPr>
          <w:rFonts w:hint="eastAsia" w:ascii="宋体" w:hAnsi="宋体" w:eastAsia="宋体" w:cs="宋体"/>
          <w:color w:val="auto"/>
          <w:highlight w:val="none"/>
        </w:rPr>
      </w:pPr>
      <w:r>
        <w:rPr>
          <w:rFonts w:hint="eastAsia" w:ascii="宋体" w:hAnsi="宋体" w:eastAsia="宋体" w:cs="宋体"/>
          <w:color w:val="auto"/>
          <w:highlight w:val="none"/>
        </w:rPr>
        <w:t>日期：    年   月   日</w:t>
      </w:r>
    </w:p>
    <w:p>
      <w:pPr>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101" w:name="_Toc118018369"/>
      <w:bookmarkStart w:id="102" w:name="_Toc476177436"/>
      <w:bookmarkStart w:id="103" w:name="_Toc455417787"/>
      <w:bookmarkStart w:id="104" w:name="_Toc476177995"/>
      <w:r>
        <w:rPr>
          <w:rFonts w:hint="eastAsia" w:ascii="宋体" w:hAnsi="宋体" w:eastAsia="宋体" w:cs="宋体"/>
          <w:b/>
          <w:bCs/>
          <w:color w:val="auto"/>
          <w:sz w:val="28"/>
          <w:szCs w:val="21"/>
          <w:highlight w:val="none"/>
        </w:rPr>
        <w:t>六、技术响应文件格式</w:t>
      </w:r>
      <w:bookmarkEnd w:id="101"/>
      <w:bookmarkEnd w:id="102"/>
      <w:bookmarkEnd w:id="103"/>
      <w:bookmarkEnd w:id="104"/>
    </w:p>
    <w:p>
      <w:pPr>
        <w:spacing w:before="240" w:line="360" w:lineRule="auto"/>
        <w:ind w:left="902" w:hanging="902"/>
        <w:rPr>
          <w:rFonts w:hint="eastAsia" w:ascii="宋体" w:hAnsi="宋体" w:eastAsia="宋体" w:cs="宋体"/>
          <w:color w:val="auto"/>
          <w:szCs w:val="22"/>
          <w:highlight w:val="none"/>
        </w:rPr>
      </w:pPr>
      <w:r>
        <w:rPr>
          <w:rFonts w:hint="eastAsia" w:ascii="宋体" w:hAnsi="宋体" w:eastAsia="宋体" w:cs="宋体"/>
          <w:b/>
          <w:color w:val="auto"/>
          <w:highlight w:val="none"/>
        </w:rPr>
        <w:t xml:space="preserve">[说明]  </w:t>
      </w:r>
      <w:r>
        <w:rPr>
          <w:rFonts w:hint="eastAsia" w:ascii="宋体" w:hAnsi="宋体" w:eastAsia="宋体" w:cs="宋体"/>
          <w:color w:val="auto"/>
          <w:highlight w:val="none"/>
        </w:rPr>
        <w:t>投标人应按照招标文件的要求，根据《用户需求书》要求内容做出全面响应。其内容应包括但不限于本格式内各项要求。对必须响应的内容，必须完全响应，不允许</w:t>
      </w:r>
      <w:r>
        <w:rPr>
          <w:rFonts w:hint="eastAsia" w:ascii="宋体" w:hAnsi="宋体" w:eastAsia="宋体" w:cs="宋体"/>
          <w:color w:val="auto"/>
          <w:szCs w:val="22"/>
          <w:highlight w:val="none"/>
        </w:rPr>
        <w:t>有任何差异，对响应有差异的内容，提出说明和优化建议。</w:t>
      </w:r>
    </w:p>
    <w:p>
      <w:pPr>
        <w:shd w:val="clear" w:color="auto" w:fill="auto"/>
        <w:spacing w:before="0" w:line="240" w:lineRule="auto"/>
        <w:ind w:left="0"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格式6.1   用户需求书中要求投标人自行填写的表格内容</w:t>
      </w:r>
    </w:p>
    <w:p>
      <w:pPr>
        <w:shd w:val="clear" w:color="auto" w:fill="auto"/>
        <w:spacing w:before="0" w:line="240" w:lineRule="auto"/>
        <w:ind w:left="0" w:firstLine="420" w:firstLineChars="200"/>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rPr>
        <w:t>格式6.</w:t>
      </w:r>
      <w:r>
        <w:rPr>
          <w:rFonts w:hint="eastAsia" w:ascii="宋体" w:hAnsi="宋体" w:eastAsia="宋体" w:cs="宋体"/>
          <w:color w:val="auto"/>
          <w:szCs w:val="22"/>
          <w:highlight w:val="none"/>
          <w:lang w:val="en-US" w:eastAsia="zh-CN"/>
        </w:rPr>
        <w:t>2</w:t>
      </w:r>
      <w:r>
        <w:rPr>
          <w:rFonts w:hint="eastAsia" w:ascii="宋体" w:hAnsi="宋体" w:eastAsia="宋体" w:cs="宋体"/>
          <w:color w:val="auto"/>
          <w:szCs w:val="22"/>
          <w:highlight w:val="none"/>
        </w:rPr>
        <w:t xml:space="preserve">   </w:t>
      </w:r>
      <w:r>
        <w:rPr>
          <w:rFonts w:hint="eastAsia" w:ascii="宋体" w:hAnsi="宋体" w:eastAsia="宋体" w:cs="宋体"/>
          <w:color w:val="auto"/>
          <w:szCs w:val="22"/>
          <w:highlight w:val="none"/>
          <w:lang w:val="en-US" w:eastAsia="zh-CN"/>
        </w:rPr>
        <w:t>设计方案</w:t>
      </w:r>
      <w:r>
        <w:rPr>
          <w:rFonts w:hint="eastAsia" w:ascii="宋体" w:hAnsi="宋体" w:cs="宋体"/>
          <w:color w:val="auto"/>
          <w:szCs w:val="22"/>
          <w:highlight w:val="none"/>
          <w:lang w:val="en-US" w:eastAsia="zh-CN"/>
        </w:rPr>
        <w:t>（如有）</w:t>
      </w:r>
    </w:p>
    <w:p>
      <w:pPr>
        <w:shd w:val="clear" w:color="auto" w:fill="auto"/>
        <w:spacing w:before="0" w:line="240" w:lineRule="auto"/>
        <w:ind w:left="0" w:firstLine="420" w:firstLineChars="200"/>
        <w:rPr>
          <w:rFonts w:hint="eastAsia" w:ascii="宋体" w:hAnsi="宋体" w:eastAsia="宋体" w:cs="宋体"/>
          <w:color w:val="auto"/>
          <w:szCs w:val="22"/>
          <w:highlight w:val="none"/>
          <w:lang w:eastAsia="zh-CN"/>
        </w:rPr>
      </w:pPr>
      <w:r>
        <w:rPr>
          <w:rFonts w:hint="eastAsia" w:ascii="宋体" w:hAnsi="宋体" w:eastAsia="宋体" w:cs="宋体"/>
          <w:color w:val="auto"/>
          <w:szCs w:val="22"/>
          <w:highlight w:val="none"/>
        </w:rPr>
        <w:t>格式6.</w:t>
      </w:r>
      <w:r>
        <w:rPr>
          <w:rFonts w:hint="eastAsia" w:ascii="宋体" w:hAnsi="宋体" w:eastAsia="宋体" w:cs="宋体"/>
          <w:color w:val="auto"/>
          <w:szCs w:val="22"/>
          <w:highlight w:val="none"/>
          <w:lang w:val="en-US" w:eastAsia="zh-CN"/>
        </w:rPr>
        <w:t>3</w:t>
      </w:r>
      <w:r>
        <w:rPr>
          <w:rFonts w:hint="eastAsia" w:ascii="宋体" w:hAnsi="宋体" w:eastAsia="宋体" w:cs="宋体"/>
          <w:color w:val="auto"/>
          <w:szCs w:val="22"/>
          <w:highlight w:val="none"/>
        </w:rPr>
        <w:t xml:space="preserve">   </w:t>
      </w:r>
      <w:r>
        <w:rPr>
          <w:rFonts w:hint="eastAsia" w:ascii="宋体" w:hAnsi="宋体" w:eastAsia="宋体" w:cs="宋体"/>
          <w:color w:val="auto"/>
          <w:kern w:val="2"/>
          <w:szCs w:val="22"/>
          <w:highlight w:val="none"/>
          <w:lang w:val="en-US" w:eastAsia="zh-CN" w:bidi="ar"/>
        </w:rPr>
        <w:t>施工方案</w:t>
      </w:r>
    </w:p>
    <w:p>
      <w:pPr>
        <w:shd w:val="clear" w:color="auto" w:fill="auto"/>
        <w:spacing w:before="0" w:line="240" w:lineRule="auto"/>
        <w:ind w:left="0" w:firstLine="420" w:firstLineChars="200"/>
        <w:rPr>
          <w:rFonts w:hint="default" w:ascii="宋体" w:hAnsi="宋体" w:eastAsia="宋体" w:cs="宋体"/>
          <w:color w:val="auto"/>
          <w:szCs w:val="22"/>
          <w:highlight w:val="none"/>
          <w:lang w:val="en-US" w:eastAsia="zh-CN"/>
        </w:rPr>
      </w:pPr>
      <w:r>
        <w:rPr>
          <w:rFonts w:hint="eastAsia" w:ascii="宋体" w:hAnsi="宋体" w:eastAsia="宋体" w:cs="宋体"/>
          <w:color w:val="auto"/>
          <w:szCs w:val="22"/>
          <w:highlight w:val="none"/>
        </w:rPr>
        <w:t>格式6.</w:t>
      </w:r>
      <w:r>
        <w:rPr>
          <w:rFonts w:hint="eastAsia" w:ascii="宋体" w:hAnsi="宋体" w:eastAsia="宋体" w:cs="宋体"/>
          <w:color w:val="auto"/>
          <w:szCs w:val="22"/>
          <w:highlight w:val="none"/>
          <w:lang w:val="en-US" w:eastAsia="zh-CN"/>
        </w:rPr>
        <w:t xml:space="preserve">4   </w:t>
      </w:r>
      <w:r>
        <w:rPr>
          <w:rFonts w:hint="eastAsia" w:ascii="宋体" w:hAnsi="宋体" w:cs="宋体"/>
          <w:color w:val="auto"/>
          <w:kern w:val="2"/>
          <w:sz w:val="21"/>
          <w:szCs w:val="22"/>
          <w:highlight w:val="none"/>
          <w:lang w:val="en-US" w:eastAsia="zh-CN" w:bidi="ar-SA"/>
        </w:rPr>
        <w:t>项目实施方案</w:t>
      </w:r>
    </w:p>
    <w:p>
      <w:pPr>
        <w:shd w:val="clear" w:color="auto" w:fill="auto"/>
        <w:spacing w:before="0" w:line="240" w:lineRule="auto"/>
        <w:ind w:left="0"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格式6.</w:t>
      </w:r>
      <w:r>
        <w:rPr>
          <w:rFonts w:hint="eastAsia" w:ascii="宋体" w:hAnsi="宋体" w:eastAsia="宋体" w:cs="宋体"/>
          <w:color w:val="auto"/>
          <w:szCs w:val="22"/>
          <w:highlight w:val="none"/>
          <w:lang w:val="en-US" w:eastAsia="zh-CN"/>
        </w:rPr>
        <w:t xml:space="preserve">5   </w:t>
      </w:r>
      <w:r>
        <w:rPr>
          <w:rFonts w:hint="eastAsia" w:ascii="宋体" w:hAnsi="宋体" w:cs="宋体"/>
          <w:color w:val="auto"/>
          <w:szCs w:val="21"/>
          <w:highlight w:val="none"/>
        </w:rPr>
        <w:t>售后服务及质量保证方案</w:t>
      </w:r>
    </w:p>
    <w:p>
      <w:pPr>
        <w:shd w:val="clear" w:color="auto" w:fill="auto"/>
        <w:spacing w:before="0" w:line="240" w:lineRule="auto"/>
        <w:ind w:left="0"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格式6.</w:t>
      </w:r>
      <w:r>
        <w:rPr>
          <w:rFonts w:hint="eastAsia" w:ascii="宋体" w:hAnsi="宋体" w:eastAsia="宋体" w:cs="宋体"/>
          <w:color w:val="auto"/>
          <w:szCs w:val="22"/>
          <w:highlight w:val="none"/>
          <w:lang w:val="en-US" w:eastAsia="zh-CN"/>
        </w:rPr>
        <w:t>6   承诺函</w:t>
      </w:r>
    </w:p>
    <w:p>
      <w:pPr>
        <w:shd w:val="clear" w:color="auto" w:fill="auto"/>
        <w:spacing w:before="0" w:line="240" w:lineRule="auto"/>
        <w:ind w:left="0"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格式6.</w:t>
      </w:r>
      <w:r>
        <w:rPr>
          <w:rFonts w:hint="eastAsia" w:ascii="宋体" w:hAnsi="宋体" w:eastAsia="宋体" w:cs="宋体"/>
          <w:color w:val="auto"/>
          <w:szCs w:val="22"/>
          <w:highlight w:val="none"/>
          <w:lang w:val="en-US" w:eastAsia="zh-CN"/>
        </w:rPr>
        <w:t xml:space="preserve">7   </w:t>
      </w:r>
      <w:r>
        <w:rPr>
          <w:rFonts w:hint="eastAsia" w:ascii="宋体" w:hAnsi="宋体" w:eastAsia="宋体" w:cs="宋体"/>
          <w:color w:val="auto"/>
          <w:szCs w:val="22"/>
          <w:highlight w:val="none"/>
        </w:rPr>
        <w:t>技术标评分细则需要提供的资料</w:t>
      </w:r>
    </w:p>
    <w:p>
      <w:pPr>
        <w:shd w:val="clear" w:color="auto" w:fill="auto"/>
        <w:spacing w:before="0" w:line="240" w:lineRule="auto"/>
        <w:ind w:left="0"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格式6.</w:t>
      </w:r>
      <w:r>
        <w:rPr>
          <w:rFonts w:hint="eastAsia" w:ascii="宋体" w:hAnsi="宋体" w:eastAsia="宋体" w:cs="宋体"/>
          <w:color w:val="auto"/>
          <w:szCs w:val="22"/>
          <w:highlight w:val="none"/>
          <w:lang w:val="en-US" w:eastAsia="zh-CN"/>
        </w:rPr>
        <w:t>8</w:t>
      </w:r>
      <w:r>
        <w:rPr>
          <w:rFonts w:hint="eastAsia" w:ascii="宋体" w:hAnsi="宋体" w:eastAsia="宋体" w:cs="宋体"/>
          <w:color w:val="auto"/>
          <w:szCs w:val="22"/>
          <w:highlight w:val="none"/>
        </w:rPr>
        <w:t xml:space="preserve">   招标人配合内容（如有）</w:t>
      </w:r>
    </w:p>
    <w:p>
      <w:pPr>
        <w:shd w:val="clear" w:color="auto" w:fill="auto"/>
        <w:spacing w:before="0" w:line="240" w:lineRule="auto"/>
        <w:ind w:left="0"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格式6.</w:t>
      </w:r>
      <w:r>
        <w:rPr>
          <w:rFonts w:hint="eastAsia" w:ascii="宋体" w:hAnsi="宋体" w:eastAsia="宋体" w:cs="宋体"/>
          <w:color w:val="auto"/>
          <w:szCs w:val="22"/>
          <w:highlight w:val="none"/>
          <w:lang w:val="en-US" w:eastAsia="zh-CN"/>
        </w:rPr>
        <w:t>9</w:t>
      </w:r>
      <w:r>
        <w:rPr>
          <w:rFonts w:hint="eastAsia" w:ascii="宋体" w:hAnsi="宋体" w:eastAsia="宋体" w:cs="宋体"/>
          <w:color w:val="auto"/>
          <w:szCs w:val="22"/>
          <w:highlight w:val="none"/>
        </w:rPr>
        <w:t xml:space="preserve">   投标人认为有必要提供的其他文件（如有）</w:t>
      </w:r>
    </w:p>
    <w:p>
      <w:pPr>
        <w:shd w:val="clear" w:color="auto" w:fill="auto"/>
        <w:spacing w:before="0" w:line="240" w:lineRule="auto"/>
        <w:ind w:left="0" w:firstLine="420" w:firstLineChars="200"/>
        <w:rPr>
          <w:rFonts w:hint="default" w:ascii="宋体" w:hAnsi="宋体" w:eastAsia="宋体" w:cs="宋体"/>
          <w:color w:val="auto"/>
          <w:szCs w:val="22"/>
          <w:highlight w:val="none"/>
          <w:lang w:val="en-US"/>
        </w:rPr>
      </w:pPr>
      <w:r>
        <w:rPr>
          <w:rFonts w:hint="eastAsia" w:ascii="宋体" w:hAnsi="宋体" w:eastAsia="宋体" w:cs="宋体"/>
          <w:color w:val="auto"/>
          <w:szCs w:val="22"/>
          <w:highlight w:val="none"/>
        </w:rPr>
        <w:t>格式6.</w:t>
      </w:r>
      <w:r>
        <w:rPr>
          <w:rFonts w:hint="eastAsia" w:ascii="宋体" w:hAnsi="宋体" w:cs="宋体"/>
          <w:color w:val="auto"/>
          <w:szCs w:val="22"/>
          <w:highlight w:val="none"/>
          <w:lang w:val="en-US" w:eastAsia="zh-CN"/>
        </w:rPr>
        <w:t>10  分包情况</w:t>
      </w:r>
      <w:r>
        <w:rPr>
          <w:rFonts w:hint="eastAsia" w:ascii="宋体" w:hAnsi="宋体" w:eastAsia="宋体" w:cs="宋体"/>
          <w:color w:val="auto"/>
          <w:szCs w:val="22"/>
          <w:highlight w:val="none"/>
        </w:rPr>
        <w:t>（如有）</w:t>
      </w:r>
    </w:p>
    <w:p>
      <w:pPr>
        <w:spacing w:line="360" w:lineRule="auto"/>
        <w:rPr>
          <w:rFonts w:hint="eastAsia" w:ascii="宋体" w:hAnsi="宋体" w:eastAsia="宋体" w:cs="宋体"/>
          <w:color w:val="auto"/>
          <w:sz w:val="30"/>
          <w:szCs w:val="30"/>
          <w:highlight w:val="none"/>
        </w:rPr>
      </w:pPr>
      <w:bookmarkStart w:id="105" w:name="_Hlt42956379"/>
      <w:bookmarkEnd w:id="105"/>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格式6.1</w:t>
      </w:r>
      <w:bookmarkStart w:id="106" w:name="_Toc118015391"/>
      <w:bookmarkStart w:id="107" w:name="_Toc208723428"/>
      <w:bookmarkStart w:id="108" w:name="_Toc118018370"/>
      <w:bookmarkStart w:id="109" w:name="_Toc4471859"/>
      <w:bookmarkStart w:id="110" w:name="_Toc42956284"/>
      <w:r>
        <w:rPr>
          <w:rFonts w:hint="eastAsia" w:ascii="宋体" w:hAnsi="宋体" w:eastAsia="宋体" w:cs="宋体"/>
          <w:b/>
          <w:color w:val="auto"/>
          <w:sz w:val="24"/>
          <w:highlight w:val="none"/>
        </w:rPr>
        <w:t xml:space="preserve">.1  </w:t>
      </w:r>
      <w:bookmarkEnd w:id="106"/>
      <w:bookmarkEnd w:id="107"/>
      <w:bookmarkEnd w:id="108"/>
      <w:bookmarkEnd w:id="109"/>
      <w:bookmarkEnd w:id="110"/>
      <w:bookmarkStart w:id="111" w:name="_Hlt10564367"/>
      <w:bookmarkEnd w:id="111"/>
      <w:r>
        <w:rPr>
          <w:rFonts w:hint="eastAsia" w:ascii="宋体" w:hAnsi="宋体" w:eastAsia="宋体" w:cs="宋体"/>
          <w:b/>
          <w:color w:val="auto"/>
          <w:sz w:val="24"/>
          <w:highlight w:val="none"/>
        </w:rPr>
        <w:t xml:space="preserve"> </w:t>
      </w:r>
    </w:p>
    <w:p>
      <w:pPr>
        <w:jc w:val="center"/>
        <w:rPr>
          <w:rFonts w:hint="eastAsia" w:ascii="宋体" w:hAnsi="宋体" w:eastAsia="宋体" w:cs="宋体"/>
          <w:color w:val="auto"/>
          <w:highlight w:val="none"/>
        </w:rPr>
      </w:pPr>
      <w:r>
        <w:rPr>
          <w:rFonts w:hint="eastAsia" w:ascii="宋体" w:hAnsi="宋体" w:eastAsia="宋体" w:cs="宋体"/>
          <w:b/>
          <w:color w:val="auto"/>
          <w:sz w:val="28"/>
          <w:szCs w:val="28"/>
          <w:highlight w:val="none"/>
        </w:rPr>
        <w:t>重要条款及一般条款响应表</w:t>
      </w:r>
    </w:p>
    <w:p>
      <w:pPr>
        <w:rPr>
          <w:rFonts w:ascii="宋体" w:hAnsi="宋体" w:eastAsia="宋体" w:cs="Times New Roman"/>
          <w:color w:val="auto"/>
          <w:highlight w:val="none"/>
        </w:rPr>
      </w:pPr>
    </w:p>
    <w:tbl>
      <w:tblPr>
        <w:tblStyle w:val="5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1161"/>
        <w:gridCol w:w="2816"/>
        <w:gridCol w:w="1824"/>
        <w:gridCol w:w="2087"/>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78" w:type="pct"/>
            <w:noWrap w:val="0"/>
            <w:vAlign w:val="center"/>
          </w:tcPr>
          <w:p>
            <w:pPr>
              <w:autoSpaceDE w:val="0"/>
              <w:autoSpaceDN w:val="0"/>
              <w:adjustRightInd w:val="0"/>
              <w:jc w:val="center"/>
              <w:rPr>
                <w:rFonts w:ascii="宋体" w:hAnsi="宋体" w:eastAsia="宋体" w:cs="Times New Roman"/>
                <w:color w:val="auto"/>
                <w:highlight w:val="none"/>
              </w:rPr>
            </w:pPr>
            <w:r>
              <w:rPr>
                <w:rFonts w:hint="eastAsia" w:ascii="宋体" w:hAnsi="宋体" w:eastAsia="宋体" w:cs="Times New Roman"/>
                <w:color w:val="auto"/>
                <w:highlight w:val="none"/>
              </w:rPr>
              <w:t>用户需求书</w:t>
            </w:r>
            <w:r>
              <w:rPr>
                <w:rFonts w:ascii="宋体" w:hAnsi="宋体" w:eastAsia="宋体" w:cs="Times New Roman"/>
                <w:color w:val="auto"/>
                <w:highlight w:val="none"/>
              </w:rPr>
              <w:t>相应序号</w:t>
            </w:r>
          </w:p>
        </w:tc>
        <w:tc>
          <w:tcPr>
            <w:tcW w:w="1644" w:type="pct"/>
            <w:noWrap w:val="0"/>
            <w:vAlign w:val="center"/>
          </w:tcPr>
          <w:p>
            <w:pPr>
              <w:autoSpaceDE w:val="0"/>
              <w:autoSpaceDN w:val="0"/>
              <w:adjustRightInd w:val="0"/>
              <w:jc w:val="center"/>
              <w:rPr>
                <w:rFonts w:ascii="宋体" w:hAnsi="宋体" w:eastAsia="宋体" w:cs="Times New Roman"/>
                <w:color w:val="auto"/>
                <w:highlight w:val="none"/>
              </w:rPr>
            </w:pPr>
            <w:r>
              <w:rPr>
                <w:rFonts w:hint="eastAsia" w:ascii="宋体" w:hAnsi="宋体" w:eastAsia="宋体" w:cs="Times New Roman"/>
                <w:color w:val="auto"/>
                <w:highlight w:val="none"/>
              </w:rPr>
              <w:t>用户需求书</w:t>
            </w:r>
            <w:r>
              <w:rPr>
                <w:rFonts w:hint="eastAsia" w:ascii="宋体" w:hAnsi="宋体" w:eastAsia="宋体" w:cs="宋体"/>
                <w:bCs/>
                <w:color w:val="auto"/>
                <w:szCs w:val="21"/>
                <w:highlight w:val="none"/>
              </w:rPr>
              <w:t>标有“▲”条款</w:t>
            </w:r>
            <w:r>
              <w:rPr>
                <w:rFonts w:ascii="宋体" w:hAnsi="宋体" w:eastAsia="宋体" w:cs="Times New Roman"/>
                <w:color w:val="auto"/>
                <w:highlight w:val="none"/>
              </w:rPr>
              <w:t>内容</w:t>
            </w:r>
          </w:p>
        </w:tc>
        <w:tc>
          <w:tcPr>
            <w:tcW w:w="1065" w:type="pct"/>
            <w:noWrap w:val="0"/>
            <w:vAlign w:val="center"/>
          </w:tcPr>
          <w:p>
            <w:pPr>
              <w:autoSpaceDE w:val="0"/>
              <w:autoSpaceDN w:val="0"/>
              <w:adjustRightInd w:val="0"/>
              <w:jc w:val="center"/>
              <w:rPr>
                <w:rFonts w:ascii="宋体" w:hAnsi="宋体" w:eastAsia="宋体" w:cs="Times New Roman"/>
                <w:color w:val="auto"/>
                <w:highlight w:val="none"/>
              </w:rPr>
            </w:pPr>
            <w:r>
              <w:rPr>
                <w:rFonts w:hint="eastAsia" w:ascii="宋体" w:hAnsi="宋体" w:eastAsia="宋体" w:cs="Times New Roman"/>
                <w:color w:val="auto"/>
                <w:highlight w:val="none"/>
              </w:rPr>
              <w:t>偏离情况（正偏离/无偏离/负偏离）</w:t>
            </w:r>
          </w:p>
        </w:tc>
        <w:tc>
          <w:tcPr>
            <w:tcW w:w="1218" w:type="pct"/>
            <w:noWrap w:val="0"/>
            <w:vAlign w:val="center"/>
          </w:tcPr>
          <w:p>
            <w:pPr>
              <w:autoSpaceDE w:val="0"/>
              <w:autoSpaceDN w:val="0"/>
              <w:adjustRightInd w:val="0"/>
              <w:jc w:val="center"/>
              <w:rPr>
                <w:rFonts w:ascii="宋体" w:hAnsi="宋体" w:eastAsia="宋体" w:cs="Times New Roman"/>
                <w:color w:val="auto"/>
                <w:highlight w:val="none"/>
              </w:rPr>
            </w:pPr>
            <w:r>
              <w:rPr>
                <w:rFonts w:ascii="宋体" w:hAnsi="宋体" w:eastAsia="宋体" w:cs="Times New Roman"/>
                <w:color w:val="auto"/>
                <w:highlight w:val="none"/>
              </w:rPr>
              <w:t>差异描述</w:t>
            </w:r>
          </w:p>
        </w:tc>
        <w:tc>
          <w:tcPr>
            <w:tcW w:w="393" w:type="pct"/>
            <w:noWrap w:val="0"/>
            <w:vAlign w:val="center"/>
          </w:tcPr>
          <w:p>
            <w:pPr>
              <w:autoSpaceDE w:val="0"/>
              <w:autoSpaceDN w:val="0"/>
              <w:adjustRightInd w:val="0"/>
              <w:jc w:val="center"/>
              <w:rPr>
                <w:rFonts w:hint="default" w:ascii="宋体" w:hAnsi="宋体" w:eastAsia="宋体" w:cs="Times New Roman"/>
                <w:color w:val="auto"/>
                <w:highlight w:val="none"/>
                <w:lang w:val="en-US" w:eastAsia="zh-CN"/>
              </w:rPr>
            </w:pPr>
            <w:r>
              <w:rPr>
                <w:rFonts w:hint="eastAsia" w:ascii="宋体" w:hAnsi="宋体" w:cs="Times New Roman"/>
                <w:color w:val="auto"/>
                <w:highlight w:val="none"/>
                <w:lang w:val="en-US" w:eastAsia="zh-CN"/>
              </w:rPr>
              <w:t>证明材料页码（如有）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78" w:type="pct"/>
            <w:noWrap w:val="0"/>
            <w:vAlign w:val="center"/>
          </w:tcPr>
          <w:p>
            <w:pPr>
              <w:autoSpaceDE w:val="0"/>
              <w:autoSpaceDN w:val="0"/>
              <w:adjustRightInd w:val="0"/>
              <w:jc w:val="center"/>
              <w:rPr>
                <w:rFonts w:ascii="宋体" w:hAnsi="宋体" w:eastAsia="宋体" w:cs="Times New Roman"/>
                <w:color w:val="auto"/>
                <w:highlight w:val="none"/>
              </w:rPr>
            </w:pPr>
          </w:p>
        </w:tc>
        <w:tc>
          <w:tcPr>
            <w:tcW w:w="1644" w:type="pct"/>
            <w:noWrap w:val="0"/>
            <w:vAlign w:val="center"/>
          </w:tcPr>
          <w:p>
            <w:pPr>
              <w:autoSpaceDE w:val="0"/>
              <w:autoSpaceDN w:val="0"/>
              <w:adjustRightInd w:val="0"/>
              <w:jc w:val="center"/>
              <w:rPr>
                <w:rFonts w:ascii="宋体" w:hAnsi="宋体" w:eastAsia="宋体" w:cs="Times New Roman"/>
                <w:color w:val="auto"/>
                <w:highlight w:val="none"/>
              </w:rPr>
            </w:pPr>
          </w:p>
        </w:tc>
        <w:tc>
          <w:tcPr>
            <w:tcW w:w="1065" w:type="pct"/>
            <w:noWrap w:val="0"/>
            <w:vAlign w:val="center"/>
          </w:tcPr>
          <w:p>
            <w:pPr>
              <w:autoSpaceDE w:val="0"/>
              <w:autoSpaceDN w:val="0"/>
              <w:adjustRightInd w:val="0"/>
              <w:jc w:val="center"/>
              <w:rPr>
                <w:rFonts w:ascii="宋体" w:hAnsi="宋体" w:eastAsia="宋体" w:cs="Times New Roman"/>
                <w:color w:val="auto"/>
                <w:highlight w:val="none"/>
              </w:rPr>
            </w:pPr>
          </w:p>
        </w:tc>
        <w:tc>
          <w:tcPr>
            <w:tcW w:w="1218" w:type="pct"/>
            <w:noWrap w:val="0"/>
            <w:vAlign w:val="center"/>
          </w:tcPr>
          <w:p>
            <w:pPr>
              <w:autoSpaceDE w:val="0"/>
              <w:autoSpaceDN w:val="0"/>
              <w:adjustRightInd w:val="0"/>
              <w:jc w:val="center"/>
              <w:rPr>
                <w:rFonts w:ascii="宋体" w:hAnsi="宋体" w:eastAsia="宋体" w:cs="Times New Roman"/>
                <w:color w:val="auto"/>
                <w:w w:val="80"/>
                <w:highlight w:val="none"/>
              </w:rPr>
            </w:pPr>
          </w:p>
        </w:tc>
        <w:tc>
          <w:tcPr>
            <w:tcW w:w="393" w:type="pct"/>
            <w:noWrap w:val="0"/>
            <w:vAlign w:val="center"/>
          </w:tcPr>
          <w:p>
            <w:pPr>
              <w:autoSpaceDE w:val="0"/>
              <w:autoSpaceDN w:val="0"/>
              <w:adjustRightInd w:val="0"/>
              <w:jc w:val="center"/>
              <w:rPr>
                <w:rFonts w:ascii="宋体" w:hAnsi="宋体" w:eastAsia="宋体" w:cs="Times New Roman"/>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78" w:type="pct"/>
            <w:noWrap w:val="0"/>
            <w:vAlign w:val="center"/>
          </w:tcPr>
          <w:p>
            <w:pPr>
              <w:autoSpaceDE w:val="0"/>
              <w:autoSpaceDN w:val="0"/>
              <w:adjustRightInd w:val="0"/>
              <w:jc w:val="center"/>
              <w:rPr>
                <w:rFonts w:ascii="宋体" w:hAnsi="宋体" w:eastAsia="宋体" w:cs="Times New Roman"/>
                <w:color w:val="auto"/>
                <w:highlight w:val="none"/>
              </w:rPr>
            </w:pPr>
          </w:p>
        </w:tc>
        <w:tc>
          <w:tcPr>
            <w:tcW w:w="1644" w:type="pct"/>
            <w:noWrap w:val="0"/>
            <w:vAlign w:val="center"/>
          </w:tcPr>
          <w:p>
            <w:pPr>
              <w:autoSpaceDE w:val="0"/>
              <w:autoSpaceDN w:val="0"/>
              <w:adjustRightInd w:val="0"/>
              <w:jc w:val="center"/>
              <w:rPr>
                <w:rFonts w:ascii="宋体" w:hAnsi="宋体" w:eastAsia="宋体" w:cs="Times New Roman"/>
                <w:color w:val="auto"/>
                <w:highlight w:val="none"/>
              </w:rPr>
            </w:pPr>
          </w:p>
        </w:tc>
        <w:tc>
          <w:tcPr>
            <w:tcW w:w="1065" w:type="pct"/>
            <w:noWrap w:val="0"/>
            <w:vAlign w:val="center"/>
          </w:tcPr>
          <w:p>
            <w:pPr>
              <w:autoSpaceDE w:val="0"/>
              <w:autoSpaceDN w:val="0"/>
              <w:adjustRightInd w:val="0"/>
              <w:jc w:val="center"/>
              <w:rPr>
                <w:rFonts w:ascii="宋体" w:hAnsi="宋体" w:eastAsia="宋体" w:cs="Times New Roman"/>
                <w:color w:val="auto"/>
                <w:highlight w:val="none"/>
              </w:rPr>
            </w:pPr>
          </w:p>
        </w:tc>
        <w:tc>
          <w:tcPr>
            <w:tcW w:w="1218" w:type="pct"/>
            <w:noWrap w:val="0"/>
            <w:vAlign w:val="center"/>
          </w:tcPr>
          <w:p>
            <w:pPr>
              <w:autoSpaceDE w:val="0"/>
              <w:autoSpaceDN w:val="0"/>
              <w:adjustRightInd w:val="0"/>
              <w:jc w:val="center"/>
              <w:rPr>
                <w:rFonts w:ascii="宋体" w:hAnsi="宋体" w:eastAsia="宋体" w:cs="Times New Roman"/>
                <w:color w:val="auto"/>
                <w:w w:val="80"/>
                <w:highlight w:val="none"/>
              </w:rPr>
            </w:pPr>
          </w:p>
        </w:tc>
        <w:tc>
          <w:tcPr>
            <w:tcW w:w="393" w:type="pct"/>
            <w:noWrap w:val="0"/>
            <w:vAlign w:val="center"/>
          </w:tcPr>
          <w:p>
            <w:pPr>
              <w:autoSpaceDE w:val="0"/>
              <w:autoSpaceDN w:val="0"/>
              <w:adjustRightInd w:val="0"/>
              <w:jc w:val="center"/>
              <w:rPr>
                <w:rFonts w:ascii="宋体" w:hAnsi="宋体" w:eastAsia="宋体" w:cs="Times New Roman"/>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78" w:type="pct"/>
            <w:noWrap w:val="0"/>
            <w:vAlign w:val="center"/>
          </w:tcPr>
          <w:p>
            <w:pPr>
              <w:autoSpaceDE w:val="0"/>
              <w:autoSpaceDN w:val="0"/>
              <w:adjustRightInd w:val="0"/>
              <w:jc w:val="center"/>
              <w:rPr>
                <w:rFonts w:ascii="宋体" w:hAnsi="宋体" w:eastAsia="宋体" w:cs="Times New Roman"/>
                <w:color w:val="auto"/>
                <w:highlight w:val="none"/>
              </w:rPr>
            </w:pPr>
          </w:p>
        </w:tc>
        <w:tc>
          <w:tcPr>
            <w:tcW w:w="1644" w:type="pct"/>
            <w:noWrap w:val="0"/>
            <w:vAlign w:val="center"/>
          </w:tcPr>
          <w:p>
            <w:pPr>
              <w:autoSpaceDE w:val="0"/>
              <w:autoSpaceDN w:val="0"/>
              <w:adjustRightInd w:val="0"/>
              <w:jc w:val="center"/>
              <w:rPr>
                <w:rFonts w:ascii="宋体" w:hAnsi="宋体" w:eastAsia="宋体" w:cs="Times New Roman"/>
                <w:color w:val="auto"/>
                <w:highlight w:val="none"/>
              </w:rPr>
            </w:pPr>
          </w:p>
        </w:tc>
        <w:tc>
          <w:tcPr>
            <w:tcW w:w="1065" w:type="pct"/>
            <w:noWrap w:val="0"/>
            <w:vAlign w:val="center"/>
          </w:tcPr>
          <w:p>
            <w:pPr>
              <w:autoSpaceDE w:val="0"/>
              <w:autoSpaceDN w:val="0"/>
              <w:adjustRightInd w:val="0"/>
              <w:jc w:val="center"/>
              <w:rPr>
                <w:rFonts w:ascii="宋体" w:hAnsi="宋体" w:eastAsia="宋体" w:cs="Times New Roman"/>
                <w:color w:val="auto"/>
                <w:highlight w:val="none"/>
              </w:rPr>
            </w:pPr>
          </w:p>
        </w:tc>
        <w:tc>
          <w:tcPr>
            <w:tcW w:w="1218" w:type="pct"/>
            <w:noWrap w:val="0"/>
            <w:vAlign w:val="center"/>
          </w:tcPr>
          <w:p>
            <w:pPr>
              <w:autoSpaceDE w:val="0"/>
              <w:autoSpaceDN w:val="0"/>
              <w:adjustRightInd w:val="0"/>
              <w:jc w:val="center"/>
              <w:rPr>
                <w:rFonts w:ascii="宋体" w:hAnsi="宋体" w:eastAsia="宋体" w:cs="Times New Roman"/>
                <w:color w:val="auto"/>
                <w:w w:val="80"/>
                <w:highlight w:val="none"/>
              </w:rPr>
            </w:pPr>
          </w:p>
        </w:tc>
        <w:tc>
          <w:tcPr>
            <w:tcW w:w="393" w:type="pct"/>
            <w:noWrap w:val="0"/>
            <w:vAlign w:val="center"/>
          </w:tcPr>
          <w:p>
            <w:pPr>
              <w:autoSpaceDE w:val="0"/>
              <w:autoSpaceDN w:val="0"/>
              <w:adjustRightInd w:val="0"/>
              <w:jc w:val="center"/>
              <w:rPr>
                <w:rFonts w:ascii="宋体" w:hAnsi="宋体" w:eastAsia="宋体" w:cs="Times New Roman"/>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78" w:type="pct"/>
            <w:noWrap w:val="0"/>
            <w:vAlign w:val="center"/>
          </w:tcPr>
          <w:p>
            <w:pPr>
              <w:autoSpaceDE w:val="0"/>
              <w:autoSpaceDN w:val="0"/>
              <w:adjustRightInd w:val="0"/>
              <w:jc w:val="center"/>
              <w:rPr>
                <w:rFonts w:ascii="宋体" w:hAnsi="宋体" w:eastAsia="宋体" w:cs="Times New Roman"/>
                <w:color w:val="auto"/>
                <w:highlight w:val="none"/>
              </w:rPr>
            </w:pPr>
          </w:p>
        </w:tc>
        <w:tc>
          <w:tcPr>
            <w:tcW w:w="1644" w:type="pct"/>
            <w:noWrap w:val="0"/>
            <w:vAlign w:val="center"/>
          </w:tcPr>
          <w:p>
            <w:pPr>
              <w:autoSpaceDE w:val="0"/>
              <w:autoSpaceDN w:val="0"/>
              <w:adjustRightInd w:val="0"/>
              <w:jc w:val="center"/>
              <w:rPr>
                <w:rFonts w:ascii="宋体" w:hAnsi="宋体" w:eastAsia="宋体" w:cs="Times New Roman"/>
                <w:color w:val="auto"/>
                <w:highlight w:val="none"/>
              </w:rPr>
            </w:pPr>
            <w:r>
              <w:rPr>
                <w:rFonts w:hint="eastAsia" w:ascii="宋体" w:hAnsi="宋体" w:eastAsia="宋体" w:cs="Times New Roman"/>
                <w:color w:val="auto"/>
                <w:highlight w:val="none"/>
              </w:rPr>
              <w:t>...</w:t>
            </w:r>
          </w:p>
        </w:tc>
        <w:tc>
          <w:tcPr>
            <w:tcW w:w="1065" w:type="pct"/>
            <w:noWrap w:val="0"/>
            <w:vAlign w:val="center"/>
          </w:tcPr>
          <w:p>
            <w:pPr>
              <w:autoSpaceDE w:val="0"/>
              <w:autoSpaceDN w:val="0"/>
              <w:adjustRightInd w:val="0"/>
              <w:jc w:val="center"/>
              <w:rPr>
                <w:rFonts w:ascii="宋体" w:hAnsi="宋体" w:eastAsia="宋体" w:cs="Times New Roman"/>
                <w:color w:val="auto"/>
                <w:highlight w:val="none"/>
              </w:rPr>
            </w:pPr>
          </w:p>
        </w:tc>
        <w:tc>
          <w:tcPr>
            <w:tcW w:w="1218" w:type="pct"/>
            <w:noWrap w:val="0"/>
            <w:vAlign w:val="center"/>
          </w:tcPr>
          <w:p>
            <w:pPr>
              <w:autoSpaceDE w:val="0"/>
              <w:autoSpaceDN w:val="0"/>
              <w:adjustRightInd w:val="0"/>
              <w:jc w:val="center"/>
              <w:rPr>
                <w:rFonts w:ascii="宋体" w:hAnsi="宋体" w:eastAsia="宋体" w:cs="Times New Roman"/>
                <w:color w:val="auto"/>
                <w:w w:val="80"/>
                <w:highlight w:val="none"/>
              </w:rPr>
            </w:pPr>
          </w:p>
        </w:tc>
        <w:tc>
          <w:tcPr>
            <w:tcW w:w="393" w:type="pct"/>
            <w:noWrap w:val="0"/>
            <w:vAlign w:val="center"/>
          </w:tcPr>
          <w:p>
            <w:pPr>
              <w:autoSpaceDE w:val="0"/>
              <w:autoSpaceDN w:val="0"/>
              <w:adjustRightInd w:val="0"/>
              <w:jc w:val="center"/>
              <w:rPr>
                <w:rFonts w:ascii="宋体" w:hAnsi="宋体" w:eastAsia="宋体" w:cs="Times New Roman"/>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78" w:type="pct"/>
            <w:noWrap w:val="0"/>
            <w:vAlign w:val="center"/>
          </w:tcPr>
          <w:p>
            <w:pPr>
              <w:autoSpaceDE w:val="0"/>
              <w:autoSpaceDN w:val="0"/>
              <w:adjustRightInd w:val="0"/>
              <w:jc w:val="center"/>
              <w:rPr>
                <w:rFonts w:ascii="宋体" w:hAnsi="宋体" w:eastAsia="宋体" w:cs="Times New Roman"/>
                <w:color w:val="auto"/>
                <w:highlight w:val="none"/>
              </w:rPr>
            </w:pPr>
            <w:r>
              <w:rPr>
                <w:rFonts w:hint="eastAsia" w:ascii="宋体" w:hAnsi="宋体" w:eastAsia="宋体" w:cs="Times New Roman"/>
                <w:color w:val="auto"/>
                <w:highlight w:val="none"/>
              </w:rPr>
              <w:t>用户需求书</w:t>
            </w:r>
            <w:r>
              <w:rPr>
                <w:rFonts w:ascii="宋体" w:hAnsi="宋体" w:eastAsia="宋体" w:cs="Times New Roman"/>
                <w:color w:val="auto"/>
                <w:highlight w:val="none"/>
              </w:rPr>
              <w:t>相应序号</w:t>
            </w:r>
          </w:p>
        </w:tc>
        <w:tc>
          <w:tcPr>
            <w:tcW w:w="1644" w:type="pct"/>
            <w:noWrap w:val="0"/>
            <w:vAlign w:val="center"/>
          </w:tcPr>
          <w:p>
            <w:pPr>
              <w:autoSpaceDE w:val="0"/>
              <w:autoSpaceDN w:val="0"/>
              <w:adjustRightInd w:val="0"/>
              <w:jc w:val="center"/>
              <w:rPr>
                <w:rFonts w:ascii="宋体" w:hAnsi="宋体" w:eastAsia="宋体" w:cs="Times New Roman"/>
                <w:color w:val="auto"/>
                <w:highlight w:val="none"/>
              </w:rPr>
            </w:pPr>
            <w:r>
              <w:rPr>
                <w:rFonts w:hint="eastAsia" w:ascii="宋体" w:hAnsi="宋体" w:eastAsia="宋体" w:cs="Times New Roman"/>
                <w:color w:val="auto"/>
                <w:highlight w:val="none"/>
              </w:rPr>
              <w:t>用户需求书</w:t>
            </w:r>
            <w:r>
              <w:rPr>
                <w:rFonts w:hint="eastAsia" w:ascii="宋体" w:hAnsi="宋体" w:eastAsia="宋体" w:cs="宋体"/>
                <w:bCs/>
                <w:color w:val="auto"/>
                <w:szCs w:val="21"/>
                <w:highlight w:val="none"/>
              </w:rPr>
              <w:t>一般条款</w:t>
            </w:r>
            <w:r>
              <w:rPr>
                <w:rFonts w:ascii="宋体" w:hAnsi="宋体" w:eastAsia="宋体" w:cs="Times New Roman"/>
                <w:color w:val="auto"/>
                <w:highlight w:val="none"/>
              </w:rPr>
              <w:t>内容</w:t>
            </w:r>
          </w:p>
        </w:tc>
        <w:tc>
          <w:tcPr>
            <w:tcW w:w="1065" w:type="pct"/>
            <w:noWrap w:val="0"/>
            <w:vAlign w:val="center"/>
          </w:tcPr>
          <w:p>
            <w:pPr>
              <w:autoSpaceDE w:val="0"/>
              <w:autoSpaceDN w:val="0"/>
              <w:adjustRightInd w:val="0"/>
              <w:jc w:val="center"/>
              <w:rPr>
                <w:rFonts w:ascii="宋体" w:hAnsi="宋体" w:eastAsia="宋体" w:cs="Times New Roman"/>
                <w:color w:val="auto"/>
                <w:highlight w:val="none"/>
              </w:rPr>
            </w:pPr>
            <w:r>
              <w:rPr>
                <w:rFonts w:hint="eastAsia" w:ascii="宋体" w:hAnsi="宋体" w:eastAsia="宋体" w:cs="Times New Roman"/>
                <w:color w:val="auto"/>
                <w:highlight w:val="none"/>
              </w:rPr>
              <w:t>偏离情况（正偏离/无偏离/负偏离）</w:t>
            </w:r>
          </w:p>
        </w:tc>
        <w:tc>
          <w:tcPr>
            <w:tcW w:w="1218" w:type="pct"/>
            <w:noWrap w:val="0"/>
            <w:vAlign w:val="center"/>
          </w:tcPr>
          <w:p>
            <w:pPr>
              <w:autoSpaceDE w:val="0"/>
              <w:autoSpaceDN w:val="0"/>
              <w:adjustRightInd w:val="0"/>
              <w:jc w:val="center"/>
              <w:rPr>
                <w:rFonts w:ascii="宋体" w:hAnsi="宋体" w:eastAsia="宋体" w:cs="Times New Roman"/>
                <w:color w:val="auto"/>
                <w:w w:val="80"/>
                <w:highlight w:val="none"/>
              </w:rPr>
            </w:pPr>
            <w:r>
              <w:rPr>
                <w:rFonts w:ascii="宋体" w:hAnsi="宋体" w:eastAsia="宋体" w:cs="Times New Roman"/>
                <w:color w:val="auto"/>
                <w:highlight w:val="none"/>
              </w:rPr>
              <w:t>差异描述</w:t>
            </w:r>
          </w:p>
        </w:tc>
        <w:tc>
          <w:tcPr>
            <w:tcW w:w="393" w:type="pct"/>
            <w:noWrap w:val="0"/>
            <w:vAlign w:val="center"/>
          </w:tcPr>
          <w:p>
            <w:pPr>
              <w:autoSpaceDE w:val="0"/>
              <w:autoSpaceDN w:val="0"/>
              <w:adjustRightInd w:val="0"/>
              <w:jc w:val="center"/>
              <w:rPr>
                <w:rFonts w:ascii="宋体" w:hAnsi="宋体" w:eastAsia="宋体"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78" w:type="pct"/>
            <w:noWrap w:val="0"/>
            <w:vAlign w:val="center"/>
          </w:tcPr>
          <w:p>
            <w:pPr>
              <w:autoSpaceDE w:val="0"/>
              <w:autoSpaceDN w:val="0"/>
              <w:adjustRightInd w:val="0"/>
              <w:jc w:val="center"/>
              <w:rPr>
                <w:rFonts w:ascii="宋体" w:hAnsi="宋体" w:eastAsia="宋体" w:cs="Times New Roman"/>
                <w:color w:val="auto"/>
                <w:highlight w:val="none"/>
              </w:rPr>
            </w:pPr>
          </w:p>
        </w:tc>
        <w:tc>
          <w:tcPr>
            <w:tcW w:w="1644" w:type="pct"/>
            <w:noWrap w:val="0"/>
            <w:vAlign w:val="center"/>
          </w:tcPr>
          <w:p>
            <w:pPr>
              <w:autoSpaceDE w:val="0"/>
              <w:autoSpaceDN w:val="0"/>
              <w:adjustRightInd w:val="0"/>
              <w:jc w:val="center"/>
              <w:rPr>
                <w:rFonts w:ascii="宋体" w:hAnsi="宋体" w:eastAsia="宋体" w:cs="Times New Roman"/>
                <w:color w:val="auto"/>
                <w:highlight w:val="none"/>
              </w:rPr>
            </w:pPr>
          </w:p>
        </w:tc>
        <w:tc>
          <w:tcPr>
            <w:tcW w:w="1065" w:type="pct"/>
            <w:noWrap w:val="0"/>
            <w:vAlign w:val="center"/>
          </w:tcPr>
          <w:p>
            <w:pPr>
              <w:autoSpaceDE w:val="0"/>
              <w:autoSpaceDN w:val="0"/>
              <w:adjustRightInd w:val="0"/>
              <w:jc w:val="center"/>
              <w:rPr>
                <w:rFonts w:ascii="宋体" w:hAnsi="宋体" w:eastAsia="宋体" w:cs="Times New Roman"/>
                <w:color w:val="auto"/>
                <w:highlight w:val="none"/>
              </w:rPr>
            </w:pPr>
          </w:p>
        </w:tc>
        <w:tc>
          <w:tcPr>
            <w:tcW w:w="1218" w:type="pct"/>
            <w:noWrap w:val="0"/>
            <w:vAlign w:val="center"/>
          </w:tcPr>
          <w:p>
            <w:pPr>
              <w:autoSpaceDE w:val="0"/>
              <w:autoSpaceDN w:val="0"/>
              <w:adjustRightInd w:val="0"/>
              <w:jc w:val="center"/>
              <w:rPr>
                <w:rFonts w:ascii="宋体" w:hAnsi="宋体" w:eastAsia="宋体" w:cs="Times New Roman"/>
                <w:color w:val="auto"/>
                <w:w w:val="80"/>
                <w:highlight w:val="none"/>
              </w:rPr>
            </w:pPr>
          </w:p>
        </w:tc>
        <w:tc>
          <w:tcPr>
            <w:tcW w:w="393" w:type="pct"/>
            <w:noWrap w:val="0"/>
            <w:vAlign w:val="center"/>
          </w:tcPr>
          <w:p>
            <w:pPr>
              <w:autoSpaceDE w:val="0"/>
              <w:autoSpaceDN w:val="0"/>
              <w:adjustRightInd w:val="0"/>
              <w:jc w:val="center"/>
              <w:rPr>
                <w:rFonts w:ascii="宋体" w:hAnsi="宋体" w:eastAsia="宋体" w:cs="Times New Roman"/>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78" w:type="pct"/>
            <w:noWrap w:val="0"/>
            <w:vAlign w:val="center"/>
          </w:tcPr>
          <w:p>
            <w:pPr>
              <w:autoSpaceDE w:val="0"/>
              <w:autoSpaceDN w:val="0"/>
              <w:adjustRightInd w:val="0"/>
              <w:jc w:val="center"/>
              <w:rPr>
                <w:rFonts w:ascii="宋体" w:hAnsi="宋体" w:eastAsia="宋体" w:cs="Times New Roman"/>
                <w:color w:val="auto"/>
                <w:highlight w:val="none"/>
              </w:rPr>
            </w:pPr>
          </w:p>
        </w:tc>
        <w:tc>
          <w:tcPr>
            <w:tcW w:w="1644" w:type="pct"/>
            <w:noWrap w:val="0"/>
            <w:vAlign w:val="center"/>
          </w:tcPr>
          <w:p>
            <w:pPr>
              <w:autoSpaceDE w:val="0"/>
              <w:autoSpaceDN w:val="0"/>
              <w:adjustRightInd w:val="0"/>
              <w:jc w:val="center"/>
              <w:rPr>
                <w:rFonts w:ascii="宋体" w:hAnsi="宋体" w:eastAsia="宋体" w:cs="Times New Roman"/>
                <w:color w:val="auto"/>
                <w:highlight w:val="none"/>
              </w:rPr>
            </w:pPr>
          </w:p>
        </w:tc>
        <w:tc>
          <w:tcPr>
            <w:tcW w:w="1065" w:type="pct"/>
            <w:noWrap w:val="0"/>
            <w:vAlign w:val="center"/>
          </w:tcPr>
          <w:p>
            <w:pPr>
              <w:autoSpaceDE w:val="0"/>
              <w:autoSpaceDN w:val="0"/>
              <w:adjustRightInd w:val="0"/>
              <w:jc w:val="center"/>
              <w:rPr>
                <w:rFonts w:ascii="宋体" w:hAnsi="宋体" w:eastAsia="宋体" w:cs="Times New Roman"/>
                <w:color w:val="auto"/>
                <w:highlight w:val="none"/>
              </w:rPr>
            </w:pPr>
          </w:p>
        </w:tc>
        <w:tc>
          <w:tcPr>
            <w:tcW w:w="1218" w:type="pct"/>
            <w:noWrap w:val="0"/>
            <w:vAlign w:val="center"/>
          </w:tcPr>
          <w:p>
            <w:pPr>
              <w:autoSpaceDE w:val="0"/>
              <w:autoSpaceDN w:val="0"/>
              <w:adjustRightInd w:val="0"/>
              <w:jc w:val="center"/>
              <w:rPr>
                <w:rFonts w:ascii="宋体" w:hAnsi="宋体" w:eastAsia="宋体" w:cs="Times New Roman"/>
                <w:color w:val="auto"/>
                <w:w w:val="80"/>
                <w:highlight w:val="none"/>
              </w:rPr>
            </w:pPr>
          </w:p>
        </w:tc>
        <w:tc>
          <w:tcPr>
            <w:tcW w:w="393" w:type="pct"/>
            <w:noWrap w:val="0"/>
            <w:vAlign w:val="center"/>
          </w:tcPr>
          <w:p>
            <w:pPr>
              <w:autoSpaceDE w:val="0"/>
              <w:autoSpaceDN w:val="0"/>
              <w:adjustRightInd w:val="0"/>
              <w:jc w:val="center"/>
              <w:rPr>
                <w:rFonts w:ascii="宋体" w:hAnsi="宋体" w:eastAsia="宋体" w:cs="Times New Roman"/>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678" w:type="pct"/>
            <w:noWrap w:val="0"/>
            <w:vAlign w:val="center"/>
          </w:tcPr>
          <w:p>
            <w:pPr>
              <w:autoSpaceDE w:val="0"/>
              <w:autoSpaceDN w:val="0"/>
              <w:adjustRightInd w:val="0"/>
              <w:jc w:val="center"/>
              <w:rPr>
                <w:rFonts w:ascii="宋体" w:hAnsi="宋体" w:eastAsia="宋体" w:cs="Times New Roman"/>
                <w:color w:val="auto"/>
                <w:highlight w:val="none"/>
              </w:rPr>
            </w:pPr>
          </w:p>
        </w:tc>
        <w:tc>
          <w:tcPr>
            <w:tcW w:w="1644" w:type="pct"/>
            <w:noWrap w:val="0"/>
            <w:vAlign w:val="center"/>
          </w:tcPr>
          <w:p>
            <w:pPr>
              <w:autoSpaceDE w:val="0"/>
              <w:autoSpaceDN w:val="0"/>
              <w:adjustRightInd w:val="0"/>
              <w:jc w:val="center"/>
              <w:rPr>
                <w:rFonts w:ascii="宋体" w:hAnsi="宋体" w:eastAsia="宋体" w:cs="Times New Roman"/>
                <w:color w:val="auto"/>
                <w:highlight w:val="none"/>
              </w:rPr>
            </w:pPr>
            <w:r>
              <w:rPr>
                <w:rFonts w:hint="eastAsia" w:ascii="宋体" w:hAnsi="宋体" w:eastAsia="宋体" w:cs="Times New Roman"/>
                <w:color w:val="auto"/>
                <w:highlight w:val="none"/>
              </w:rPr>
              <w:t>...</w:t>
            </w:r>
          </w:p>
        </w:tc>
        <w:tc>
          <w:tcPr>
            <w:tcW w:w="1065" w:type="pct"/>
            <w:noWrap w:val="0"/>
            <w:vAlign w:val="center"/>
          </w:tcPr>
          <w:p>
            <w:pPr>
              <w:autoSpaceDE w:val="0"/>
              <w:autoSpaceDN w:val="0"/>
              <w:adjustRightInd w:val="0"/>
              <w:jc w:val="center"/>
              <w:rPr>
                <w:rFonts w:ascii="宋体" w:hAnsi="宋体" w:eastAsia="宋体" w:cs="Times New Roman"/>
                <w:color w:val="auto"/>
                <w:highlight w:val="none"/>
              </w:rPr>
            </w:pPr>
          </w:p>
        </w:tc>
        <w:tc>
          <w:tcPr>
            <w:tcW w:w="1218" w:type="pct"/>
            <w:noWrap w:val="0"/>
            <w:vAlign w:val="center"/>
          </w:tcPr>
          <w:p>
            <w:pPr>
              <w:autoSpaceDE w:val="0"/>
              <w:autoSpaceDN w:val="0"/>
              <w:adjustRightInd w:val="0"/>
              <w:jc w:val="center"/>
              <w:rPr>
                <w:rFonts w:ascii="宋体" w:hAnsi="宋体" w:eastAsia="宋体" w:cs="Times New Roman"/>
                <w:color w:val="auto"/>
                <w:w w:val="80"/>
                <w:highlight w:val="none"/>
              </w:rPr>
            </w:pPr>
          </w:p>
        </w:tc>
        <w:tc>
          <w:tcPr>
            <w:tcW w:w="393" w:type="pct"/>
            <w:noWrap w:val="0"/>
            <w:vAlign w:val="center"/>
          </w:tcPr>
          <w:p>
            <w:pPr>
              <w:autoSpaceDE w:val="0"/>
              <w:autoSpaceDN w:val="0"/>
              <w:adjustRightInd w:val="0"/>
              <w:jc w:val="center"/>
              <w:rPr>
                <w:rFonts w:ascii="宋体" w:hAnsi="宋体" w:eastAsia="宋体" w:cs="Times New Roman"/>
                <w:color w:val="auto"/>
                <w:w w:val="80"/>
                <w:highlight w:val="none"/>
              </w:rPr>
            </w:pPr>
          </w:p>
        </w:tc>
      </w:tr>
    </w:tbl>
    <w:p>
      <w:pPr>
        <w:spacing w:line="360" w:lineRule="auto"/>
        <w:rPr>
          <w:rFonts w:ascii="宋体" w:hAnsi="宋体" w:eastAsia="宋体" w:cs="Times New Roman"/>
          <w:color w:val="auto"/>
          <w:highlight w:val="none"/>
        </w:rPr>
      </w:pPr>
    </w:p>
    <w:p>
      <w:pPr>
        <w:rPr>
          <w:rFonts w:ascii="宋体" w:hAnsi="宋体" w:eastAsia="宋体" w:cs="Times New Roman"/>
          <w:b/>
          <w:color w:val="auto"/>
          <w:highlight w:val="none"/>
        </w:rPr>
      </w:pPr>
      <w:r>
        <w:rPr>
          <w:rFonts w:ascii="宋体" w:hAnsi="宋体" w:eastAsia="宋体" w:cs="Times New Roman"/>
          <w:b/>
          <w:color w:val="auto"/>
          <w:highlight w:val="none"/>
        </w:rPr>
        <w:t>[说明]</w:t>
      </w:r>
    </w:p>
    <w:p>
      <w:pPr>
        <w:numPr>
          <w:ilvl w:val="0"/>
          <w:numId w:val="11"/>
        </w:numPr>
        <w:rPr>
          <w:rFonts w:hint="eastAsia" w:ascii="宋体" w:hAnsi="宋体" w:eastAsia="宋体" w:cs="Times New Roman"/>
          <w:color w:val="auto"/>
          <w:highlight w:val="none"/>
        </w:rPr>
      </w:pPr>
      <w:r>
        <w:rPr>
          <w:rFonts w:hint="eastAsia" w:ascii="宋体" w:hAnsi="宋体" w:eastAsia="宋体" w:cs="Times New Roman"/>
          <w:color w:val="auto"/>
          <w:highlight w:val="none"/>
        </w:rPr>
        <w:t>重要条款是指用户需求书中标“▲”条款。</w:t>
      </w:r>
    </w:p>
    <w:p>
      <w:pPr>
        <w:numPr>
          <w:ilvl w:val="0"/>
          <w:numId w:val="11"/>
        </w:numPr>
        <w:rPr>
          <w:rFonts w:hint="eastAsia" w:ascii="宋体" w:hAnsi="宋体" w:eastAsia="宋体" w:cs="Times New Roman"/>
          <w:color w:val="auto"/>
          <w:highlight w:val="none"/>
        </w:rPr>
      </w:pPr>
      <w:r>
        <w:rPr>
          <w:rFonts w:hint="eastAsia" w:ascii="宋体" w:hAnsi="宋体" w:eastAsia="宋体" w:cs="Times New Roman"/>
          <w:color w:val="auto"/>
          <w:highlight w:val="none"/>
        </w:rPr>
        <w:t>一般条款是指用户需求书中除标“▲”条款及“★”条款的其他条款。</w:t>
      </w:r>
    </w:p>
    <w:p>
      <w:pPr>
        <w:numPr>
          <w:ilvl w:val="0"/>
          <w:numId w:val="11"/>
        </w:numPr>
        <w:rPr>
          <w:rFonts w:ascii="宋体" w:hAnsi="宋体" w:eastAsia="宋体" w:cs="Times New Roman"/>
          <w:color w:val="auto"/>
          <w:highlight w:val="none"/>
        </w:rPr>
      </w:pPr>
      <w:r>
        <w:rPr>
          <w:rFonts w:ascii="宋体" w:hAnsi="宋体" w:eastAsia="宋体" w:cs="Times New Roman"/>
          <w:color w:val="auto"/>
          <w:highlight w:val="none"/>
        </w:rPr>
        <w:t>投标人应按照招标文件要求和</w:t>
      </w:r>
      <w:r>
        <w:rPr>
          <w:rFonts w:hint="eastAsia" w:ascii="宋体" w:hAnsi="宋体" w:cs="Times New Roman"/>
          <w:color w:val="auto"/>
          <w:highlight w:val="none"/>
          <w:lang w:val="en-US" w:eastAsia="zh-CN"/>
        </w:rPr>
        <w:t>评标办法对</w:t>
      </w:r>
      <w:r>
        <w:rPr>
          <w:rFonts w:ascii="宋体" w:hAnsi="宋体" w:eastAsia="宋体" w:cs="Times New Roman"/>
          <w:color w:val="auto"/>
          <w:highlight w:val="none"/>
        </w:rPr>
        <w:t>“</w:t>
      </w:r>
      <w:r>
        <w:rPr>
          <w:rFonts w:hint="eastAsia" w:ascii="宋体" w:hAnsi="宋体" w:eastAsia="宋体" w:cs="Times New Roman"/>
          <w:color w:val="auto"/>
          <w:highlight w:val="none"/>
        </w:rPr>
        <w:t>用户需求书</w:t>
      </w:r>
      <w:r>
        <w:rPr>
          <w:rFonts w:ascii="宋体" w:hAnsi="宋体" w:eastAsia="宋体" w:cs="Times New Roman"/>
          <w:color w:val="auto"/>
          <w:highlight w:val="none"/>
        </w:rPr>
        <w:t>”</w:t>
      </w:r>
      <w:r>
        <w:rPr>
          <w:rFonts w:hint="eastAsia" w:ascii="宋体" w:hAnsi="宋体" w:cs="Times New Roman"/>
          <w:color w:val="auto"/>
          <w:highlight w:val="none"/>
          <w:lang w:val="en-US" w:eastAsia="zh-CN"/>
        </w:rPr>
        <w:t>的内容逐一</w:t>
      </w:r>
      <w:r>
        <w:rPr>
          <w:rFonts w:ascii="宋体" w:hAnsi="宋体" w:eastAsia="宋体" w:cs="Times New Roman"/>
          <w:color w:val="auto"/>
          <w:highlight w:val="none"/>
        </w:rPr>
        <w:t>作出响应，如有差异的在“差异描述”栏中详细描述差异情况。</w:t>
      </w:r>
    </w:p>
    <w:p>
      <w:pPr>
        <w:pStyle w:val="24"/>
        <w:rPr>
          <w:rFonts w:hint="default" w:eastAsia="宋体"/>
          <w:color w:val="auto"/>
          <w:highlight w:val="none"/>
          <w:lang w:val="en-US" w:eastAsia="zh-CN"/>
        </w:rPr>
      </w:pPr>
      <w:r>
        <w:rPr>
          <w:rFonts w:hint="eastAsia" w:ascii="宋体" w:hAnsi="宋体" w:cs="Times New Roman"/>
          <w:color w:val="auto"/>
          <w:highlight w:val="none"/>
          <w:lang w:val="en-US" w:eastAsia="zh-CN"/>
        </w:rPr>
        <w:t>4、如</w:t>
      </w:r>
      <w:r>
        <w:rPr>
          <w:rFonts w:hint="eastAsia" w:ascii="宋体" w:hAnsi="宋体" w:eastAsia="宋体" w:cs="Times New Roman"/>
          <w:color w:val="auto"/>
          <w:highlight w:val="none"/>
        </w:rPr>
        <w:t>“▲”条款</w:t>
      </w:r>
      <w:r>
        <w:rPr>
          <w:rFonts w:hint="eastAsia" w:ascii="宋体" w:hAnsi="宋体" w:cs="Times New Roman"/>
          <w:color w:val="auto"/>
          <w:highlight w:val="none"/>
          <w:lang w:val="en-US" w:eastAsia="zh-CN"/>
        </w:rPr>
        <w:t>和“</w:t>
      </w:r>
      <w:r>
        <w:rPr>
          <w:rFonts w:hint="eastAsia" w:ascii="宋体" w:hAnsi="宋体" w:eastAsia="宋体" w:cs="宋体"/>
          <w:bCs/>
          <w:color w:val="auto"/>
          <w:szCs w:val="21"/>
          <w:highlight w:val="none"/>
        </w:rPr>
        <w:t>一般条款</w:t>
      </w:r>
      <w:r>
        <w:rPr>
          <w:rFonts w:hint="eastAsia" w:ascii="宋体" w:hAnsi="宋体" w:cs="Times New Roman"/>
          <w:color w:val="auto"/>
          <w:highlight w:val="none"/>
          <w:lang w:val="en-US" w:eastAsia="zh-CN"/>
        </w:rPr>
        <w:t>”需要提供证明材料的，投标人应按要求在投标文件中提供。</w:t>
      </w:r>
    </w:p>
    <w:p>
      <w:pPr>
        <w:tabs>
          <w:tab w:val="left" w:pos="676"/>
          <w:tab w:val="left" w:pos="2330"/>
          <w:tab w:val="left" w:pos="9230"/>
        </w:tabs>
        <w:autoSpaceDE w:val="0"/>
        <w:autoSpaceDN w:val="0"/>
        <w:adjustRightInd w:val="0"/>
        <w:spacing w:line="360" w:lineRule="auto"/>
        <w:ind w:left="4700" w:leftChars="2238"/>
        <w:rPr>
          <w:rFonts w:hint="eastAsia" w:ascii="宋体" w:hAnsi="宋体" w:eastAsia="宋体" w:cs="Times New Roman"/>
          <w:color w:val="auto"/>
          <w:highlight w:val="none"/>
        </w:rPr>
      </w:pPr>
    </w:p>
    <w:p>
      <w:pPr>
        <w:tabs>
          <w:tab w:val="left" w:pos="676"/>
          <w:tab w:val="left" w:pos="2330"/>
          <w:tab w:val="left" w:pos="9230"/>
        </w:tabs>
        <w:autoSpaceDE w:val="0"/>
        <w:autoSpaceDN w:val="0"/>
        <w:adjustRightInd w:val="0"/>
        <w:spacing w:line="360" w:lineRule="auto"/>
        <w:ind w:left="4700" w:leftChars="2238"/>
        <w:rPr>
          <w:rFonts w:hint="eastAsia" w:ascii="宋体" w:hAnsi="宋体" w:eastAsia="宋体" w:cs="Times New Roman"/>
          <w:color w:val="auto"/>
          <w:highlight w:val="none"/>
        </w:rPr>
      </w:pPr>
    </w:p>
    <w:p>
      <w:pPr>
        <w:spacing w:line="480" w:lineRule="auto"/>
        <w:ind w:firstLine="3990" w:firstLineChars="1900"/>
        <w:rPr>
          <w:rFonts w:hint="eastAsia" w:ascii="宋体" w:hAnsi="宋体" w:eastAsia="宋体" w:cs="Times New Roman"/>
          <w:color w:val="auto"/>
          <w:szCs w:val="22"/>
          <w:highlight w:val="none"/>
        </w:rPr>
      </w:pPr>
      <w:r>
        <w:rPr>
          <w:rFonts w:hint="eastAsia" w:ascii="宋体" w:hAnsi="宋体" w:eastAsia="宋体" w:cs="Times New Roman"/>
          <w:color w:val="auto"/>
          <w:szCs w:val="22"/>
          <w:highlight w:val="none"/>
        </w:rPr>
        <w:t>投标人名称:（盖章）</w:t>
      </w:r>
    </w:p>
    <w:p>
      <w:pPr>
        <w:spacing w:line="480" w:lineRule="auto"/>
        <w:ind w:firstLine="3990" w:firstLineChars="1900"/>
        <w:rPr>
          <w:rFonts w:hint="eastAsia" w:ascii="宋体" w:hAnsi="宋体" w:eastAsia="宋体" w:cs="Times New Roman"/>
          <w:color w:val="auto"/>
          <w:szCs w:val="22"/>
          <w:highlight w:val="none"/>
        </w:rPr>
      </w:pPr>
      <w:r>
        <w:rPr>
          <w:rFonts w:hint="eastAsia" w:ascii="宋体" w:hAnsi="宋体" w:eastAsia="宋体" w:cs="Times New Roman"/>
          <w:color w:val="auto"/>
          <w:szCs w:val="22"/>
          <w:highlight w:val="none"/>
        </w:rPr>
        <w:t>日期：    年   月   日</w:t>
      </w:r>
    </w:p>
    <w:p>
      <w:pPr>
        <w:rPr>
          <w:rFonts w:hint="eastAsia" w:ascii="宋体" w:hAnsi="宋体" w:eastAsia="宋体" w:cs="宋体"/>
          <w:color w:val="auto"/>
          <w:highlight w:val="none"/>
        </w:rPr>
      </w:pPr>
    </w:p>
    <w:p>
      <w:pPr>
        <w:tabs>
          <w:tab w:val="left" w:pos="676"/>
          <w:tab w:val="left" w:pos="2330"/>
          <w:tab w:val="left" w:pos="9230"/>
        </w:tabs>
        <w:autoSpaceDE w:val="0"/>
        <w:autoSpaceDN w:val="0"/>
        <w:adjustRightInd w:val="0"/>
        <w:spacing w:line="360" w:lineRule="auto"/>
        <w:ind w:left="4700" w:leftChars="2238"/>
        <w:rPr>
          <w:rFonts w:hint="eastAsia" w:ascii="宋体" w:hAnsi="宋体" w:eastAsia="宋体" w:cs="宋体"/>
          <w:color w:val="auto"/>
          <w:highlight w:val="none"/>
        </w:rPr>
      </w:pPr>
    </w:p>
    <w:p>
      <w:pPr>
        <w:tabs>
          <w:tab w:val="left" w:pos="676"/>
          <w:tab w:val="left" w:pos="2330"/>
          <w:tab w:val="left" w:pos="9230"/>
        </w:tabs>
        <w:autoSpaceDE w:val="0"/>
        <w:autoSpaceDN w:val="0"/>
        <w:adjustRightInd w:val="0"/>
        <w:spacing w:line="360" w:lineRule="auto"/>
        <w:ind w:left="4700" w:leftChars="2238"/>
        <w:rPr>
          <w:rFonts w:hint="eastAsia" w:ascii="宋体" w:hAnsi="宋体" w:eastAsia="宋体" w:cs="宋体"/>
          <w:color w:val="auto"/>
          <w:highlight w:val="none"/>
        </w:rPr>
      </w:pPr>
    </w:p>
    <w:p>
      <w:pPr>
        <w:tabs>
          <w:tab w:val="left" w:pos="676"/>
          <w:tab w:val="left" w:pos="2330"/>
          <w:tab w:val="left" w:pos="9230"/>
        </w:tabs>
        <w:autoSpaceDE w:val="0"/>
        <w:autoSpaceDN w:val="0"/>
        <w:adjustRightInd w:val="0"/>
        <w:jc w:val="center"/>
        <w:rPr>
          <w:rFonts w:hint="eastAsia" w:ascii="宋体" w:hAnsi="宋体" w:eastAsia="宋体" w:cs="宋体"/>
          <w:color w:val="auto"/>
          <w:highlight w:val="none"/>
        </w:rPr>
      </w:pPr>
    </w:p>
    <w:p>
      <w:pPr>
        <w:tabs>
          <w:tab w:val="left" w:pos="7200"/>
        </w:tabs>
        <w:autoSpaceDE w:val="0"/>
        <w:autoSpaceDN w:val="0"/>
        <w:adjustRightInd w:val="0"/>
        <w:spacing w:line="300" w:lineRule="auto"/>
        <w:jc w:val="left"/>
        <w:rPr>
          <w:rFonts w:hint="eastAsia" w:ascii="宋体" w:hAnsi="宋体" w:eastAsia="宋体" w:cs="宋体"/>
          <w:color w:val="auto"/>
          <w:sz w:val="24"/>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24"/>
          <w:highlight w:val="none"/>
        </w:rPr>
        <w:t>格式6.1.2</w:t>
      </w:r>
    </w:p>
    <w:p>
      <w:pPr>
        <w:spacing w:line="360" w:lineRule="auto"/>
        <w:jc w:val="center"/>
        <w:rPr>
          <w:rFonts w:hint="eastAsia" w:ascii="宋体" w:hAnsi="宋体" w:eastAsia="宋体" w:cs="宋体"/>
          <w:b/>
          <w:color w:val="auto"/>
          <w:sz w:val="32"/>
          <w:szCs w:val="36"/>
          <w:highlight w:val="none"/>
        </w:rPr>
      </w:pPr>
      <w:r>
        <w:rPr>
          <w:rFonts w:hint="eastAsia" w:ascii="宋体" w:hAnsi="宋体" w:eastAsia="宋体" w:cs="宋体"/>
          <w:b/>
          <w:color w:val="auto"/>
          <w:sz w:val="28"/>
          <w:szCs w:val="28"/>
          <w:highlight w:val="none"/>
        </w:rPr>
        <w:t>关键条款响应表</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194"/>
        <w:gridCol w:w="2616"/>
        <w:gridCol w:w="1216"/>
        <w:gridCol w:w="1216"/>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用户需求书相应序号</w:t>
            </w:r>
          </w:p>
        </w:tc>
        <w:tc>
          <w:tcPr>
            <w:tcW w:w="2616" w:type="dxa"/>
            <w:noWrap w:val="0"/>
            <w:vAlign w:val="center"/>
          </w:tcPr>
          <w:p>
            <w:pPr>
              <w:autoSpaceDE w:val="0"/>
              <w:autoSpaceDN w:val="0"/>
              <w:adjustRightInd w:val="0"/>
              <w:jc w:val="center"/>
              <w:rPr>
                <w:rFonts w:hint="eastAsia" w:ascii="Times New Roman" w:hAnsi="Times New Roman" w:eastAsia="宋体" w:cs="Times New Roman"/>
                <w:color w:val="auto"/>
                <w:szCs w:val="22"/>
                <w:highlight w:val="none"/>
              </w:rPr>
            </w:pPr>
            <w:r>
              <w:rPr>
                <w:rFonts w:hint="eastAsia" w:ascii="Times New Roman" w:hAnsi="Times New Roman" w:eastAsia="宋体" w:cs="Times New Roman"/>
                <w:color w:val="auto"/>
                <w:szCs w:val="22"/>
                <w:highlight w:val="none"/>
              </w:rPr>
              <w:t>关键条款（★条款）相关内容</w:t>
            </w:r>
          </w:p>
        </w:tc>
        <w:tc>
          <w:tcPr>
            <w:tcW w:w="1216" w:type="dxa"/>
            <w:noWrap w:val="0"/>
            <w:vAlign w:val="center"/>
          </w:tcPr>
          <w:p>
            <w:pPr>
              <w:autoSpaceDE w:val="0"/>
              <w:autoSpaceDN w:val="0"/>
              <w:adjustRightInd w:val="0"/>
              <w:jc w:val="center"/>
              <w:rPr>
                <w:rFonts w:hint="eastAsia"/>
                <w:color w:val="auto"/>
                <w:szCs w:val="22"/>
                <w:highlight w:val="none"/>
              </w:rPr>
            </w:pPr>
            <w:r>
              <w:rPr>
                <w:rFonts w:hint="eastAsia"/>
                <w:color w:val="auto"/>
                <w:szCs w:val="22"/>
                <w:highlight w:val="none"/>
              </w:rPr>
              <w:t>偏离情况</w:t>
            </w:r>
          </w:p>
        </w:tc>
        <w:tc>
          <w:tcPr>
            <w:tcW w:w="1216" w:type="dxa"/>
            <w:noWrap w:val="0"/>
            <w:vAlign w:val="center"/>
          </w:tcPr>
          <w:p>
            <w:pPr>
              <w:autoSpaceDE w:val="0"/>
              <w:autoSpaceDN w:val="0"/>
              <w:adjustRightInd w:val="0"/>
              <w:jc w:val="center"/>
              <w:rPr>
                <w:rFonts w:hint="eastAsia" w:ascii="Times New Roman" w:hAnsi="Times New Roman" w:eastAsia="宋体" w:cs="Times New Roman"/>
                <w:color w:val="auto"/>
                <w:szCs w:val="22"/>
                <w:highlight w:val="none"/>
              </w:rPr>
            </w:pPr>
            <w:r>
              <w:rPr>
                <w:rFonts w:hint="eastAsia" w:ascii="Times New Roman" w:hAnsi="Times New Roman" w:eastAsia="宋体" w:cs="Times New Roman"/>
                <w:color w:val="auto"/>
                <w:szCs w:val="22"/>
                <w:highlight w:val="none"/>
              </w:rPr>
              <w:t>响应内容描述</w:t>
            </w:r>
          </w:p>
        </w:tc>
        <w:tc>
          <w:tcPr>
            <w:tcW w:w="2318" w:type="dxa"/>
            <w:noWrap w:val="0"/>
            <w:vAlign w:val="center"/>
          </w:tcPr>
          <w:p>
            <w:pPr>
              <w:autoSpaceDE w:val="0"/>
              <w:autoSpaceDN w:val="0"/>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eastAsia="宋体" w:cs="宋体"/>
                <w:color w:val="auto"/>
                <w:highlight w:val="none"/>
              </w:rPr>
            </w:pPr>
            <w:r>
              <w:rPr>
                <w:rFonts w:hint="eastAsia" w:ascii="宋体" w:hAnsi="宋体" w:cs="宋体"/>
                <w:color w:val="auto"/>
                <w:szCs w:val="21"/>
                <w:highlight w:val="none"/>
              </w:rPr>
              <w:t>2.2.3</w:t>
            </w:r>
          </w:p>
        </w:tc>
        <w:tc>
          <w:tcPr>
            <w:tcW w:w="2616" w:type="dxa"/>
            <w:noWrap w:val="0"/>
            <w:vAlign w:val="center"/>
          </w:tcPr>
          <w:p>
            <w:pPr>
              <w:autoSpaceDE w:val="0"/>
              <w:autoSpaceDN w:val="0"/>
              <w:adjustRightInd w:val="0"/>
              <w:jc w:val="center"/>
              <w:rPr>
                <w:rFonts w:hint="eastAsia" w:ascii="宋体" w:hAnsi="宋体" w:eastAsia="宋体" w:cs="宋体"/>
                <w:color w:val="auto"/>
                <w:highlight w:val="none"/>
              </w:rPr>
            </w:pPr>
            <w:r>
              <w:rPr>
                <w:rFonts w:ascii="宋体" w:hAnsi="宋体" w:cs="宋体"/>
                <w:color w:val="auto"/>
                <w:szCs w:val="21"/>
                <w:highlight w:val="none"/>
              </w:rPr>
              <w:t>★</w:t>
            </w:r>
            <w:r>
              <w:rPr>
                <w:rFonts w:hint="eastAsia" w:ascii="宋体" w:hAnsi="宋体" w:cs="宋体"/>
                <w:color w:val="auto"/>
                <w:szCs w:val="21"/>
                <w:highlight w:val="none"/>
              </w:rPr>
              <w:t>需支持最高分辨率4K@60帧输入输出，且分辨率和帧率自适应向下兼容，确保图像动态细节和流畅性；</w:t>
            </w:r>
          </w:p>
        </w:tc>
        <w:tc>
          <w:tcPr>
            <w:tcW w:w="1216" w:type="dxa"/>
            <w:noWrap w:val="0"/>
            <w:vAlign w:val="center"/>
          </w:tcPr>
          <w:p>
            <w:pPr>
              <w:autoSpaceDE w:val="0"/>
              <w:autoSpaceDN w:val="0"/>
              <w:adjustRightInd w:val="0"/>
              <w:jc w:val="center"/>
              <w:rPr>
                <w:rFonts w:hint="eastAsia" w:ascii="宋体" w:hAnsi="宋体" w:eastAsia="宋体" w:cs="宋体"/>
                <w:color w:val="auto"/>
                <w:highlight w:val="none"/>
              </w:rPr>
            </w:pPr>
          </w:p>
        </w:tc>
        <w:tc>
          <w:tcPr>
            <w:tcW w:w="1216" w:type="dxa"/>
            <w:noWrap w:val="0"/>
            <w:vAlign w:val="center"/>
          </w:tcPr>
          <w:p>
            <w:pPr>
              <w:autoSpaceDE w:val="0"/>
              <w:autoSpaceDN w:val="0"/>
              <w:adjustRightInd w:val="0"/>
              <w:jc w:val="center"/>
              <w:rPr>
                <w:rFonts w:hint="eastAsia" w:ascii="宋体" w:hAnsi="宋体" w:eastAsia="宋体" w:cs="宋体"/>
                <w:color w:val="auto"/>
                <w:highlight w:val="none"/>
              </w:rPr>
            </w:pPr>
          </w:p>
        </w:tc>
        <w:tc>
          <w:tcPr>
            <w:tcW w:w="2318" w:type="dxa"/>
            <w:noWrap w:val="0"/>
            <w:vAlign w:val="center"/>
          </w:tcPr>
          <w:p>
            <w:pPr>
              <w:autoSpaceDE w:val="0"/>
              <w:autoSpaceDN w:val="0"/>
              <w:adjustRightInd w:val="0"/>
              <w:jc w:val="center"/>
              <w:rPr>
                <w:rFonts w:hint="eastAsia" w:ascii="宋体" w:hAnsi="宋体" w:eastAsia="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eastAsia="宋体" w:cs="宋体"/>
                <w:color w:val="auto"/>
                <w:highlight w:val="none"/>
              </w:rPr>
            </w:pPr>
          </w:p>
        </w:tc>
        <w:tc>
          <w:tcPr>
            <w:tcW w:w="2616" w:type="dxa"/>
            <w:noWrap w:val="0"/>
            <w:vAlign w:val="center"/>
          </w:tcPr>
          <w:p>
            <w:pPr>
              <w:autoSpaceDE w:val="0"/>
              <w:autoSpaceDN w:val="0"/>
              <w:adjustRightInd w:val="0"/>
              <w:jc w:val="center"/>
              <w:rPr>
                <w:rFonts w:hint="eastAsia" w:ascii="宋体" w:hAnsi="宋体" w:eastAsia="宋体" w:cs="宋体"/>
                <w:color w:val="auto"/>
                <w:highlight w:val="none"/>
              </w:rPr>
            </w:pPr>
            <w:r>
              <w:rPr>
                <w:rFonts w:hint="eastAsia" w:ascii="宋体" w:hAnsi="宋体" w:cs="宋体"/>
                <w:color w:val="auto"/>
                <w:sz w:val="21"/>
                <w:szCs w:val="21"/>
                <w:highlight w:val="none"/>
                <w:lang w:val="zh-CN"/>
              </w:rPr>
              <w:t>★投标人须承诺：保证所投设备各项指标与投标响应情况一致，</w:t>
            </w:r>
            <w:r>
              <w:rPr>
                <w:rFonts w:hint="eastAsia" w:ascii="宋体" w:hAnsi="宋体" w:eastAsia="宋体" w:cs="宋体"/>
                <w:color w:val="auto"/>
                <w:sz w:val="21"/>
                <w:szCs w:val="21"/>
                <w:highlight w:val="none"/>
                <w:lang w:val="en-US" w:eastAsia="zh-CN"/>
              </w:rPr>
              <w:t>招标人</w:t>
            </w:r>
            <w:r>
              <w:rPr>
                <w:rFonts w:hint="eastAsia" w:ascii="宋体" w:hAnsi="宋体" w:cs="宋体"/>
                <w:color w:val="auto"/>
                <w:sz w:val="21"/>
                <w:szCs w:val="21"/>
                <w:highlight w:val="none"/>
                <w:lang w:val="zh-CN"/>
              </w:rPr>
              <w:t>有权对中标人所提供的设备进行功能和性能测试，有权要求中标人按投标文件响应情况提供检测报告或证书原件。若出现实际供货产品与投标响应不一致的，</w:t>
            </w:r>
            <w:r>
              <w:rPr>
                <w:rFonts w:hint="eastAsia" w:ascii="宋体" w:hAnsi="宋体" w:eastAsia="宋体" w:cs="宋体"/>
                <w:color w:val="auto"/>
                <w:sz w:val="21"/>
                <w:szCs w:val="21"/>
                <w:highlight w:val="none"/>
                <w:lang w:val="en-US" w:eastAsia="zh-CN"/>
              </w:rPr>
              <w:t>招标人</w:t>
            </w:r>
            <w:r>
              <w:rPr>
                <w:rFonts w:hint="eastAsia" w:ascii="宋体" w:hAnsi="宋体" w:cs="宋体"/>
                <w:color w:val="auto"/>
                <w:sz w:val="21"/>
                <w:szCs w:val="21"/>
                <w:highlight w:val="none"/>
                <w:lang w:val="zh-CN"/>
              </w:rPr>
              <w:t>有权将中标人涉嫌虚假响应的实际情况上报监督管理部门，由此引起的后果由中标人承担。（投标时提供承诺书，格式自拟）</w:t>
            </w:r>
          </w:p>
        </w:tc>
        <w:tc>
          <w:tcPr>
            <w:tcW w:w="1216" w:type="dxa"/>
            <w:noWrap w:val="0"/>
            <w:vAlign w:val="center"/>
          </w:tcPr>
          <w:p>
            <w:pPr>
              <w:autoSpaceDE w:val="0"/>
              <w:autoSpaceDN w:val="0"/>
              <w:adjustRightInd w:val="0"/>
              <w:jc w:val="center"/>
              <w:rPr>
                <w:rFonts w:hint="eastAsia" w:ascii="宋体" w:hAnsi="宋体" w:eastAsia="宋体" w:cs="宋体"/>
                <w:color w:val="auto"/>
                <w:highlight w:val="none"/>
              </w:rPr>
            </w:pPr>
          </w:p>
        </w:tc>
        <w:tc>
          <w:tcPr>
            <w:tcW w:w="1216" w:type="dxa"/>
            <w:noWrap w:val="0"/>
            <w:vAlign w:val="center"/>
          </w:tcPr>
          <w:p>
            <w:pPr>
              <w:autoSpaceDE w:val="0"/>
              <w:autoSpaceDN w:val="0"/>
              <w:adjustRightInd w:val="0"/>
              <w:jc w:val="center"/>
              <w:rPr>
                <w:rFonts w:hint="eastAsia" w:ascii="宋体" w:hAnsi="宋体" w:eastAsia="宋体" w:cs="宋体"/>
                <w:color w:val="auto"/>
                <w:highlight w:val="none"/>
              </w:rPr>
            </w:pPr>
          </w:p>
        </w:tc>
        <w:tc>
          <w:tcPr>
            <w:tcW w:w="2318" w:type="dxa"/>
            <w:noWrap w:val="0"/>
            <w:vAlign w:val="center"/>
          </w:tcPr>
          <w:p>
            <w:pPr>
              <w:autoSpaceDE w:val="0"/>
              <w:autoSpaceDN w:val="0"/>
              <w:adjustRightInd w:val="0"/>
              <w:jc w:val="center"/>
              <w:rPr>
                <w:rFonts w:hint="eastAsia" w:ascii="宋体" w:hAnsi="宋体" w:eastAsia="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eastAsia="宋体" w:cs="宋体"/>
                <w:color w:val="auto"/>
                <w:highlight w:val="none"/>
              </w:rPr>
            </w:pPr>
            <w:r>
              <w:rPr>
                <w:rFonts w:hint="eastAsia" w:ascii="宋体" w:hAnsi="宋体" w:cs="宋体"/>
                <w:color w:val="auto"/>
                <w:sz w:val="21"/>
                <w:szCs w:val="21"/>
                <w:highlight w:val="none"/>
                <w:lang w:val="zh-CN"/>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 w:val="21"/>
                <w:szCs w:val="21"/>
                <w:highlight w:val="none"/>
                <w:lang w:val="en-US" w:eastAsia="zh-CN"/>
              </w:rPr>
              <w:t>.</w:t>
            </w:r>
          </w:p>
        </w:tc>
        <w:tc>
          <w:tcPr>
            <w:tcW w:w="2616" w:type="dxa"/>
            <w:noWrap w:val="0"/>
            <w:vAlign w:val="center"/>
          </w:tcPr>
          <w:p>
            <w:pPr>
              <w:autoSpaceDE w:val="0"/>
              <w:autoSpaceDN w:val="0"/>
              <w:adjustRightInd w:val="0"/>
              <w:jc w:val="center"/>
              <w:rPr>
                <w:rFonts w:hint="eastAsia" w:ascii="宋体" w:hAnsi="宋体" w:eastAsia="宋体" w:cs="宋体"/>
                <w:color w:val="auto"/>
                <w:highlight w:val="none"/>
              </w:rPr>
            </w:pPr>
            <w:r>
              <w:rPr>
                <w:rFonts w:hint="eastAsia" w:ascii="宋体" w:hAnsi="宋体" w:eastAsia="宋体" w:cs="宋体"/>
                <w:color w:val="auto"/>
                <w:szCs w:val="21"/>
                <w:highlight w:val="none"/>
                <w:lang w:val="en-US" w:eastAsia="zh-CN"/>
              </w:rPr>
              <w:t>根据招标文件规定，本项目需提供样品演示，</w:t>
            </w:r>
            <w:r>
              <w:rPr>
                <w:rFonts w:hint="eastAsia" w:ascii="宋体" w:hAnsi="宋体" w:cs="宋体"/>
                <w:color w:val="auto"/>
                <w:sz w:val="21"/>
                <w:szCs w:val="21"/>
                <w:highlight w:val="none"/>
                <w:lang w:val="zh-CN"/>
              </w:rPr>
              <w:t>演示的设备需与投标型号完全一致。</w:t>
            </w:r>
          </w:p>
        </w:tc>
        <w:tc>
          <w:tcPr>
            <w:tcW w:w="1216" w:type="dxa"/>
            <w:noWrap w:val="0"/>
            <w:vAlign w:val="center"/>
          </w:tcPr>
          <w:p>
            <w:pPr>
              <w:autoSpaceDE w:val="0"/>
              <w:autoSpaceDN w:val="0"/>
              <w:adjustRightInd w:val="0"/>
              <w:jc w:val="center"/>
              <w:rPr>
                <w:rFonts w:hint="eastAsia" w:ascii="宋体" w:hAnsi="宋体" w:eastAsia="宋体" w:cs="宋体"/>
                <w:color w:val="auto"/>
                <w:highlight w:val="none"/>
              </w:rPr>
            </w:pPr>
          </w:p>
        </w:tc>
        <w:tc>
          <w:tcPr>
            <w:tcW w:w="1216" w:type="dxa"/>
            <w:noWrap w:val="0"/>
            <w:vAlign w:val="center"/>
          </w:tcPr>
          <w:p>
            <w:pPr>
              <w:autoSpaceDE w:val="0"/>
              <w:autoSpaceDN w:val="0"/>
              <w:adjustRightInd w:val="0"/>
              <w:jc w:val="center"/>
              <w:rPr>
                <w:rFonts w:hint="eastAsia" w:ascii="宋体" w:hAnsi="宋体" w:eastAsia="宋体" w:cs="宋体"/>
                <w:color w:val="auto"/>
                <w:highlight w:val="none"/>
              </w:rPr>
            </w:pPr>
          </w:p>
        </w:tc>
        <w:tc>
          <w:tcPr>
            <w:tcW w:w="2318" w:type="dxa"/>
            <w:noWrap w:val="0"/>
            <w:vAlign w:val="center"/>
          </w:tcPr>
          <w:p>
            <w:pPr>
              <w:autoSpaceDE w:val="0"/>
              <w:autoSpaceDN w:val="0"/>
              <w:adjustRightInd w:val="0"/>
              <w:jc w:val="center"/>
              <w:rPr>
                <w:rFonts w:hint="eastAsia" w:ascii="宋体" w:hAnsi="宋体" w:eastAsia="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eastAsia="宋体" w:cs="宋体"/>
                <w:color w:val="auto"/>
                <w:highlight w:val="none"/>
              </w:rPr>
            </w:pPr>
          </w:p>
        </w:tc>
        <w:tc>
          <w:tcPr>
            <w:tcW w:w="2616" w:type="dxa"/>
            <w:noWrap w:val="0"/>
            <w:vAlign w:val="center"/>
          </w:tcPr>
          <w:p>
            <w:pPr>
              <w:autoSpaceDE w:val="0"/>
              <w:autoSpaceDN w:val="0"/>
              <w:adjustRightInd w:val="0"/>
              <w:jc w:val="center"/>
              <w:rPr>
                <w:rFonts w:hint="eastAsia" w:ascii="宋体" w:hAnsi="宋体" w:eastAsia="宋体" w:cs="宋体"/>
                <w:color w:val="auto"/>
                <w:highlight w:val="none"/>
              </w:rPr>
            </w:pPr>
          </w:p>
        </w:tc>
        <w:tc>
          <w:tcPr>
            <w:tcW w:w="1216" w:type="dxa"/>
            <w:noWrap w:val="0"/>
            <w:vAlign w:val="center"/>
          </w:tcPr>
          <w:p>
            <w:pPr>
              <w:autoSpaceDE w:val="0"/>
              <w:autoSpaceDN w:val="0"/>
              <w:adjustRightInd w:val="0"/>
              <w:jc w:val="center"/>
              <w:rPr>
                <w:rFonts w:hint="eastAsia" w:ascii="宋体" w:hAnsi="宋体" w:eastAsia="宋体" w:cs="宋体"/>
                <w:color w:val="auto"/>
                <w:highlight w:val="none"/>
              </w:rPr>
            </w:pPr>
          </w:p>
        </w:tc>
        <w:tc>
          <w:tcPr>
            <w:tcW w:w="1216" w:type="dxa"/>
            <w:noWrap w:val="0"/>
            <w:vAlign w:val="center"/>
          </w:tcPr>
          <w:p>
            <w:pPr>
              <w:autoSpaceDE w:val="0"/>
              <w:autoSpaceDN w:val="0"/>
              <w:adjustRightInd w:val="0"/>
              <w:jc w:val="center"/>
              <w:rPr>
                <w:rFonts w:hint="eastAsia" w:ascii="宋体" w:hAnsi="宋体" w:eastAsia="宋体" w:cs="宋体"/>
                <w:color w:val="auto"/>
                <w:highlight w:val="none"/>
              </w:rPr>
            </w:pPr>
          </w:p>
        </w:tc>
        <w:tc>
          <w:tcPr>
            <w:tcW w:w="2318" w:type="dxa"/>
            <w:noWrap w:val="0"/>
            <w:vAlign w:val="center"/>
          </w:tcPr>
          <w:p>
            <w:pPr>
              <w:autoSpaceDE w:val="0"/>
              <w:autoSpaceDN w:val="0"/>
              <w:adjustRightInd w:val="0"/>
              <w:jc w:val="center"/>
              <w:rPr>
                <w:rFonts w:hint="eastAsia" w:ascii="宋体" w:hAnsi="宋体" w:eastAsia="宋体" w:cs="宋体"/>
                <w:color w:val="auto"/>
                <w:w w:val="80"/>
                <w:highlight w:val="none"/>
              </w:rPr>
            </w:pPr>
          </w:p>
        </w:tc>
      </w:tr>
    </w:tbl>
    <w:p>
      <w:pPr>
        <w:spacing w:line="360" w:lineRule="auto"/>
        <w:rPr>
          <w:rFonts w:hint="eastAsia" w:ascii="宋体" w:hAnsi="宋体" w:eastAsia="宋体" w:cs="宋体"/>
          <w:color w:val="auto"/>
          <w:sz w:val="24"/>
          <w:highlight w:val="none"/>
        </w:rPr>
      </w:pPr>
    </w:p>
    <w:p>
      <w:pPr>
        <w:autoSpaceDE w:val="0"/>
        <w:autoSpaceDN w:val="0"/>
        <w:adjustRightInd w:val="0"/>
        <w:jc w:val="left"/>
        <w:rPr>
          <w:rFonts w:hint="eastAsia" w:ascii="宋体" w:hAnsi="宋体" w:eastAsia="宋体" w:cs="宋体"/>
          <w:color w:val="auto"/>
          <w:highlight w:val="none"/>
        </w:rPr>
      </w:pPr>
      <w:r>
        <w:rPr>
          <w:rFonts w:hint="eastAsia" w:ascii="宋体" w:hAnsi="宋体" w:eastAsia="宋体" w:cs="宋体"/>
          <w:b/>
          <w:color w:val="auto"/>
          <w:highlight w:val="none"/>
        </w:rPr>
        <w:t>[说明]</w:t>
      </w:r>
      <w:r>
        <w:rPr>
          <w:rFonts w:hint="eastAsia" w:ascii="宋体" w:hAnsi="宋体" w:eastAsia="宋体" w:cs="宋体"/>
          <w:color w:val="auto"/>
          <w:highlight w:val="none"/>
        </w:rPr>
        <w:t xml:space="preserve"> 投标人需按各自标段中★技术条款逐一对应响应表填写（如有）</w:t>
      </w:r>
    </w:p>
    <w:p>
      <w:pPr>
        <w:autoSpaceDE w:val="0"/>
        <w:autoSpaceDN w:val="0"/>
        <w:adjustRightInd w:val="0"/>
        <w:jc w:val="left"/>
        <w:rPr>
          <w:rFonts w:hint="eastAsia" w:ascii="宋体" w:hAnsi="宋体" w:eastAsia="宋体" w:cs="宋体"/>
          <w:color w:val="auto"/>
          <w:highlight w:val="none"/>
        </w:rPr>
      </w:pPr>
      <w:r>
        <w:rPr>
          <w:rFonts w:hint="eastAsia" w:ascii="宋体" w:hAnsi="宋体" w:eastAsia="宋体" w:cs="宋体"/>
          <w:color w:val="auto"/>
          <w:highlight w:val="none"/>
        </w:rPr>
        <w:t>投标人必须逐项对★技术条款的</w:t>
      </w:r>
      <w:r>
        <w:rPr>
          <w:rFonts w:hint="eastAsia" w:ascii="宋体" w:hAnsi="宋体" w:eastAsia="宋体" w:cs="宋体"/>
          <w:color w:val="auto"/>
          <w:highlight w:val="none"/>
          <w:lang w:val="en-US" w:eastAsia="zh-CN"/>
        </w:rPr>
        <w:t>偏离情况</w:t>
      </w:r>
      <w:r>
        <w:rPr>
          <w:rFonts w:hint="eastAsia" w:ascii="宋体" w:hAnsi="宋体" w:eastAsia="宋体" w:cs="宋体"/>
          <w:color w:val="auto"/>
          <w:highlight w:val="none"/>
        </w:rPr>
        <w:t>如实填写</w:t>
      </w:r>
      <w:r>
        <w:rPr>
          <w:rFonts w:hint="eastAsia" w:ascii="宋体" w:hAnsi="宋体" w:eastAsia="宋体" w:cs="宋体"/>
          <w:color w:val="auto"/>
          <w:kern w:val="1"/>
          <w:highlight w:val="none"/>
        </w:rPr>
        <w:t>，并在本表的“偏离情况”栏中注明“正偏离”或“负偏离”或“无偏离”。</w:t>
      </w:r>
      <w:r>
        <w:rPr>
          <w:rFonts w:hint="eastAsia" w:ascii="宋体" w:hAnsi="宋体" w:eastAsia="宋体" w:cs="宋体"/>
          <w:color w:val="auto"/>
          <w:highlight w:val="none"/>
        </w:rPr>
        <w:t>如有差异的在“差异描述”栏中详细描述差异情况。</w:t>
      </w:r>
    </w:p>
    <w:p>
      <w:pPr>
        <w:autoSpaceDE w:val="0"/>
        <w:autoSpaceDN w:val="0"/>
        <w:adjustRightInd w:val="0"/>
        <w:jc w:val="left"/>
        <w:rPr>
          <w:rFonts w:hint="eastAsia" w:ascii="宋体" w:hAnsi="宋体" w:eastAsia="宋体" w:cs="宋体"/>
          <w:color w:val="auto"/>
          <w:highlight w:val="none"/>
        </w:rPr>
      </w:pPr>
    </w:p>
    <w:p>
      <w:pPr>
        <w:spacing w:line="360" w:lineRule="auto"/>
        <w:jc w:val="left"/>
        <w:rPr>
          <w:rFonts w:hint="eastAsia" w:ascii="宋体" w:hAnsi="宋体" w:eastAsia="宋体" w:cs="宋体"/>
          <w:color w:val="auto"/>
          <w:sz w:val="24"/>
          <w:highlight w:val="none"/>
        </w:rPr>
      </w:pPr>
    </w:p>
    <w:p>
      <w:pPr>
        <w:spacing w:line="480" w:lineRule="auto"/>
        <w:ind w:firstLine="3990" w:firstLineChars="19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投标人名称:（盖章）</w:t>
      </w:r>
    </w:p>
    <w:p>
      <w:pPr>
        <w:spacing w:line="480" w:lineRule="auto"/>
        <w:ind w:firstLine="3990" w:firstLineChars="19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日期：    年   月   日</w:t>
      </w:r>
    </w:p>
    <w:p>
      <w:pPr>
        <w:tabs>
          <w:tab w:val="left" w:pos="676"/>
          <w:tab w:val="left" w:pos="2330"/>
          <w:tab w:val="left" w:pos="9230"/>
        </w:tabs>
        <w:autoSpaceDE w:val="0"/>
        <w:autoSpaceDN w:val="0"/>
        <w:adjustRightInd w:val="0"/>
        <w:jc w:val="center"/>
        <w:rPr>
          <w:rFonts w:hint="eastAsia" w:ascii="宋体" w:hAnsi="宋体" w:eastAsia="宋体" w:cs="宋体"/>
          <w:color w:val="auto"/>
          <w:highlight w:val="none"/>
        </w:rPr>
      </w:pPr>
    </w:p>
    <w:p>
      <w:pPr>
        <w:tabs>
          <w:tab w:val="left" w:pos="676"/>
          <w:tab w:val="left" w:pos="2330"/>
          <w:tab w:val="left" w:pos="9230"/>
        </w:tabs>
        <w:autoSpaceDE w:val="0"/>
        <w:autoSpaceDN w:val="0"/>
        <w:adjustRightInd w:val="0"/>
        <w:rPr>
          <w:rFonts w:hint="eastAsia" w:ascii="宋体" w:hAnsi="宋体" w:eastAsia="宋体" w:cs="宋体"/>
          <w:b/>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格式6.2</w:t>
      </w:r>
    </w:p>
    <w:p>
      <w:pPr>
        <w:spacing w:line="360" w:lineRule="auto"/>
        <w:ind w:firstLine="425"/>
        <w:jc w:val="center"/>
        <w:rPr>
          <w:rFonts w:hint="eastAsia" w:ascii="宋体" w:hAnsi="宋体" w:eastAsia="宋体" w:cs="宋体"/>
          <w:color w:val="auto"/>
          <w:highlight w:val="none"/>
          <w:lang w:val="en-US" w:eastAsia="zh-CN"/>
        </w:rPr>
      </w:pPr>
      <w:r>
        <w:rPr>
          <w:rFonts w:hint="eastAsia" w:ascii="宋体" w:hAnsi="宋体" w:eastAsia="宋体" w:cs="宋体"/>
          <w:b/>
          <w:color w:val="auto"/>
          <w:sz w:val="28"/>
          <w:szCs w:val="28"/>
          <w:highlight w:val="none"/>
          <w:lang w:val="en-US" w:eastAsia="zh-CN"/>
        </w:rPr>
        <w:t>设计方案</w:t>
      </w:r>
      <w:r>
        <w:rPr>
          <w:rFonts w:hint="eastAsia" w:ascii="宋体" w:hAnsi="宋体" w:cs="宋体"/>
          <w:b/>
          <w:color w:val="auto"/>
          <w:sz w:val="28"/>
          <w:szCs w:val="28"/>
          <w:highlight w:val="none"/>
          <w:lang w:val="en-US" w:eastAsia="zh-CN"/>
        </w:rPr>
        <w:t>（如有）</w:t>
      </w:r>
    </w:p>
    <w:p>
      <w:pPr>
        <w:spacing w:line="360" w:lineRule="auto"/>
        <w:ind w:firstLine="425"/>
        <w:rPr>
          <w:rFonts w:hint="eastAsia" w:ascii="宋体" w:hAnsi="宋体" w:eastAsia="宋体" w:cs="宋体"/>
          <w:color w:val="auto"/>
          <w:highlight w:val="none"/>
        </w:rPr>
      </w:pPr>
      <w:r>
        <w:rPr>
          <w:rFonts w:hint="eastAsia" w:ascii="宋体" w:hAnsi="宋体" w:eastAsia="宋体" w:cs="宋体"/>
          <w:color w:val="auto"/>
          <w:highlight w:val="none"/>
        </w:rPr>
        <w:t>投标人应根据招标文件《用户需求书》及评审内容填写。</w:t>
      </w:r>
    </w:p>
    <w:p>
      <w:pPr>
        <w:adjustRightInd w:val="0"/>
        <w:snapToGrid w:val="0"/>
        <w:spacing w:line="360" w:lineRule="auto"/>
        <w:ind w:left="420" w:leftChars="200"/>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28"/>
          <w:szCs w:val="28"/>
          <w:highlight w:val="none"/>
        </w:rPr>
      </w:pPr>
    </w:p>
    <w:p>
      <w:pPr>
        <w:spacing w:line="360" w:lineRule="auto"/>
        <w:jc w:val="center"/>
        <w:rPr>
          <w:rFonts w:hint="eastAsia" w:ascii="宋体" w:hAnsi="宋体" w:eastAsia="宋体" w:cs="宋体"/>
          <w:b/>
          <w:color w:val="auto"/>
          <w:sz w:val="28"/>
          <w:szCs w:val="28"/>
          <w:highlight w:val="none"/>
        </w:rPr>
      </w:pPr>
    </w:p>
    <w:p>
      <w:pPr>
        <w:tabs>
          <w:tab w:val="left" w:pos="676"/>
          <w:tab w:val="left" w:pos="2330"/>
          <w:tab w:val="left" w:pos="9230"/>
        </w:tabs>
        <w:autoSpaceDE w:val="0"/>
        <w:autoSpaceDN w:val="0"/>
        <w:adjustRightInd w:val="0"/>
        <w:ind w:firstLine="3045" w:firstLineChars="1450"/>
        <w:rPr>
          <w:rFonts w:hint="eastAsia" w:ascii="宋体" w:hAnsi="宋体" w:eastAsia="宋体" w:cs="宋体"/>
          <w:color w:val="auto"/>
          <w:highlight w:val="none"/>
        </w:rPr>
        <w:sectPr>
          <w:headerReference r:id="rId10" w:type="default"/>
          <w:footerReference r:id="rId11" w:type="default"/>
          <w:pgSz w:w="11907" w:h="16840"/>
          <w:pgMar w:top="1418" w:right="1701" w:bottom="1418" w:left="1701" w:header="737" w:footer="737" w:gutter="0"/>
          <w:cols w:space="720" w:num="1"/>
          <w:docGrid w:linePitch="286" w:charSpace="0"/>
        </w:sectPr>
      </w:pPr>
    </w:p>
    <w:p>
      <w:pPr>
        <w:ind w:firstLine="420"/>
        <w:rPr>
          <w:rFonts w:hint="eastAsia" w:ascii="宋体" w:hAnsi="宋体" w:eastAsia="宋体" w:cs="宋体"/>
          <w:color w:val="auto"/>
          <w:highlight w:val="none"/>
        </w:rPr>
      </w:pPr>
    </w:p>
    <w:p>
      <w:pPr>
        <w:spacing w:line="360" w:lineRule="auto"/>
        <w:ind w:left="631" w:hanging="631" w:hangingChars="26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格式6.3</w:t>
      </w:r>
    </w:p>
    <w:p>
      <w:pPr>
        <w:spacing w:line="360" w:lineRule="auto"/>
        <w:ind w:left="736" w:hanging="631" w:hangingChars="262"/>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施工</w:t>
      </w:r>
      <w:r>
        <w:rPr>
          <w:rFonts w:hint="eastAsia" w:ascii="宋体" w:hAnsi="宋体" w:eastAsia="宋体" w:cs="宋体"/>
          <w:b/>
          <w:color w:val="auto"/>
          <w:sz w:val="24"/>
          <w:highlight w:val="none"/>
        </w:rPr>
        <w:t>方案</w:t>
      </w:r>
    </w:p>
    <w:p>
      <w:pPr>
        <w:spacing w:line="360" w:lineRule="auto"/>
        <w:ind w:left="315" w:hanging="315" w:hangingChars="15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pacing w:line="360" w:lineRule="auto"/>
        <w:ind w:firstLine="425"/>
        <w:rPr>
          <w:rFonts w:hint="eastAsia" w:ascii="宋体" w:hAnsi="宋体" w:eastAsia="宋体" w:cs="宋体"/>
          <w:color w:val="auto"/>
          <w:highlight w:val="none"/>
        </w:rPr>
      </w:pPr>
      <w:r>
        <w:rPr>
          <w:rFonts w:hint="eastAsia" w:ascii="宋体" w:hAnsi="宋体" w:eastAsia="宋体" w:cs="宋体"/>
          <w:color w:val="auto"/>
          <w:highlight w:val="none"/>
        </w:rPr>
        <w:t>投标人应根据招标文件《用户需求书》及评审内容填写。</w:t>
      </w:r>
    </w:p>
    <w:p>
      <w:pPr>
        <w:spacing w:line="360" w:lineRule="auto"/>
        <w:rPr>
          <w:rFonts w:hint="eastAsia" w:ascii="宋体" w:hAnsi="宋体" w:eastAsia="宋体" w:cs="宋体"/>
          <w:b/>
          <w:color w:val="auto"/>
          <w:sz w:val="24"/>
          <w:highlight w:val="none"/>
        </w:rPr>
      </w:pPr>
    </w:p>
    <w:p>
      <w:pPr>
        <w:spacing w:line="360" w:lineRule="auto"/>
        <w:jc w:val="left"/>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格式6.</w:t>
      </w:r>
      <w:r>
        <w:rPr>
          <w:rFonts w:hint="eastAsia" w:ascii="宋体" w:hAnsi="宋体" w:eastAsia="宋体" w:cs="宋体"/>
          <w:b/>
          <w:color w:val="auto"/>
          <w:sz w:val="24"/>
          <w:highlight w:val="none"/>
          <w:lang w:val="en-US" w:eastAsia="zh-CN"/>
        </w:rPr>
        <w:t>4</w:t>
      </w:r>
    </w:p>
    <w:p>
      <w:pPr>
        <w:spacing w:line="360" w:lineRule="auto"/>
        <w:jc w:val="center"/>
        <w:rPr>
          <w:rFonts w:hint="eastAsia" w:ascii="宋体" w:hAnsi="宋体" w:eastAsia="宋体" w:cs="宋体"/>
          <w:b/>
          <w:color w:val="auto"/>
          <w:sz w:val="28"/>
          <w:highlight w:val="none"/>
        </w:rPr>
      </w:pPr>
    </w:p>
    <w:p>
      <w:pPr>
        <w:spacing w:line="360" w:lineRule="auto"/>
        <w:ind w:left="736" w:hanging="631" w:hangingChars="262"/>
        <w:jc w:val="center"/>
        <w:rPr>
          <w:rFonts w:hint="default" w:ascii="宋体" w:hAnsi="宋体" w:eastAsia="宋体" w:cs="宋体"/>
          <w:b/>
          <w:color w:val="auto"/>
          <w:sz w:val="24"/>
          <w:highlight w:val="none"/>
          <w:lang w:val="en-US"/>
        </w:rPr>
      </w:pPr>
      <w:r>
        <w:rPr>
          <w:rFonts w:hint="eastAsia" w:ascii="宋体" w:hAnsi="宋体" w:cs="宋体"/>
          <w:b/>
          <w:color w:val="auto"/>
          <w:sz w:val="24"/>
          <w:highlight w:val="none"/>
          <w:lang w:val="en-US" w:eastAsia="zh-CN"/>
        </w:rPr>
        <w:t>项目实施方案</w:t>
      </w:r>
    </w:p>
    <w:p>
      <w:pPr>
        <w:spacing w:line="360" w:lineRule="auto"/>
        <w:ind w:firstLine="425"/>
        <w:rPr>
          <w:rFonts w:hint="eastAsia" w:ascii="宋体" w:hAnsi="宋体" w:eastAsia="宋体" w:cs="宋体"/>
          <w:color w:val="auto"/>
          <w:highlight w:val="none"/>
        </w:rPr>
      </w:pPr>
      <w:r>
        <w:rPr>
          <w:rFonts w:hint="eastAsia" w:ascii="宋体" w:hAnsi="宋体" w:eastAsia="宋体" w:cs="宋体"/>
          <w:color w:val="auto"/>
          <w:highlight w:val="none"/>
        </w:rPr>
        <w:t>投标人应根据招标文件《用户需求书》及评审内容填写。</w:t>
      </w:r>
    </w:p>
    <w:p>
      <w:pPr>
        <w:spacing w:line="360" w:lineRule="auto"/>
        <w:jc w:val="center"/>
        <w:rPr>
          <w:rFonts w:hint="eastAsia" w:ascii="宋体" w:hAnsi="宋体" w:eastAsia="宋体" w:cs="宋体"/>
          <w:b/>
          <w:color w:val="auto"/>
          <w:sz w:val="28"/>
          <w:highlight w:val="none"/>
        </w:rPr>
      </w:pPr>
    </w:p>
    <w:p>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8"/>
          <w:highlight w:val="none"/>
        </w:rPr>
        <w:br w:type="page"/>
      </w:r>
      <w:r>
        <w:rPr>
          <w:rFonts w:hint="eastAsia" w:ascii="宋体" w:hAnsi="宋体" w:eastAsia="宋体" w:cs="宋体"/>
          <w:b/>
          <w:color w:val="auto"/>
          <w:sz w:val="24"/>
          <w:highlight w:val="none"/>
        </w:rPr>
        <w:t>格式6.</w:t>
      </w:r>
      <w:r>
        <w:rPr>
          <w:rFonts w:hint="eastAsia" w:ascii="宋体" w:hAnsi="宋体" w:eastAsia="宋体" w:cs="宋体"/>
          <w:b/>
          <w:color w:val="auto"/>
          <w:sz w:val="24"/>
          <w:highlight w:val="none"/>
          <w:lang w:val="en-US" w:eastAsia="zh-CN"/>
        </w:rPr>
        <w:t>5</w:t>
      </w:r>
    </w:p>
    <w:p>
      <w:pPr>
        <w:spacing w:line="360" w:lineRule="auto"/>
        <w:jc w:val="center"/>
        <w:rPr>
          <w:rFonts w:hint="eastAsia" w:ascii="宋体" w:hAnsi="宋体" w:eastAsia="宋体" w:cs="宋体"/>
          <w:b/>
          <w:color w:val="auto"/>
          <w:sz w:val="28"/>
          <w:highlight w:val="none"/>
        </w:rPr>
      </w:pPr>
    </w:p>
    <w:p>
      <w:pPr>
        <w:spacing w:line="360" w:lineRule="auto"/>
        <w:ind w:left="736" w:hanging="631" w:hangingChars="262"/>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售后服务及质量保证方案</w:t>
      </w:r>
    </w:p>
    <w:p>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投标人应根据招标文件《用户需求书》及评审内容填写。</w:t>
      </w:r>
    </w:p>
    <w:p>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color w:val="auto"/>
          <w:highlight w:val="none"/>
        </w:rPr>
        <w:br w:type="page"/>
      </w:r>
      <w:r>
        <w:rPr>
          <w:rFonts w:hint="eastAsia" w:ascii="宋体" w:hAnsi="宋体" w:eastAsia="宋体" w:cs="宋体"/>
          <w:b/>
          <w:color w:val="auto"/>
          <w:sz w:val="24"/>
          <w:highlight w:val="none"/>
        </w:rPr>
        <w:t>格式6.</w:t>
      </w:r>
      <w:r>
        <w:rPr>
          <w:rFonts w:hint="eastAsia" w:ascii="宋体" w:hAnsi="宋体" w:eastAsia="宋体" w:cs="宋体"/>
          <w:b/>
          <w:color w:val="auto"/>
          <w:sz w:val="24"/>
          <w:highlight w:val="none"/>
          <w:lang w:val="en-US" w:eastAsia="zh-CN"/>
        </w:rPr>
        <w:t>6</w:t>
      </w:r>
    </w:p>
    <w:p>
      <w:pPr>
        <w:spacing w:line="360" w:lineRule="auto"/>
        <w:jc w:val="center"/>
        <w:rPr>
          <w:rFonts w:hint="eastAsia" w:ascii="宋体" w:hAnsi="宋体" w:eastAsia="宋体" w:cs="宋体"/>
          <w:b/>
          <w:color w:val="auto"/>
          <w:sz w:val="28"/>
          <w:highlight w:val="none"/>
        </w:rPr>
      </w:pPr>
    </w:p>
    <w:p>
      <w:pPr>
        <w:spacing w:line="360" w:lineRule="auto"/>
        <w:ind w:left="736" w:hanging="631" w:hangingChars="262"/>
        <w:jc w:val="center"/>
        <w:rPr>
          <w:rFonts w:hint="eastAsia" w:ascii="宋体" w:hAnsi="宋体" w:eastAsia="宋体" w:cs="宋体"/>
          <w:b/>
          <w:color w:val="auto"/>
          <w:sz w:val="24"/>
          <w:highlight w:val="none"/>
          <w:lang w:eastAsia="zh-CN"/>
        </w:rPr>
      </w:pPr>
      <w:r>
        <w:rPr>
          <w:rFonts w:hint="eastAsia" w:ascii="宋体" w:hAnsi="宋体" w:cs="宋体"/>
          <w:b/>
          <w:color w:val="auto"/>
          <w:sz w:val="24"/>
          <w:highlight w:val="none"/>
          <w:lang w:val="en-US" w:eastAsia="zh-CN"/>
        </w:rPr>
        <w:t>承诺函</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致:（招标人名称）</w:t>
      </w:r>
    </w:p>
    <w:p>
      <w:pPr>
        <w:spacing w:line="360" w:lineRule="auto"/>
        <w:rPr>
          <w:rFonts w:hint="eastAsia" w:ascii="宋体" w:hAnsi="宋体" w:eastAsia="宋体" w:cs="宋体"/>
          <w:color w:val="auto"/>
          <w:highlight w:val="none"/>
        </w:rPr>
      </w:pPr>
    </w:p>
    <w:p>
      <w:pPr>
        <w:spacing w:line="360" w:lineRule="auto"/>
        <w:ind w:firstLine="420" w:firstLineChars="200"/>
        <w:jc w:val="left"/>
        <w:rPr>
          <w:rFonts w:hint="eastAsia" w:ascii="宋体" w:hAnsi="宋体" w:eastAsia="宋体" w:cs="宋体"/>
          <w:color w:val="auto"/>
          <w:highlight w:val="none"/>
        </w:rPr>
      </w:pPr>
      <w:r>
        <w:rPr>
          <w:rFonts w:hint="eastAsia" w:ascii="宋体" w:hAnsi="宋体" w:cs="宋体"/>
          <w:color w:val="auto"/>
          <w:highlight w:val="none"/>
          <w:lang w:val="en-US" w:eastAsia="zh-CN"/>
        </w:rPr>
        <w:t>我方</w:t>
      </w:r>
      <w:r>
        <w:rPr>
          <w:rFonts w:hint="eastAsia" w:ascii="宋体" w:hAnsi="宋体" w:cs="宋体"/>
          <w:color w:val="auto"/>
          <w:sz w:val="21"/>
          <w:szCs w:val="21"/>
          <w:highlight w:val="none"/>
          <w:lang w:val="zh-CN"/>
        </w:rPr>
        <w:t>保证所投设备各项指标与投标响应情况一致，</w:t>
      </w:r>
      <w:r>
        <w:rPr>
          <w:rFonts w:hint="eastAsia" w:ascii="宋体" w:hAnsi="宋体" w:eastAsia="宋体" w:cs="宋体"/>
          <w:color w:val="auto"/>
          <w:sz w:val="21"/>
          <w:szCs w:val="21"/>
          <w:highlight w:val="none"/>
          <w:lang w:val="en-US" w:eastAsia="zh-CN"/>
        </w:rPr>
        <w:t>招标人</w:t>
      </w:r>
      <w:r>
        <w:rPr>
          <w:rFonts w:hint="eastAsia" w:ascii="宋体" w:hAnsi="宋体" w:cs="宋体"/>
          <w:color w:val="auto"/>
          <w:sz w:val="21"/>
          <w:szCs w:val="21"/>
          <w:highlight w:val="none"/>
          <w:lang w:val="zh-CN"/>
        </w:rPr>
        <w:t>有权对</w:t>
      </w:r>
      <w:r>
        <w:rPr>
          <w:rFonts w:hint="eastAsia" w:ascii="宋体" w:hAnsi="宋体" w:cs="宋体"/>
          <w:color w:val="auto"/>
          <w:highlight w:val="none"/>
          <w:lang w:val="en-US" w:eastAsia="zh-CN"/>
        </w:rPr>
        <w:t>我方</w:t>
      </w:r>
      <w:r>
        <w:rPr>
          <w:rFonts w:hint="eastAsia" w:ascii="宋体" w:hAnsi="宋体" w:cs="宋体"/>
          <w:color w:val="auto"/>
          <w:sz w:val="21"/>
          <w:szCs w:val="21"/>
          <w:highlight w:val="none"/>
          <w:lang w:val="zh-CN"/>
        </w:rPr>
        <w:t>所提供的设备进行功能和性能测试，有权要求</w:t>
      </w:r>
      <w:r>
        <w:rPr>
          <w:rFonts w:hint="eastAsia" w:ascii="宋体" w:hAnsi="宋体" w:cs="宋体"/>
          <w:color w:val="auto"/>
          <w:highlight w:val="none"/>
          <w:lang w:val="en-US" w:eastAsia="zh-CN"/>
        </w:rPr>
        <w:t>我方</w:t>
      </w:r>
      <w:r>
        <w:rPr>
          <w:rFonts w:hint="eastAsia" w:ascii="宋体" w:hAnsi="宋体" w:cs="宋体"/>
          <w:color w:val="auto"/>
          <w:sz w:val="21"/>
          <w:szCs w:val="21"/>
          <w:highlight w:val="none"/>
          <w:lang w:val="zh-CN"/>
        </w:rPr>
        <w:t>按投标文件响应情况提供检测报告或证书原件。若出现实际供货产品与投标响应不一致的，</w:t>
      </w:r>
      <w:r>
        <w:rPr>
          <w:rFonts w:hint="eastAsia" w:ascii="宋体" w:hAnsi="宋体" w:eastAsia="宋体" w:cs="宋体"/>
          <w:color w:val="auto"/>
          <w:sz w:val="21"/>
          <w:szCs w:val="21"/>
          <w:highlight w:val="none"/>
          <w:lang w:val="en-US" w:eastAsia="zh-CN"/>
        </w:rPr>
        <w:t>招标人</w:t>
      </w:r>
      <w:r>
        <w:rPr>
          <w:rFonts w:hint="eastAsia" w:ascii="宋体" w:hAnsi="宋体" w:cs="宋体"/>
          <w:color w:val="auto"/>
          <w:sz w:val="21"/>
          <w:szCs w:val="21"/>
          <w:highlight w:val="none"/>
          <w:lang w:val="zh-CN"/>
        </w:rPr>
        <w:t>有权将</w:t>
      </w:r>
      <w:r>
        <w:rPr>
          <w:rFonts w:hint="eastAsia" w:ascii="宋体" w:hAnsi="宋体" w:cs="宋体"/>
          <w:color w:val="auto"/>
          <w:highlight w:val="none"/>
          <w:lang w:val="en-US" w:eastAsia="zh-CN"/>
        </w:rPr>
        <w:t>我方</w:t>
      </w:r>
      <w:r>
        <w:rPr>
          <w:rFonts w:hint="eastAsia" w:ascii="宋体" w:hAnsi="宋体" w:cs="宋体"/>
          <w:color w:val="auto"/>
          <w:sz w:val="21"/>
          <w:szCs w:val="21"/>
          <w:highlight w:val="none"/>
          <w:lang w:val="zh-CN"/>
        </w:rPr>
        <w:t>涉嫌虚假响应的实际情况上报监督管理部门，由此引起的后果由</w:t>
      </w:r>
      <w:r>
        <w:rPr>
          <w:rFonts w:hint="eastAsia" w:ascii="宋体" w:hAnsi="宋体" w:cs="宋体"/>
          <w:color w:val="auto"/>
          <w:highlight w:val="none"/>
          <w:lang w:val="en-US" w:eastAsia="zh-CN"/>
        </w:rPr>
        <w:t>我方</w:t>
      </w:r>
      <w:r>
        <w:rPr>
          <w:rFonts w:hint="eastAsia" w:ascii="宋体" w:hAnsi="宋体" w:cs="宋体"/>
          <w:color w:val="auto"/>
          <w:sz w:val="21"/>
          <w:szCs w:val="21"/>
          <w:highlight w:val="none"/>
          <w:lang w:val="zh-CN"/>
        </w:rPr>
        <w:t>承担</w:t>
      </w:r>
      <w:r>
        <w:rPr>
          <w:rFonts w:hint="eastAsia" w:ascii="宋体" w:hAnsi="宋体" w:eastAsia="宋体" w:cs="宋体"/>
          <w:color w:val="auto"/>
          <w:highlight w:val="none"/>
        </w:rPr>
        <w:t>。</w:t>
      </w:r>
    </w:p>
    <w:p>
      <w:pPr>
        <w:pStyle w:val="28"/>
        <w:ind w:left="4700" w:leftChars="2238"/>
        <w:jc w:val="left"/>
        <w:rPr>
          <w:rFonts w:hint="eastAsia" w:ascii="宋体" w:hAnsi="宋体" w:eastAsia="宋体" w:cs="宋体"/>
          <w:color w:val="auto"/>
          <w:highlight w:val="none"/>
        </w:rPr>
      </w:pPr>
    </w:p>
    <w:p>
      <w:pPr>
        <w:pStyle w:val="28"/>
        <w:ind w:left="4700" w:leftChars="2238"/>
        <w:jc w:val="left"/>
        <w:rPr>
          <w:rFonts w:hint="eastAsia" w:ascii="宋体" w:hAnsi="宋体" w:eastAsia="宋体" w:cs="宋体"/>
          <w:color w:val="auto"/>
          <w:highlight w:val="none"/>
        </w:rPr>
      </w:pPr>
    </w:p>
    <w:p>
      <w:pPr>
        <w:pStyle w:val="28"/>
        <w:ind w:left="4700" w:leftChars="2238"/>
        <w:jc w:val="right"/>
        <w:rPr>
          <w:rFonts w:hint="eastAsia" w:ascii="宋体" w:hAnsi="宋体" w:eastAsia="宋体" w:cs="宋体"/>
          <w:color w:val="auto"/>
          <w:highlight w:val="none"/>
        </w:rPr>
      </w:pPr>
      <w:r>
        <w:rPr>
          <w:rFonts w:hint="eastAsia" w:ascii="宋体" w:hAnsi="宋体" w:eastAsia="宋体" w:cs="宋体"/>
          <w:color w:val="auto"/>
          <w:highlight w:val="none"/>
        </w:rPr>
        <w:t>投标人名称:（盖章）</w:t>
      </w:r>
    </w:p>
    <w:p>
      <w:pPr>
        <w:pStyle w:val="24"/>
        <w:jc w:val="right"/>
        <w:rPr>
          <w:rFonts w:hint="eastAsia" w:ascii="宋体" w:hAnsi="宋体" w:eastAsia="宋体" w:cs="宋体"/>
          <w:color w:val="auto"/>
          <w:highlight w:val="none"/>
        </w:rPr>
      </w:pPr>
    </w:p>
    <w:p>
      <w:pPr>
        <w:pStyle w:val="24"/>
        <w:jc w:val="right"/>
        <w:rPr>
          <w:rFonts w:hint="eastAsia"/>
          <w:color w:val="auto"/>
          <w:highlight w:val="none"/>
        </w:rPr>
      </w:pPr>
      <w:r>
        <w:rPr>
          <w:rFonts w:hint="eastAsia" w:ascii="宋体" w:hAnsi="宋体" w:eastAsia="宋体" w:cs="宋体"/>
          <w:color w:val="auto"/>
          <w:highlight w:val="none"/>
        </w:rPr>
        <w:t>日期：    年   月   日</w:t>
      </w:r>
    </w:p>
    <w:p>
      <w:pPr>
        <w:spacing w:line="360" w:lineRule="auto"/>
        <w:jc w:val="center"/>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rPr>
        <w:t>格式6.</w:t>
      </w:r>
      <w:r>
        <w:rPr>
          <w:rFonts w:hint="eastAsia" w:ascii="宋体" w:hAnsi="宋体" w:eastAsia="宋体" w:cs="宋体"/>
          <w:b/>
          <w:color w:val="auto"/>
          <w:sz w:val="24"/>
          <w:highlight w:val="none"/>
          <w:lang w:val="en-US" w:eastAsia="zh-CN"/>
        </w:rPr>
        <w:t>7</w:t>
      </w:r>
    </w:p>
    <w:p>
      <w:pPr>
        <w:pStyle w:val="24"/>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t>技术标评分细则需要提供的资料（如有）</w:t>
      </w:r>
    </w:p>
    <w:p>
      <w:pPr>
        <w:spacing w:line="360" w:lineRule="auto"/>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spacing w:line="360" w:lineRule="auto"/>
        <w:jc w:val="left"/>
        <w:rPr>
          <w:rFonts w:hint="eastAsia" w:ascii="宋体" w:hAnsi="宋体" w:eastAsia="宋体" w:cs="宋体"/>
          <w:b/>
          <w:color w:val="auto"/>
          <w:sz w:val="28"/>
          <w:highlight w:val="none"/>
          <w:lang w:eastAsia="zh-CN"/>
        </w:rPr>
      </w:pPr>
      <w:r>
        <w:rPr>
          <w:rFonts w:hint="eastAsia" w:ascii="宋体" w:hAnsi="宋体" w:eastAsia="宋体" w:cs="宋体"/>
          <w:b/>
          <w:color w:val="auto"/>
          <w:sz w:val="24"/>
          <w:highlight w:val="none"/>
        </w:rPr>
        <w:t>格式6.</w:t>
      </w:r>
      <w:r>
        <w:rPr>
          <w:rFonts w:hint="eastAsia" w:ascii="宋体" w:hAnsi="宋体" w:eastAsia="宋体" w:cs="宋体"/>
          <w:b/>
          <w:color w:val="auto"/>
          <w:sz w:val="24"/>
          <w:highlight w:val="none"/>
          <w:lang w:val="en-US" w:eastAsia="zh-CN"/>
        </w:rPr>
        <w:t>8</w:t>
      </w:r>
    </w:p>
    <w:p>
      <w:pPr>
        <w:spacing w:line="360" w:lineRule="auto"/>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t>招标人配合内容（如有）</w:t>
      </w:r>
    </w:p>
    <w:p>
      <w:pPr>
        <w:jc w:val="center"/>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  请投标人详细描述中标合同执行阶段需招标人配合的工作内容。</w:t>
      </w: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lang w:eastAsia="zh-CN"/>
        </w:rPr>
      </w:pPr>
      <w:r>
        <w:rPr>
          <w:rFonts w:hint="eastAsia" w:ascii="宋体" w:hAnsi="宋体" w:eastAsia="宋体" w:cs="宋体"/>
          <w:b/>
          <w:color w:val="auto"/>
          <w:sz w:val="24"/>
          <w:highlight w:val="none"/>
        </w:rPr>
        <w:t>格式6.</w:t>
      </w:r>
      <w:r>
        <w:rPr>
          <w:rFonts w:hint="eastAsia" w:ascii="宋体" w:hAnsi="宋体" w:eastAsia="宋体" w:cs="宋体"/>
          <w:b/>
          <w:color w:val="auto"/>
          <w:sz w:val="24"/>
          <w:highlight w:val="none"/>
          <w:lang w:val="en-US" w:eastAsia="zh-CN"/>
        </w:rPr>
        <w:t>9</w:t>
      </w:r>
    </w:p>
    <w:p>
      <w:pPr>
        <w:spacing w:line="360" w:lineRule="auto"/>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t>投标人认为有必要提供的其他文件（如有）</w:t>
      </w:r>
    </w:p>
    <w:p>
      <w:pPr>
        <w:spacing w:line="360" w:lineRule="auto"/>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rPr>
        <w:t>格式6.</w:t>
      </w:r>
      <w:r>
        <w:rPr>
          <w:rFonts w:hint="eastAsia" w:ascii="宋体" w:hAnsi="宋体" w:eastAsia="宋体" w:cs="宋体"/>
          <w:b/>
          <w:color w:val="auto"/>
          <w:sz w:val="24"/>
          <w:highlight w:val="none"/>
          <w:lang w:val="en-US" w:eastAsia="zh-CN"/>
        </w:rPr>
        <w:t xml:space="preserve">10  </w:t>
      </w:r>
    </w:p>
    <w:p>
      <w:pPr>
        <w:pStyle w:val="2"/>
        <w:jc w:val="center"/>
        <w:rPr>
          <w:rFonts w:hint="eastAsia" w:ascii="宋体" w:hAnsi="宋体" w:eastAsia="宋体" w:cs="宋体"/>
          <w:b/>
          <w:color w:val="auto"/>
          <w:kern w:val="2"/>
          <w:sz w:val="28"/>
          <w:szCs w:val="20"/>
          <w:highlight w:val="none"/>
          <w:lang w:val="en-US" w:eastAsia="zh-CN" w:bidi="ar-SA"/>
        </w:rPr>
      </w:pPr>
      <w:r>
        <w:rPr>
          <w:rFonts w:hint="eastAsia" w:ascii="宋体" w:hAnsi="宋体" w:eastAsia="宋体" w:cs="宋体"/>
          <w:b/>
          <w:color w:val="auto"/>
          <w:kern w:val="2"/>
          <w:sz w:val="28"/>
          <w:szCs w:val="20"/>
          <w:highlight w:val="none"/>
          <w:lang w:val="en-US" w:eastAsia="zh-CN" w:bidi="ar-SA"/>
        </w:rPr>
        <w:t>分包情况（如有）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本项目的部分非主体、非关键性工作（除设备采购安装调试以外）可进行分包，投标人承担所有责任，需在投标文件中提供并向招标人报备分包公司情况（须按照招标文件格式要求提供分包协议（</w:t>
      </w:r>
      <w:r>
        <w:rPr>
          <w:rFonts w:hint="eastAsia" w:ascii="宋体" w:hAnsi="宋体" w:cs="宋体"/>
          <w:color w:val="auto"/>
          <w:highlight w:val="none"/>
          <w:lang w:val="en-US" w:eastAsia="zh-CN"/>
        </w:rPr>
        <w:t>格式自定</w:t>
      </w:r>
      <w:r>
        <w:rPr>
          <w:rFonts w:hint="eastAsia" w:ascii="宋体" w:hAnsi="宋体" w:eastAsia="宋体" w:cs="宋体"/>
          <w:color w:val="auto"/>
          <w:highlight w:val="none"/>
          <w:lang w:val="en-US" w:eastAsia="zh-CN"/>
        </w:rPr>
        <w:t>），提供分包公司的营业执照、组织机构代码证、税务登记证</w:t>
      </w:r>
      <w:r>
        <w:rPr>
          <w:rFonts w:hint="eastAsia" w:ascii="宋体" w:hAnsi="宋体" w:cs="宋体"/>
          <w:color w:val="auto"/>
          <w:highlight w:val="none"/>
          <w:lang w:val="en-US" w:eastAsia="zh-CN"/>
        </w:rPr>
        <w:t>（</w:t>
      </w:r>
      <w:r>
        <w:rPr>
          <w:rFonts w:hint="eastAsia" w:ascii="宋体" w:hAnsi="宋体" w:eastAsia="宋体" w:cs="宋体"/>
          <w:bCs/>
          <w:color w:val="auto"/>
          <w:kern w:val="28"/>
          <w:szCs w:val="22"/>
          <w:highlight w:val="none"/>
        </w:rPr>
        <w:t>(若持有“一照一码”版本营业执照，则无需提交组织机构代码证及税务登记证）</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、资质证书等资料复印件）（本条款要求提供的材料在投标时提供即可，报名时无需提供）</w:t>
      </w: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tabs>
          <w:tab w:val="left" w:pos="2600"/>
        </w:tabs>
        <w:spacing w:line="300" w:lineRule="exact"/>
        <w:rPr>
          <w:rFonts w:hint="eastAsia" w:ascii="宋体" w:hAnsi="宋体" w:eastAsia="宋体" w:cs="宋体"/>
          <w:b/>
          <w:color w:val="auto"/>
          <w:sz w:val="24"/>
          <w:highlight w:val="none"/>
        </w:rPr>
      </w:pPr>
    </w:p>
    <w:p>
      <w:pPr>
        <w:pStyle w:val="28"/>
        <w:spacing w:line="360" w:lineRule="auto"/>
        <w:ind w:left="4700" w:leftChars="2238"/>
        <w:rPr>
          <w:rFonts w:hint="eastAsia" w:ascii="宋体" w:hAnsi="宋体" w:eastAsia="宋体" w:cs="宋体"/>
          <w:color w:val="auto"/>
          <w:highlight w:val="none"/>
        </w:rPr>
      </w:pPr>
    </w:p>
    <w:p>
      <w:pPr>
        <w:pStyle w:val="18"/>
        <w:rPr>
          <w:rFonts w:hint="eastAsia" w:ascii="宋体" w:hAnsi="宋体" w:eastAsia="宋体" w:cs="宋体"/>
          <w:color w:val="auto"/>
          <w:highlight w:val="none"/>
        </w:rPr>
        <w:sectPr>
          <w:pgSz w:w="11907" w:h="16840"/>
          <w:pgMar w:top="1418" w:right="1701" w:bottom="1418" w:left="1701" w:header="851" w:footer="851" w:gutter="0"/>
          <w:cols w:space="720" w:num="1"/>
          <w:docGrid w:linePitch="285" w:charSpace="0"/>
        </w:sectPr>
      </w:pPr>
    </w:p>
    <w:p>
      <w:pPr>
        <w:spacing w:line="360" w:lineRule="auto"/>
        <w:rPr>
          <w:rFonts w:hint="eastAsia" w:ascii="宋体" w:hAnsi="宋体" w:eastAsia="宋体" w:cs="宋体"/>
          <w:b/>
          <w:color w:val="auto"/>
          <w:sz w:val="30"/>
          <w:highlight w:val="none"/>
        </w:rPr>
      </w:pPr>
    </w:p>
    <w:p>
      <w:pPr>
        <w:pStyle w:val="6"/>
        <w:numPr>
          <w:ilvl w:val="0"/>
          <w:numId w:val="0"/>
        </w:numPr>
        <w:ind w:left="422"/>
        <w:rPr>
          <w:rFonts w:hint="eastAsia" w:ascii="宋体" w:hAnsi="宋体" w:eastAsia="宋体" w:cs="宋体"/>
          <w:color w:val="auto"/>
          <w:highlight w:val="none"/>
        </w:rPr>
      </w:pPr>
      <w:bookmarkStart w:id="112" w:name="_Toc476177994"/>
      <w:bookmarkStart w:id="113" w:name="_Toc477186333"/>
      <w:bookmarkStart w:id="114" w:name="_Toc476177435"/>
      <w:bookmarkStart w:id="115" w:name="_Toc118018368"/>
      <w:bookmarkStart w:id="116" w:name="_Toc477185972"/>
      <w:bookmarkStart w:id="117" w:name="_Toc496161878"/>
      <w:bookmarkStart w:id="118" w:name="_Toc455417786"/>
      <w:r>
        <w:rPr>
          <w:rFonts w:hint="eastAsia" w:ascii="宋体" w:hAnsi="宋体" w:eastAsia="宋体" w:cs="宋体"/>
          <w:color w:val="auto"/>
          <w:highlight w:val="none"/>
        </w:rPr>
        <w:t>七、其他资料格式</w:t>
      </w:r>
      <w:bookmarkEnd w:id="112"/>
      <w:bookmarkEnd w:id="113"/>
      <w:bookmarkEnd w:id="114"/>
      <w:bookmarkEnd w:id="115"/>
      <w:bookmarkEnd w:id="116"/>
      <w:bookmarkEnd w:id="117"/>
      <w:bookmarkEnd w:id="118"/>
    </w:p>
    <w:p>
      <w:pPr>
        <w:tabs>
          <w:tab w:val="left" w:pos="824"/>
        </w:tabs>
        <w:spacing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7.1  招标服务费承诺书</w:t>
      </w:r>
    </w:p>
    <w:p>
      <w:pPr>
        <w:tabs>
          <w:tab w:val="left" w:pos="824"/>
        </w:tabs>
        <w:spacing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7.2  退保证金说明</w:t>
      </w:r>
    </w:p>
    <w:p>
      <w:pPr>
        <w:tabs>
          <w:tab w:val="left" w:pos="824"/>
        </w:tabs>
        <w:spacing w:line="360" w:lineRule="auto"/>
        <w:ind w:firstLine="210" w:firstLineChars="100"/>
        <w:rPr>
          <w:rFonts w:hint="eastAsia" w:ascii="宋体" w:hAnsi="宋体" w:eastAsia="宋体" w:cs="宋体"/>
          <w:color w:val="auto"/>
          <w:highlight w:val="none"/>
        </w:rPr>
      </w:pPr>
    </w:p>
    <w:p>
      <w:pPr>
        <w:tabs>
          <w:tab w:val="left" w:pos="824"/>
        </w:tabs>
        <w:spacing w:line="360" w:lineRule="auto"/>
        <w:ind w:firstLine="210" w:firstLineChars="100"/>
        <w:rPr>
          <w:rFonts w:hint="eastAsia" w:ascii="宋体" w:hAnsi="宋体" w:eastAsia="宋体" w:cs="宋体"/>
          <w:color w:val="auto"/>
          <w:highlight w:val="none"/>
        </w:rPr>
      </w:pPr>
    </w:p>
    <w:p>
      <w:pPr>
        <w:rPr>
          <w:rFonts w:hint="eastAsia" w:ascii="宋体" w:hAnsi="宋体" w:eastAsia="宋体" w:cs="宋体"/>
          <w:b/>
          <w:color w:val="auto"/>
          <w:sz w:val="24"/>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24"/>
          <w:highlight w:val="none"/>
        </w:rPr>
        <w:t>7.1招标服务费承诺书</w:t>
      </w:r>
    </w:p>
    <w:p>
      <w:pPr>
        <w:spacing w:line="360" w:lineRule="auto"/>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t>招标服务费承诺书</w:t>
      </w:r>
    </w:p>
    <w:p>
      <w:pPr>
        <w:spacing w:line="360" w:lineRule="auto"/>
        <w:rPr>
          <w:rFonts w:hint="eastAsia" w:ascii="宋体" w:hAnsi="宋体" w:eastAsia="宋体" w:cs="宋体"/>
          <w:color w:val="auto"/>
          <w:sz w:val="24"/>
          <w:highlight w:val="none"/>
        </w:rPr>
      </w:pP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pacing w:line="360" w:lineRule="auto"/>
        <w:rPr>
          <w:rFonts w:hint="eastAsia" w:ascii="宋体" w:hAnsi="宋体" w:eastAsia="宋体" w:cs="宋体"/>
          <w:b/>
          <w:color w:val="auto"/>
          <w:sz w:val="24"/>
          <w:highlight w:val="none"/>
        </w:rPr>
      </w:pPr>
      <w:r>
        <w:rPr>
          <w:rFonts w:hint="eastAsia" w:ascii="宋体" w:hAnsi="宋体" w:eastAsia="宋体" w:cs="宋体"/>
          <w:color w:val="auto"/>
          <w:highlight w:val="none"/>
        </w:rPr>
        <w:t>致</w:t>
      </w:r>
      <w:r>
        <w:rPr>
          <w:rFonts w:hint="eastAsia" w:ascii="宋体" w:hAnsi="宋体" w:eastAsia="宋体" w:cs="宋体"/>
          <w:color w:val="auto"/>
          <w:sz w:val="24"/>
          <w:highlight w:val="none"/>
        </w:rPr>
        <w:t>：</w:t>
      </w:r>
      <w:r>
        <w:rPr>
          <w:rFonts w:hint="eastAsia" w:ascii="宋体" w:hAnsi="宋体" w:eastAsia="宋体" w:cs="宋体"/>
          <w:b/>
          <w:color w:val="auto"/>
          <w:sz w:val="24"/>
          <w:highlight w:val="none"/>
        </w:rPr>
        <w:t>广东省机电设备招标有限公司</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360" w:lineRule="auto"/>
        <w:ind w:left="210" w:hanging="210" w:hangingChars="100"/>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       如果我方</w:t>
      </w:r>
      <w:r>
        <w:rPr>
          <w:rFonts w:hint="eastAsia" w:ascii="宋体" w:hAnsi="宋体" w:eastAsia="宋体" w:cs="宋体"/>
          <w:color w:val="auto"/>
          <w:highlight w:val="none"/>
          <w:u w:val="single"/>
        </w:rPr>
        <w:t>（投标人名称）</w:t>
      </w:r>
      <w:r>
        <w:rPr>
          <w:rFonts w:hint="eastAsia" w:ascii="宋体" w:hAnsi="宋体" w:eastAsia="宋体" w:cs="宋体"/>
          <w:color w:val="auto"/>
          <w:highlight w:val="none"/>
        </w:rPr>
        <w:t>在贵单位组织的（</w:t>
      </w:r>
      <w:r>
        <w:rPr>
          <w:rFonts w:hint="eastAsia" w:ascii="宋体" w:hAnsi="宋体" w:eastAsia="宋体" w:cs="宋体"/>
          <w:color w:val="auto"/>
          <w:highlight w:val="none"/>
          <w:u w:val="single"/>
        </w:rPr>
        <w:t>招标项目名称</w:t>
      </w:r>
      <w:r>
        <w:rPr>
          <w:rFonts w:hint="eastAsia" w:ascii="宋体" w:hAnsi="宋体" w:eastAsia="宋体" w:cs="宋体"/>
          <w:color w:val="auto"/>
          <w:highlight w:val="none"/>
        </w:rPr>
        <w:t>）项目编号为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的供货及相关服务的招标中获中标，我方</w:t>
      </w:r>
      <w:r>
        <w:rPr>
          <w:rFonts w:hint="eastAsia" w:ascii="宋体" w:hAnsi="宋体" w:eastAsia="宋体" w:cs="宋体"/>
          <w:color w:val="auto"/>
          <w:spacing w:val="-6"/>
          <w:highlight w:val="none"/>
        </w:rPr>
        <w:t>保证在收到《中标通知书》的当日，按招标文件要求，向贵单位</w:t>
      </w:r>
      <w:r>
        <w:rPr>
          <w:rFonts w:hint="eastAsia" w:ascii="宋体" w:hAnsi="宋体" w:eastAsia="宋体" w:cs="宋体"/>
          <w:color w:val="auto"/>
          <w:highlight w:val="none"/>
        </w:rPr>
        <w:t>交纳招标服务费（按投标人须知执行）。</w:t>
      </w:r>
    </w:p>
    <w:p>
      <w:pPr>
        <w:spacing w:line="360" w:lineRule="auto"/>
        <w:jc w:val="left"/>
        <w:rPr>
          <w:rFonts w:hint="eastAsia" w:ascii="宋体" w:hAnsi="宋体" w:eastAsia="宋体" w:cs="宋体"/>
          <w:color w:val="auto"/>
          <w:highlight w:val="none"/>
        </w:rPr>
      </w:pPr>
    </w:p>
    <w:p>
      <w:pPr>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       我方如违约，愿凭贵单位开出的违约通知，按上述承诺金额的200％在我方提交的投标保证金中扣付。</w:t>
      </w: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    特此承诺！</w:t>
      </w:r>
    </w:p>
    <w:p>
      <w:pPr>
        <w:spacing w:line="480" w:lineRule="auto"/>
        <w:rPr>
          <w:rFonts w:hint="eastAsia" w:ascii="宋体" w:hAnsi="宋体" w:eastAsia="宋体" w:cs="宋体"/>
          <w:color w:val="auto"/>
          <w:szCs w:val="22"/>
          <w:highlight w:val="none"/>
        </w:rPr>
      </w:pPr>
    </w:p>
    <w:p>
      <w:pPr>
        <w:spacing w:line="360" w:lineRule="auto"/>
        <w:ind w:firstLine="3990" w:firstLineChars="1900"/>
        <w:rPr>
          <w:rFonts w:hint="eastAsia" w:ascii="宋体" w:hAnsi="宋体" w:eastAsia="宋体" w:cs="宋体"/>
          <w:color w:val="auto"/>
          <w:highlight w:val="none"/>
        </w:rPr>
      </w:pPr>
      <w:r>
        <w:rPr>
          <w:rFonts w:hint="eastAsia" w:ascii="宋体" w:hAnsi="宋体" w:eastAsia="宋体" w:cs="宋体"/>
          <w:color w:val="auto"/>
          <w:highlight w:val="none"/>
        </w:rPr>
        <w:t>投标人名称:（盖章）</w:t>
      </w:r>
    </w:p>
    <w:p>
      <w:pPr>
        <w:spacing w:line="360" w:lineRule="auto"/>
        <w:ind w:firstLine="3990" w:firstLineChars="1900"/>
        <w:rPr>
          <w:rFonts w:hint="eastAsia" w:ascii="宋体" w:hAnsi="宋体" w:eastAsia="宋体" w:cs="宋体"/>
          <w:color w:val="auto"/>
          <w:highlight w:val="none"/>
        </w:rPr>
      </w:pPr>
      <w:r>
        <w:rPr>
          <w:rFonts w:hint="eastAsia" w:ascii="宋体" w:hAnsi="宋体" w:eastAsia="宋体" w:cs="宋体"/>
          <w:color w:val="auto"/>
          <w:highlight w:val="none"/>
        </w:rPr>
        <w:t>日期：    年   月   日</w:t>
      </w:r>
    </w:p>
    <w:p>
      <w:pPr>
        <w:spacing w:line="480" w:lineRule="auto"/>
        <w:rPr>
          <w:rFonts w:hint="eastAsia" w:ascii="宋体" w:hAnsi="宋体" w:eastAsia="宋体" w:cs="宋体"/>
          <w:color w:val="auto"/>
          <w:highlight w:val="none"/>
        </w:rPr>
      </w:pPr>
    </w:p>
    <w:p>
      <w:pPr>
        <w:spacing w:line="300" w:lineRule="auto"/>
        <w:rPr>
          <w:rFonts w:hint="eastAsia" w:ascii="宋体" w:hAnsi="宋体" w:eastAsia="宋体" w:cs="宋体"/>
          <w:b/>
          <w:color w:val="auto"/>
          <w:sz w:val="24"/>
          <w:highlight w:val="none"/>
        </w:rPr>
      </w:pPr>
      <w:r>
        <w:rPr>
          <w:rFonts w:hint="eastAsia" w:ascii="宋体" w:hAnsi="宋体" w:eastAsia="宋体" w:cs="宋体"/>
          <w:color w:val="auto"/>
          <w:highlight w:val="none"/>
        </w:rPr>
        <w:br w:type="page"/>
      </w:r>
      <w:bookmarkStart w:id="119" w:name="_Toc496161880"/>
      <w:r>
        <w:rPr>
          <w:rFonts w:hint="eastAsia" w:ascii="宋体" w:hAnsi="宋体" w:eastAsia="宋体" w:cs="宋体"/>
          <w:b/>
          <w:color w:val="auto"/>
          <w:sz w:val="24"/>
          <w:highlight w:val="none"/>
        </w:rPr>
        <w:t>7.2投标保证金退还格式</w:t>
      </w:r>
      <w:bookmarkStart w:id="120" w:name="_Hlt523221392"/>
      <w:bookmarkEnd w:id="120"/>
      <w:r>
        <w:rPr>
          <w:rFonts w:hint="eastAsia" w:ascii="宋体" w:hAnsi="宋体" w:eastAsia="宋体" w:cs="宋体"/>
          <w:b/>
          <w:color w:val="auto"/>
          <w:sz w:val="24"/>
          <w:highlight w:val="none"/>
        </w:rPr>
        <w:t>（样本）</w:t>
      </w:r>
    </w:p>
    <w:p>
      <w:pPr>
        <w:snapToGrid w:val="0"/>
        <w:jc w:val="center"/>
        <w:rPr>
          <w:rStyle w:val="112"/>
          <w:rFonts w:hint="eastAsia" w:ascii="宋体" w:hAnsi="宋体" w:eastAsia="宋体" w:cs="宋体"/>
          <w:b/>
          <w:color w:val="auto"/>
          <w:spacing w:val="10"/>
          <w:sz w:val="21"/>
          <w:szCs w:val="21"/>
          <w:highlight w:val="none"/>
          <w:lang w:val="zh-CN"/>
        </w:rPr>
      </w:pPr>
      <w:r>
        <w:rPr>
          <w:rStyle w:val="112"/>
          <w:rFonts w:hint="eastAsia" w:ascii="宋体" w:hAnsi="宋体" w:eastAsia="宋体" w:cs="宋体"/>
          <w:b/>
          <w:color w:val="auto"/>
          <w:spacing w:val="10"/>
          <w:sz w:val="21"/>
          <w:szCs w:val="21"/>
          <w:highlight w:val="none"/>
          <w:lang w:val="zh-CN"/>
        </w:rPr>
        <w:t>退保证金说明</w:t>
      </w:r>
    </w:p>
    <w:p>
      <w:pPr>
        <w:ind w:left="420" w:hanging="420" w:hanging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 xml:space="preserve">                   </w:t>
      </w:r>
    </w:p>
    <w:p>
      <w:pPr>
        <w:spacing w:line="360" w:lineRule="auto"/>
        <w:ind w:leftChars="-250" w:hanging="525" w:hanging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我方为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项目的投标，项目编号为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所提交的保证金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元，请贵单位退还时划到以下账户：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noWrap w:val="0"/>
            <w:vAlign w:val="center"/>
          </w:tcPr>
          <w:p>
            <w:pPr>
              <w:spacing w:line="360" w:lineRule="auto"/>
              <w:ind w:right="206" w:rightChars="98"/>
              <w:jc w:val="center"/>
              <w:rPr>
                <w:rStyle w:val="112"/>
                <w:rFonts w:hint="eastAsia" w:ascii="宋体" w:hAnsi="宋体" w:eastAsia="宋体" w:cs="宋体"/>
                <w:color w:val="auto"/>
                <w:spacing w:val="10"/>
                <w:sz w:val="21"/>
                <w:szCs w:val="21"/>
                <w:highlight w:val="none"/>
                <w:lang w:val="zh-CN"/>
              </w:rPr>
            </w:pPr>
            <w:r>
              <w:rPr>
                <w:rStyle w:val="112"/>
                <w:rFonts w:hint="eastAsia" w:ascii="宋体" w:hAnsi="宋体" w:eastAsia="宋体" w:cs="宋体"/>
                <w:color w:val="auto"/>
                <w:spacing w:val="10"/>
                <w:sz w:val="21"/>
                <w:szCs w:val="21"/>
                <w:highlight w:val="none"/>
                <w:lang w:val="zh-CN"/>
              </w:rPr>
              <w:t>收款单位</w:t>
            </w:r>
          </w:p>
        </w:tc>
        <w:tc>
          <w:tcPr>
            <w:tcW w:w="1976" w:type="dxa"/>
            <w:noWrap w:val="0"/>
            <w:vAlign w:val="top"/>
          </w:tcPr>
          <w:p>
            <w:pPr>
              <w:spacing w:line="360" w:lineRule="auto"/>
              <w:ind w:right="206" w:rightChars="98"/>
              <w:rPr>
                <w:rStyle w:val="112"/>
                <w:rFonts w:hint="eastAsia" w:ascii="宋体" w:hAnsi="宋体" w:eastAsia="宋体" w:cs="宋体"/>
                <w:color w:val="auto"/>
                <w:spacing w:val="10"/>
                <w:sz w:val="21"/>
                <w:szCs w:val="21"/>
                <w:highlight w:val="none"/>
                <w:lang w:val="zh-CN"/>
              </w:rPr>
            </w:pPr>
            <w:r>
              <w:rPr>
                <w:rStyle w:val="112"/>
                <w:rFonts w:hint="eastAsia" w:ascii="宋体" w:hAnsi="宋体" w:eastAsia="宋体" w:cs="宋体"/>
                <w:color w:val="auto"/>
                <w:spacing w:val="10"/>
                <w:sz w:val="21"/>
                <w:szCs w:val="21"/>
                <w:highlight w:val="none"/>
                <w:lang w:val="zh-CN"/>
              </w:rPr>
              <w:t xml:space="preserve"> 收款单位名称</w:t>
            </w:r>
          </w:p>
        </w:tc>
        <w:tc>
          <w:tcPr>
            <w:tcW w:w="5894" w:type="dxa"/>
            <w:gridSpan w:val="3"/>
            <w:noWrap w:val="0"/>
            <w:vAlign w:val="top"/>
          </w:tcPr>
          <w:p>
            <w:pPr>
              <w:spacing w:line="360" w:lineRule="auto"/>
              <w:ind w:right="206" w:rightChars="98"/>
              <w:rPr>
                <w:rStyle w:val="112"/>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noWrap w:val="0"/>
            <w:vAlign w:val="top"/>
          </w:tcPr>
          <w:p>
            <w:pPr>
              <w:spacing w:line="360" w:lineRule="auto"/>
              <w:ind w:right="206" w:rightChars="98"/>
              <w:rPr>
                <w:rStyle w:val="112"/>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rPr>
                <w:rStyle w:val="112"/>
                <w:rFonts w:hint="eastAsia" w:ascii="宋体" w:hAnsi="宋体" w:eastAsia="宋体" w:cs="宋体"/>
                <w:color w:val="auto"/>
                <w:spacing w:val="10"/>
                <w:sz w:val="21"/>
                <w:szCs w:val="21"/>
                <w:highlight w:val="none"/>
                <w:lang w:val="zh-CN"/>
              </w:rPr>
            </w:pPr>
            <w:r>
              <w:rPr>
                <w:rStyle w:val="112"/>
                <w:rFonts w:hint="eastAsia" w:ascii="宋体" w:hAnsi="宋体" w:eastAsia="宋体" w:cs="宋体"/>
                <w:color w:val="auto"/>
                <w:spacing w:val="10"/>
                <w:sz w:val="21"/>
                <w:szCs w:val="21"/>
                <w:highlight w:val="none"/>
                <w:lang w:val="zh-CN"/>
              </w:rPr>
              <w:t xml:space="preserve"> 收款单位地址</w:t>
            </w:r>
          </w:p>
        </w:tc>
        <w:tc>
          <w:tcPr>
            <w:tcW w:w="5894" w:type="dxa"/>
            <w:gridSpan w:val="3"/>
            <w:noWrap w:val="0"/>
            <w:vAlign w:val="top"/>
          </w:tcPr>
          <w:p>
            <w:pPr>
              <w:spacing w:line="360" w:lineRule="auto"/>
              <w:ind w:right="206" w:rightChars="98"/>
              <w:rPr>
                <w:rStyle w:val="112"/>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noWrap w:val="0"/>
            <w:vAlign w:val="top"/>
          </w:tcPr>
          <w:p>
            <w:pPr>
              <w:spacing w:line="360" w:lineRule="auto"/>
              <w:ind w:right="206" w:rightChars="98"/>
              <w:rPr>
                <w:rStyle w:val="112"/>
                <w:rFonts w:hint="eastAsia" w:ascii="宋体" w:hAnsi="宋体" w:eastAsia="宋体" w:cs="宋体"/>
                <w:color w:val="auto"/>
                <w:spacing w:val="10"/>
                <w:sz w:val="21"/>
                <w:szCs w:val="21"/>
                <w:highlight w:val="none"/>
                <w:lang w:val="zh-CN"/>
              </w:rPr>
            </w:pPr>
          </w:p>
        </w:tc>
        <w:tc>
          <w:tcPr>
            <w:tcW w:w="1976" w:type="dxa"/>
            <w:noWrap w:val="0"/>
            <w:vAlign w:val="top"/>
          </w:tcPr>
          <w:p>
            <w:pPr>
              <w:ind w:right="206" w:rightChars="98"/>
              <w:rPr>
                <w:rStyle w:val="112"/>
                <w:rFonts w:hint="eastAsia" w:ascii="宋体" w:hAnsi="宋体" w:eastAsia="宋体" w:cs="宋体"/>
                <w:color w:val="auto"/>
                <w:spacing w:val="10"/>
                <w:sz w:val="21"/>
                <w:szCs w:val="21"/>
                <w:highlight w:val="none"/>
                <w:lang w:val="zh-CN"/>
              </w:rPr>
            </w:pPr>
            <w:r>
              <w:rPr>
                <w:rStyle w:val="112"/>
                <w:rFonts w:hint="eastAsia" w:ascii="宋体" w:hAnsi="宋体" w:eastAsia="宋体" w:cs="宋体"/>
                <w:color w:val="auto"/>
                <w:spacing w:val="10"/>
                <w:sz w:val="21"/>
                <w:szCs w:val="21"/>
                <w:highlight w:val="none"/>
                <w:lang w:val="zh-CN"/>
              </w:rPr>
              <w:t xml:space="preserve">   开户银行</w:t>
            </w:r>
          </w:p>
          <w:p>
            <w:pPr>
              <w:ind w:right="206" w:rightChars="98"/>
              <w:rPr>
                <w:rStyle w:val="112"/>
                <w:rFonts w:hint="eastAsia" w:ascii="宋体" w:hAnsi="宋体" w:eastAsia="宋体" w:cs="宋体"/>
                <w:color w:val="auto"/>
                <w:spacing w:val="10"/>
                <w:sz w:val="21"/>
                <w:szCs w:val="21"/>
                <w:highlight w:val="none"/>
                <w:lang w:val="zh-CN"/>
              </w:rPr>
            </w:pPr>
            <w:r>
              <w:rPr>
                <w:rStyle w:val="112"/>
                <w:rFonts w:hint="eastAsia" w:ascii="宋体" w:hAnsi="宋体" w:eastAsia="宋体" w:cs="宋体"/>
                <w:color w:val="auto"/>
                <w:spacing w:val="10"/>
                <w:sz w:val="21"/>
                <w:szCs w:val="21"/>
                <w:highlight w:val="none"/>
                <w:lang w:val="zh-CN"/>
              </w:rPr>
              <w:t>（含汇入地点）</w:t>
            </w:r>
          </w:p>
        </w:tc>
        <w:tc>
          <w:tcPr>
            <w:tcW w:w="5894" w:type="dxa"/>
            <w:gridSpan w:val="3"/>
            <w:noWrap w:val="0"/>
            <w:vAlign w:val="center"/>
          </w:tcPr>
          <w:p>
            <w:pPr>
              <w:spacing w:line="360" w:lineRule="auto"/>
              <w:ind w:right="206" w:rightChars="98" w:firstLine="460" w:firstLineChars="200"/>
              <w:rPr>
                <w:rStyle w:val="112"/>
                <w:rFonts w:hint="eastAsia" w:ascii="宋体" w:hAnsi="宋体" w:eastAsia="宋体" w:cs="宋体"/>
                <w:color w:val="auto"/>
                <w:spacing w:val="10"/>
                <w:sz w:val="21"/>
                <w:szCs w:val="21"/>
                <w:highlight w:val="none"/>
                <w:lang w:val="zh-CN"/>
              </w:rPr>
            </w:pPr>
            <w:r>
              <w:rPr>
                <w:rStyle w:val="112"/>
                <w:rFonts w:hint="eastAsia" w:ascii="宋体" w:hAnsi="宋体" w:eastAsia="宋体" w:cs="宋体"/>
                <w:color w:val="auto"/>
                <w:spacing w:val="10"/>
                <w:sz w:val="21"/>
                <w:szCs w:val="21"/>
                <w:highlight w:val="none"/>
                <w:lang w:val="zh-CN"/>
              </w:rPr>
              <w:t xml:space="preserve">省    市（县）      银行       支行（分理处）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noWrap w:val="0"/>
            <w:vAlign w:val="top"/>
          </w:tcPr>
          <w:p>
            <w:pPr>
              <w:spacing w:line="360" w:lineRule="auto"/>
              <w:ind w:right="206" w:rightChars="98"/>
              <w:rPr>
                <w:rStyle w:val="112"/>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jc w:val="center"/>
              <w:rPr>
                <w:rStyle w:val="112"/>
                <w:rFonts w:hint="eastAsia" w:ascii="宋体" w:hAnsi="宋体" w:eastAsia="宋体" w:cs="宋体"/>
                <w:color w:val="auto"/>
                <w:spacing w:val="10"/>
                <w:sz w:val="21"/>
                <w:szCs w:val="21"/>
                <w:highlight w:val="none"/>
                <w:lang w:val="zh-CN"/>
              </w:rPr>
            </w:pPr>
            <w:r>
              <w:rPr>
                <w:rStyle w:val="112"/>
                <w:rFonts w:hint="eastAsia" w:ascii="宋体" w:hAnsi="宋体" w:eastAsia="宋体" w:cs="宋体"/>
                <w:color w:val="auto"/>
                <w:spacing w:val="10"/>
                <w:sz w:val="21"/>
                <w:szCs w:val="21"/>
                <w:highlight w:val="none"/>
                <w:lang w:val="zh-CN"/>
              </w:rPr>
              <w:t>账  号</w:t>
            </w:r>
          </w:p>
        </w:tc>
        <w:tc>
          <w:tcPr>
            <w:tcW w:w="5894" w:type="dxa"/>
            <w:gridSpan w:val="3"/>
            <w:noWrap w:val="0"/>
            <w:vAlign w:val="top"/>
          </w:tcPr>
          <w:p>
            <w:pPr>
              <w:spacing w:line="360" w:lineRule="auto"/>
              <w:ind w:right="206" w:rightChars="98"/>
              <w:rPr>
                <w:rStyle w:val="112"/>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noWrap w:val="0"/>
            <w:vAlign w:val="top"/>
          </w:tcPr>
          <w:p>
            <w:pPr>
              <w:spacing w:line="360" w:lineRule="auto"/>
              <w:ind w:right="206" w:rightChars="98"/>
              <w:rPr>
                <w:rStyle w:val="112"/>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firstLine="460" w:firstLineChars="200"/>
              <w:rPr>
                <w:rStyle w:val="112"/>
                <w:rFonts w:hint="eastAsia" w:ascii="宋体" w:hAnsi="宋体" w:eastAsia="宋体" w:cs="宋体"/>
                <w:color w:val="auto"/>
                <w:spacing w:val="10"/>
                <w:sz w:val="21"/>
                <w:szCs w:val="21"/>
                <w:highlight w:val="none"/>
                <w:lang w:val="zh-CN"/>
              </w:rPr>
            </w:pPr>
            <w:r>
              <w:rPr>
                <w:rStyle w:val="112"/>
                <w:rFonts w:hint="eastAsia" w:ascii="宋体" w:hAnsi="宋体" w:eastAsia="宋体" w:cs="宋体"/>
                <w:color w:val="auto"/>
                <w:spacing w:val="10"/>
                <w:sz w:val="21"/>
                <w:szCs w:val="21"/>
                <w:highlight w:val="none"/>
                <w:lang w:val="zh-CN"/>
              </w:rPr>
              <w:t>联系人</w:t>
            </w:r>
          </w:p>
        </w:tc>
        <w:tc>
          <w:tcPr>
            <w:tcW w:w="1980" w:type="dxa"/>
            <w:noWrap w:val="0"/>
            <w:vAlign w:val="top"/>
          </w:tcPr>
          <w:p>
            <w:pPr>
              <w:spacing w:line="360" w:lineRule="auto"/>
              <w:ind w:right="206" w:rightChars="98"/>
              <w:rPr>
                <w:rStyle w:val="112"/>
                <w:rFonts w:hint="eastAsia" w:ascii="宋体" w:hAnsi="宋体" w:eastAsia="宋体" w:cs="宋体"/>
                <w:color w:val="auto"/>
                <w:spacing w:val="10"/>
                <w:sz w:val="21"/>
                <w:szCs w:val="21"/>
                <w:highlight w:val="none"/>
                <w:lang w:val="zh-CN"/>
              </w:rPr>
            </w:pPr>
          </w:p>
        </w:tc>
        <w:tc>
          <w:tcPr>
            <w:tcW w:w="1620" w:type="dxa"/>
            <w:noWrap w:val="0"/>
            <w:vAlign w:val="top"/>
          </w:tcPr>
          <w:p>
            <w:pPr>
              <w:spacing w:line="360" w:lineRule="auto"/>
              <w:ind w:right="206" w:rightChars="98" w:firstLine="230" w:firstLineChars="100"/>
              <w:rPr>
                <w:rStyle w:val="112"/>
                <w:rFonts w:hint="eastAsia" w:ascii="宋体" w:hAnsi="宋体" w:eastAsia="宋体" w:cs="宋体"/>
                <w:color w:val="auto"/>
                <w:spacing w:val="10"/>
                <w:sz w:val="21"/>
                <w:szCs w:val="21"/>
                <w:highlight w:val="none"/>
                <w:lang w:val="zh-CN"/>
              </w:rPr>
            </w:pPr>
            <w:r>
              <w:rPr>
                <w:rStyle w:val="112"/>
                <w:rFonts w:hint="eastAsia" w:ascii="宋体" w:hAnsi="宋体" w:eastAsia="宋体" w:cs="宋体"/>
                <w:color w:val="auto"/>
                <w:spacing w:val="10"/>
                <w:sz w:val="21"/>
                <w:szCs w:val="21"/>
                <w:highlight w:val="none"/>
                <w:lang w:val="zh-CN"/>
              </w:rPr>
              <w:t>手机号码</w:t>
            </w:r>
          </w:p>
        </w:tc>
        <w:tc>
          <w:tcPr>
            <w:tcW w:w="2294" w:type="dxa"/>
            <w:noWrap w:val="0"/>
            <w:vAlign w:val="top"/>
          </w:tcPr>
          <w:p>
            <w:pPr>
              <w:spacing w:line="360" w:lineRule="auto"/>
              <w:ind w:right="206" w:rightChars="98"/>
              <w:rPr>
                <w:rStyle w:val="112"/>
                <w:rFonts w:hint="eastAsia" w:ascii="宋体" w:hAnsi="宋体" w:eastAsia="宋体" w:cs="宋体"/>
                <w:color w:val="auto"/>
                <w:spacing w:val="10"/>
                <w:sz w:val="21"/>
                <w:szCs w:val="21"/>
                <w:highlight w:val="none"/>
                <w:lang w:val="zh-CN"/>
              </w:rPr>
            </w:pPr>
          </w:p>
        </w:tc>
      </w:tr>
    </w:tbl>
    <w:p>
      <w:pPr>
        <w:ind w:left="630" w:right="-328" w:rightChars="-156"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备注：银行进账单复印件（加盖公章）及投标保证金退还说明应分别装在投标文件和开标信封内，并在开标截止时间前提交。</w:t>
      </w:r>
    </w:p>
    <w:p>
      <w:pPr>
        <w:rPr>
          <w:rFonts w:hint="eastAsia" w:ascii="宋体" w:hAnsi="宋体" w:eastAsia="宋体" w:cs="宋体"/>
          <w:color w:val="auto"/>
          <w:szCs w:val="21"/>
          <w:highlight w:val="none"/>
        </w:rPr>
      </w:pPr>
    </w:p>
    <w:p>
      <w:pPr>
        <w:rPr>
          <w:rFonts w:hint="eastAsia" w:ascii="宋体" w:hAnsi="宋体" w:eastAsia="宋体" w:cs="宋体"/>
          <w:b/>
          <w:bCs/>
          <w:color w:val="auto"/>
          <w:szCs w:val="21"/>
          <w:highlight w:val="none"/>
        </w:rPr>
      </w:pPr>
    </w:p>
    <w:p>
      <w:pP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投标人(公章)：                                  </w:t>
      </w:r>
    </w:p>
    <w:p>
      <w:pPr>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 xml:space="preserve">日        期：  </w:t>
      </w:r>
      <w:r>
        <w:rPr>
          <w:rFonts w:hint="eastAsia" w:ascii="宋体" w:hAnsi="宋体" w:eastAsia="宋体" w:cs="宋体"/>
          <w:b/>
          <w:color w:val="auto"/>
          <w:szCs w:val="21"/>
          <w:highlight w:val="none"/>
        </w:rPr>
        <w:t xml:space="preserve">                                </w:t>
      </w:r>
    </w:p>
    <w:p>
      <w:pPr>
        <w:spacing w:line="360" w:lineRule="auto"/>
        <w:ind w:left="692" w:leftChars="220" w:right="206" w:rightChars="98" w:hanging="230" w:hangingChars="100"/>
        <w:rPr>
          <w:rStyle w:val="112"/>
          <w:rFonts w:hint="eastAsia" w:ascii="宋体" w:hAnsi="宋体" w:eastAsia="宋体" w:cs="宋体"/>
          <w:color w:val="auto"/>
          <w:spacing w:val="10"/>
          <w:sz w:val="21"/>
          <w:szCs w:val="21"/>
          <w:highlight w:val="none"/>
          <w:lang w:val="zh-CN"/>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noWrap w:val="0"/>
            <w:vAlign w:val="center"/>
          </w:tcPr>
          <w:p>
            <w:pPr>
              <w:spacing w:line="360" w:lineRule="auto"/>
              <w:ind w:right="206" w:rightChars="98"/>
              <w:jc w:val="center"/>
              <w:rPr>
                <w:rStyle w:val="112"/>
                <w:rFonts w:hint="eastAsia" w:ascii="宋体" w:hAnsi="宋体" w:eastAsia="宋体" w:cs="宋体"/>
                <w:color w:val="auto"/>
                <w:spacing w:val="10"/>
                <w:sz w:val="21"/>
                <w:szCs w:val="21"/>
                <w:highlight w:val="none"/>
                <w:lang w:val="zh-CN"/>
              </w:rPr>
            </w:pPr>
          </w:p>
          <w:p>
            <w:pPr>
              <w:ind w:right="206" w:rightChars="98"/>
              <w:jc w:val="center"/>
              <w:rPr>
                <w:rStyle w:val="112"/>
                <w:rFonts w:hint="eastAsia" w:ascii="宋体" w:hAnsi="宋体" w:eastAsia="宋体" w:cs="宋体"/>
                <w:color w:val="auto"/>
                <w:spacing w:val="10"/>
                <w:sz w:val="21"/>
                <w:szCs w:val="21"/>
                <w:highlight w:val="none"/>
                <w:lang w:val="zh-CN"/>
              </w:rPr>
            </w:pPr>
          </w:p>
          <w:p>
            <w:pPr>
              <w:ind w:right="206" w:rightChars="98"/>
              <w:jc w:val="center"/>
              <w:rPr>
                <w:rStyle w:val="112"/>
                <w:rFonts w:hint="eastAsia" w:ascii="宋体" w:hAnsi="宋体" w:eastAsia="宋体" w:cs="宋体"/>
                <w:color w:val="auto"/>
                <w:spacing w:val="10"/>
                <w:sz w:val="21"/>
                <w:szCs w:val="21"/>
                <w:highlight w:val="none"/>
                <w:lang w:val="zh-CN"/>
              </w:rPr>
            </w:pPr>
            <w:r>
              <w:rPr>
                <w:rStyle w:val="112"/>
                <w:rFonts w:hint="eastAsia" w:ascii="宋体" w:hAnsi="宋体" w:eastAsia="宋体" w:cs="宋体"/>
                <w:color w:val="auto"/>
                <w:spacing w:val="10"/>
                <w:sz w:val="21"/>
                <w:szCs w:val="21"/>
                <w:highlight w:val="none"/>
                <w:lang w:val="zh-CN"/>
              </w:rPr>
              <w:t>汇款凭证粘贴处</w:t>
            </w:r>
          </w:p>
          <w:p>
            <w:pPr>
              <w:spacing w:line="360" w:lineRule="auto"/>
              <w:ind w:right="206" w:rightChars="98"/>
              <w:jc w:val="center"/>
              <w:rPr>
                <w:rStyle w:val="112"/>
                <w:rFonts w:hint="eastAsia" w:ascii="宋体" w:hAnsi="宋体" w:eastAsia="宋体" w:cs="宋体"/>
                <w:color w:val="auto"/>
                <w:spacing w:val="10"/>
                <w:sz w:val="21"/>
                <w:szCs w:val="21"/>
                <w:highlight w:val="none"/>
                <w:lang w:val="zh-CN"/>
              </w:rPr>
            </w:pPr>
          </w:p>
          <w:p>
            <w:pPr>
              <w:spacing w:line="360" w:lineRule="auto"/>
              <w:ind w:right="206" w:rightChars="98"/>
              <w:jc w:val="center"/>
              <w:rPr>
                <w:rStyle w:val="112"/>
                <w:rFonts w:hint="eastAsia" w:ascii="宋体" w:hAnsi="宋体" w:eastAsia="宋体" w:cs="宋体"/>
                <w:color w:val="auto"/>
                <w:spacing w:val="10"/>
                <w:sz w:val="21"/>
                <w:szCs w:val="21"/>
                <w:highlight w:val="none"/>
                <w:lang w:val="zh-CN"/>
              </w:rPr>
            </w:pPr>
          </w:p>
          <w:p>
            <w:pPr>
              <w:spacing w:line="360" w:lineRule="auto"/>
              <w:ind w:right="206" w:rightChars="98"/>
              <w:jc w:val="center"/>
              <w:rPr>
                <w:rStyle w:val="112"/>
                <w:rFonts w:hint="eastAsia" w:ascii="宋体" w:hAnsi="宋体" w:eastAsia="宋体" w:cs="宋体"/>
                <w:color w:val="auto"/>
                <w:spacing w:val="10"/>
                <w:sz w:val="21"/>
                <w:szCs w:val="21"/>
                <w:highlight w:val="none"/>
                <w:lang w:val="zh-CN"/>
              </w:rPr>
            </w:pPr>
          </w:p>
        </w:tc>
      </w:tr>
    </w:tbl>
    <w:p>
      <w:pPr>
        <w:spacing w:line="360" w:lineRule="auto"/>
        <w:ind w:right="206" w:rightChars="98"/>
        <w:rPr>
          <w:rStyle w:val="112"/>
          <w:rFonts w:hint="eastAsia" w:ascii="宋体" w:hAnsi="宋体" w:eastAsia="宋体" w:cs="宋体"/>
          <w:color w:val="auto"/>
          <w:spacing w:val="10"/>
          <w:szCs w:val="21"/>
          <w:highlight w:val="none"/>
          <w:lang w:val="zh-CN"/>
        </w:rPr>
      </w:pPr>
    </w:p>
    <w:p>
      <w:pPr>
        <w:tabs>
          <w:tab w:val="left" w:pos="720"/>
        </w:tabs>
        <w:spacing w:line="300" w:lineRule="auto"/>
        <w:ind w:left="1021" w:hanging="1021"/>
        <w:jc w:val="center"/>
        <w:rPr>
          <w:rFonts w:hint="eastAsia" w:ascii="宋体" w:hAnsi="宋体" w:eastAsia="宋体" w:cs="宋体"/>
          <w:b/>
          <w:color w:val="auto"/>
          <w:sz w:val="28"/>
          <w:szCs w:val="28"/>
          <w:highlight w:val="none"/>
        </w:rPr>
      </w:pPr>
      <w:r>
        <w:rPr>
          <w:rFonts w:hint="eastAsia" w:ascii="宋体" w:hAnsi="宋体" w:eastAsia="宋体" w:cs="宋体"/>
          <w:b/>
          <w:bCs/>
          <w:color w:val="auto"/>
          <w:highlight w:val="none"/>
        </w:rPr>
        <w:br w:type="page"/>
      </w:r>
      <w:bookmarkEnd w:id="119"/>
    </w:p>
    <w:p>
      <w:pPr>
        <w:tabs>
          <w:tab w:val="left" w:pos="720"/>
        </w:tabs>
        <w:spacing w:line="300" w:lineRule="auto"/>
        <w:ind w:left="1021" w:hanging="1021"/>
        <w:jc w:val="center"/>
        <w:rPr>
          <w:rFonts w:hint="eastAsia" w:ascii="宋体" w:hAnsi="宋体" w:eastAsia="宋体" w:cs="宋体"/>
          <w:b/>
          <w:color w:val="auto"/>
          <w:sz w:val="28"/>
          <w:szCs w:val="28"/>
          <w:highlight w:val="none"/>
        </w:rPr>
      </w:pPr>
    </w:p>
    <w:p>
      <w:pPr>
        <w:tabs>
          <w:tab w:val="left" w:pos="720"/>
          <w:tab w:val="left" w:pos="7679"/>
        </w:tabs>
        <w:spacing w:line="300" w:lineRule="auto"/>
        <w:ind w:left="1021" w:hanging="1021"/>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ab/>
      </w:r>
      <w:r>
        <w:rPr>
          <w:rFonts w:hint="eastAsia" w:ascii="宋体" w:hAnsi="宋体" w:eastAsia="宋体" w:cs="宋体"/>
          <w:b/>
          <w:color w:val="auto"/>
          <w:sz w:val="28"/>
          <w:szCs w:val="28"/>
          <w:highlight w:val="none"/>
        </w:rPr>
        <w:tab/>
      </w:r>
    </w:p>
    <w:p>
      <w:pPr>
        <w:tabs>
          <w:tab w:val="left" w:pos="720"/>
        </w:tabs>
        <w:spacing w:line="300" w:lineRule="auto"/>
        <w:ind w:left="1021" w:hanging="1021"/>
        <w:jc w:val="center"/>
        <w:rPr>
          <w:rFonts w:hint="eastAsia" w:ascii="宋体" w:hAnsi="宋体" w:eastAsia="宋体" w:cs="宋体"/>
          <w:b/>
          <w:color w:val="auto"/>
          <w:sz w:val="28"/>
          <w:szCs w:val="28"/>
          <w:highlight w:val="none"/>
        </w:rPr>
      </w:pPr>
    </w:p>
    <w:p>
      <w:pPr>
        <w:tabs>
          <w:tab w:val="left" w:pos="720"/>
        </w:tabs>
        <w:spacing w:line="300" w:lineRule="auto"/>
        <w:ind w:left="1021" w:hanging="1021"/>
        <w:jc w:val="center"/>
        <w:rPr>
          <w:rFonts w:hint="eastAsia" w:ascii="宋体" w:hAnsi="宋体" w:eastAsia="宋体" w:cs="宋体"/>
          <w:b/>
          <w:color w:val="auto"/>
          <w:sz w:val="28"/>
          <w:szCs w:val="28"/>
          <w:highlight w:val="none"/>
        </w:rPr>
      </w:pPr>
    </w:p>
    <w:p>
      <w:pPr>
        <w:tabs>
          <w:tab w:val="left" w:pos="720"/>
        </w:tabs>
        <w:spacing w:line="300" w:lineRule="auto"/>
        <w:ind w:left="1021" w:hanging="1021"/>
        <w:jc w:val="center"/>
        <w:rPr>
          <w:rFonts w:hint="eastAsia" w:ascii="宋体" w:hAnsi="宋体" w:eastAsia="宋体" w:cs="宋体"/>
          <w:b/>
          <w:color w:val="auto"/>
          <w:sz w:val="28"/>
          <w:szCs w:val="28"/>
          <w:highlight w:val="none"/>
        </w:rPr>
      </w:pPr>
    </w:p>
    <w:p>
      <w:pPr>
        <w:spacing w:line="360" w:lineRule="auto"/>
        <w:jc w:val="center"/>
        <w:rPr>
          <w:rFonts w:hint="eastAsia" w:ascii="宋体" w:hAnsi="宋体" w:eastAsia="宋体" w:cs="宋体"/>
          <w:b/>
          <w:color w:val="auto"/>
          <w:sz w:val="44"/>
          <w:highlight w:val="none"/>
        </w:rPr>
      </w:pPr>
    </w:p>
    <w:p>
      <w:pPr>
        <w:jc w:val="center"/>
        <w:outlineLvl w:val="0"/>
        <w:rPr>
          <w:rFonts w:hint="eastAsia" w:ascii="宋体" w:hAnsi="宋体" w:eastAsia="宋体" w:cs="宋体"/>
          <w:b/>
          <w:color w:val="auto"/>
          <w:sz w:val="44"/>
          <w:szCs w:val="44"/>
          <w:highlight w:val="none"/>
        </w:rPr>
      </w:pPr>
      <w:bookmarkStart w:id="121" w:name="_Toc5715"/>
      <w:r>
        <w:rPr>
          <w:rFonts w:hint="eastAsia" w:ascii="宋体" w:hAnsi="宋体" w:eastAsia="宋体" w:cs="宋体"/>
          <w:b/>
          <w:color w:val="auto"/>
          <w:sz w:val="44"/>
          <w:szCs w:val="44"/>
          <w:highlight w:val="none"/>
        </w:rPr>
        <w:t>第六章</w:t>
      </w:r>
      <w:bookmarkStart w:id="122" w:name="_Toc477186335"/>
      <w:r>
        <w:rPr>
          <w:rFonts w:hint="eastAsia" w:ascii="宋体" w:hAnsi="宋体" w:eastAsia="宋体" w:cs="宋体"/>
          <w:b/>
          <w:color w:val="auto"/>
          <w:sz w:val="44"/>
          <w:szCs w:val="44"/>
          <w:highlight w:val="none"/>
        </w:rPr>
        <w:t xml:space="preserve">  评标办法</w:t>
      </w:r>
      <w:bookmarkEnd w:id="121"/>
      <w:bookmarkEnd w:id="122"/>
    </w:p>
    <w:p>
      <w:pPr>
        <w:tabs>
          <w:tab w:val="left" w:pos="720"/>
        </w:tabs>
        <w:spacing w:line="300" w:lineRule="auto"/>
        <w:ind w:left="1021" w:hanging="1021"/>
        <w:jc w:val="center"/>
        <w:rPr>
          <w:rFonts w:hint="eastAsia" w:ascii="宋体" w:hAnsi="宋体" w:eastAsia="宋体" w:cs="宋体"/>
          <w:b/>
          <w:color w:val="auto"/>
          <w:sz w:val="28"/>
          <w:szCs w:val="28"/>
          <w:highlight w:val="none"/>
        </w:rPr>
      </w:pPr>
    </w:p>
    <w:p>
      <w:pPr>
        <w:tabs>
          <w:tab w:val="left" w:pos="720"/>
        </w:tabs>
        <w:spacing w:line="300" w:lineRule="auto"/>
        <w:ind w:left="1021" w:hanging="1021"/>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 xml:space="preserve"> </w:t>
      </w:r>
    </w:p>
    <w:p>
      <w:pPr>
        <w:tabs>
          <w:tab w:val="left" w:pos="720"/>
        </w:tabs>
        <w:spacing w:line="300" w:lineRule="auto"/>
        <w:ind w:left="1021" w:hanging="1021"/>
        <w:jc w:val="center"/>
        <w:rPr>
          <w:rFonts w:hint="eastAsia" w:ascii="宋体" w:hAnsi="宋体" w:eastAsia="宋体" w:cs="宋体"/>
          <w:b/>
          <w:color w:val="auto"/>
          <w:spacing w:val="10"/>
          <w:sz w:val="28"/>
          <w:szCs w:val="28"/>
          <w:highlight w:val="none"/>
        </w:rPr>
      </w:pPr>
      <w:bookmarkStart w:id="123" w:name="_Toc10591_WPSOffice_Level1"/>
      <w:bookmarkStart w:id="124" w:name="_Toc31126_WPSOffice_Level1"/>
      <w:bookmarkStart w:id="125" w:name="_Toc9981_WPSOffice_Level1"/>
      <w:r>
        <w:rPr>
          <w:rFonts w:hint="eastAsia" w:ascii="宋体" w:hAnsi="宋体" w:eastAsia="宋体" w:cs="宋体"/>
          <w:b/>
          <w:color w:val="auto"/>
          <w:sz w:val="28"/>
          <w:szCs w:val="28"/>
          <w:highlight w:val="none"/>
        </w:rPr>
        <w:t>评  标  办  法</w:t>
      </w:r>
      <w:bookmarkEnd w:id="123"/>
      <w:bookmarkEnd w:id="124"/>
      <w:bookmarkEnd w:id="125"/>
    </w:p>
    <w:p>
      <w:pPr>
        <w:pStyle w:val="5"/>
        <w:numPr>
          <w:ilvl w:val="0"/>
          <w:numId w:val="12"/>
        </w:numPr>
        <w:spacing w:before="120" w:after="120" w:line="360" w:lineRule="auto"/>
        <w:rPr>
          <w:rFonts w:hint="eastAsia" w:ascii="宋体" w:hAnsi="宋体" w:eastAsia="宋体" w:cs="宋体"/>
          <w:color w:val="auto"/>
          <w:sz w:val="28"/>
          <w:szCs w:val="28"/>
          <w:highlight w:val="none"/>
        </w:rPr>
      </w:pPr>
      <w:bookmarkStart w:id="126" w:name="_Toc477185975"/>
      <w:bookmarkStart w:id="127" w:name="_Toc95298716"/>
      <w:bookmarkStart w:id="128" w:name="_Toc4692_WPSOffice_Level1"/>
      <w:bookmarkStart w:id="129" w:name="_Toc476177998"/>
      <w:bookmarkStart w:id="130" w:name="_Toc95306153"/>
      <w:bookmarkStart w:id="131" w:name="_Toc95305931"/>
      <w:bookmarkStart w:id="132" w:name="_Toc95306013"/>
      <w:bookmarkStart w:id="133" w:name="_Toc2177_WPSOffice_Level1"/>
      <w:bookmarkStart w:id="134" w:name="_Toc8854"/>
      <w:bookmarkStart w:id="135" w:name="_Toc477186336"/>
      <w:bookmarkStart w:id="136" w:name="_Toc95306105"/>
      <w:bookmarkStart w:id="137" w:name="_Toc99012603"/>
      <w:bookmarkStart w:id="138" w:name="_Toc11635_WPSOffice_Level1"/>
      <w:bookmarkStart w:id="139" w:name="_Toc476177438"/>
      <w:r>
        <w:rPr>
          <w:rFonts w:hint="eastAsia" w:ascii="宋体" w:hAnsi="宋体" w:eastAsia="宋体" w:cs="宋体"/>
          <w:color w:val="auto"/>
          <w:sz w:val="28"/>
          <w:szCs w:val="28"/>
          <w:highlight w:val="none"/>
        </w:rPr>
        <w:t>说明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tabs>
          <w:tab w:val="left" w:pos="840"/>
          <w:tab w:val="left" w:pos="1680"/>
          <w:tab w:val="left" w:pos="1890"/>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根据《中华人民共和国招标投标法》、《中华人民共和国招标投标法实施条例》、《评标委员会和评标方法暂行规定》和国家及地方有关文件精神，在保证本项目招标公开、公平、公正的基础上，结合本项目的需求，制定本评标办法。内容包括本次评标的评审过程和方法。</w:t>
      </w:r>
    </w:p>
    <w:p>
      <w:pPr>
        <w:tabs>
          <w:tab w:val="left" w:pos="840"/>
        </w:tabs>
        <w:spacing w:line="360" w:lineRule="auto"/>
        <w:rPr>
          <w:rFonts w:hint="eastAsia" w:ascii="宋体" w:hAnsi="宋体" w:eastAsia="宋体" w:cs="宋体"/>
          <w:b/>
          <w:color w:val="auto"/>
          <w:spacing w:val="10"/>
          <w:sz w:val="24"/>
          <w:highlight w:val="none"/>
        </w:rPr>
      </w:pPr>
    </w:p>
    <w:p>
      <w:pPr>
        <w:pStyle w:val="5"/>
        <w:numPr>
          <w:ilvl w:val="0"/>
          <w:numId w:val="12"/>
        </w:numPr>
        <w:spacing w:before="120" w:after="120" w:line="360" w:lineRule="auto"/>
        <w:rPr>
          <w:rFonts w:hint="eastAsia" w:ascii="宋体" w:hAnsi="宋体" w:eastAsia="宋体" w:cs="宋体"/>
          <w:color w:val="auto"/>
          <w:sz w:val="28"/>
          <w:szCs w:val="28"/>
          <w:highlight w:val="none"/>
        </w:rPr>
      </w:pPr>
      <w:bookmarkStart w:id="140" w:name="_Toc15972"/>
      <w:bookmarkStart w:id="141" w:name="_Toc99012604"/>
      <w:bookmarkStart w:id="142" w:name="_Toc21029_WPSOffice_Level1"/>
      <w:bookmarkStart w:id="143" w:name="_Toc476177999"/>
      <w:bookmarkStart w:id="144" w:name="_Toc477186337"/>
      <w:bookmarkStart w:id="145" w:name="_Toc477185976"/>
      <w:bookmarkStart w:id="146" w:name="_Toc476177439"/>
      <w:bookmarkStart w:id="147" w:name="_Toc25791_WPSOffice_Level1"/>
      <w:bookmarkStart w:id="148" w:name="_Toc4898_WPSOffice_Level1"/>
      <w:r>
        <w:rPr>
          <w:rFonts w:hint="eastAsia" w:ascii="宋体" w:hAnsi="宋体" w:eastAsia="宋体" w:cs="宋体"/>
          <w:color w:val="auto"/>
          <w:sz w:val="28"/>
          <w:szCs w:val="28"/>
          <w:highlight w:val="none"/>
        </w:rPr>
        <w:t>评标须知</w:t>
      </w:r>
      <w:bookmarkEnd w:id="140"/>
      <w:bookmarkEnd w:id="141"/>
      <w:bookmarkEnd w:id="142"/>
      <w:bookmarkEnd w:id="143"/>
      <w:bookmarkEnd w:id="144"/>
      <w:bookmarkEnd w:id="145"/>
      <w:bookmarkEnd w:id="146"/>
      <w:bookmarkEnd w:id="147"/>
      <w:bookmarkEnd w:id="148"/>
    </w:p>
    <w:p>
      <w:pPr>
        <w:numPr>
          <w:ilvl w:val="1"/>
          <w:numId w:val="12"/>
        </w:numPr>
        <w:tabs>
          <w:tab w:val="left" w:pos="0"/>
          <w:tab w:val="left" w:pos="84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关于评标方案</w:t>
      </w:r>
    </w:p>
    <w:p>
      <w:pPr>
        <w:tabs>
          <w:tab w:val="left" w:pos="0"/>
        </w:tabs>
        <w:spacing w:line="360" w:lineRule="auto"/>
        <w:ind w:left="420"/>
        <w:rPr>
          <w:rFonts w:hint="eastAsia" w:ascii="宋体" w:hAnsi="宋体" w:eastAsia="宋体" w:cs="宋体"/>
          <w:color w:val="auto"/>
          <w:highlight w:val="none"/>
        </w:rPr>
      </w:pPr>
      <w:r>
        <w:rPr>
          <w:rFonts w:hint="eastAsia" w:ascii="宋体" w:hAnsi="宋体" w:eastAsia="宋体" w:cs="宋体"/>
          <w:color w:val="auto"/>
          <w:highlight w:val="none"/>
        </w:rPr>
        <w:t>2.1.2评标委员会的每位成员（简称评委）应认真地阅读并确认已经正确理解了评标方案。</w:t>
      </w:r>
    </w:p>
    <w:p>
      <w:pPr>
        <w:numPr>
          <w:ilvl w:val="1"/>
          <w:numId w:val="12"/>
        </w:numPr>
        <w:tabs>
          <w:tab w:val="left" w:pos="0"/>
          <w:tab w:val="left" w:pos="84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关于评标纪律</w:t>
      </w:r>
    </w:p>
    <w:p>
      <w:pPr>
        <w:tabs>
          <w:tab w:val="left" w:pos="0"/>
        </w:tabs>
        <w:spacing w:line="360" w:lineRule="auto"/>
        <w:ind w:left="420"/>
        <w:rPr>
          <w:rFonts w:hint="eastAsia" w:ascii="宋体" w:hAnsi="宋体" w:eastAsia="宋体" w:cs="宋体"/>
          <w:color w:val="auto"/>
          <w:szCs w:val="22"/>
          <w:highlight w:val="none"/>
        </w:rPr>
      </w:pPr>
      <w:r>
        <w:rPr>
          <w:rFonts w:hint="eastAsia" w:ascii="宋体" w:hAnsi="宋体" w:eastAsia="宋体" w:cs="宋体"/>
          <w:color w:val="auto"/>
          <w:szCs w:val="22"/>
          <w:highlight w:val="none"/>
        </w:rPr>
        <w:t>2.2.1评标委员会成员不得与任何投标人或者与招标结果有利害关系的人进行私下接触，不得收受投标人、中介人、其他利害关系人的财物或者其他好处；</w:t>
      </w:r>
    </w:p>
    <w:p>
      <w:pPr>
        <w:tabs>
          <w:tab w:val="left" w:pos="0"/>
        </w:tabs>
        <w:spacing w:line="360" w:lineRule="auto"/>
        <w:ind w:left="420"/>
        <w:rPr>
          <w:rFonts w:hint="eastAsia" w:ascii="宋体" w:hAnsi="宋体" w:eastAsia="宋体" w:cs="宋体"/>
          <w:color w:val="auto"/>
          <w:szCs w:val="22"/>
          <w:highlight w:val="none"/>
        </w:rPr>
      </w:pPr>
      <w:r>
        <w:rPr>
          <w:rFonts w:hint="eastAsia" w:ascii="宋体" w:hAnsi="宋体" w:eastAsia="宋体" w:cs="宋体"/>
          <w:color w:val="auto"/>
          <w:szCs w:val="22"/>
          <w:highlight w:val="none"/>
        </w:rPr>
        <w:t>2.2.2评委应本着客观、公正的原则独立给出评价意见；</w:t>
      </w:r>
    </w:p>
    <w:p>
      <w:pPr>
        <w:tabs>
          <w:tab w:val="left" w:pos="0"/>
        </w:tabs>
        <w:spacing w:line="360" w:lineRule="auto"/>
        <w:ind w:left="420"/>
        <w:rPr>
          <w:rFonts w:hint="eastAsia" w:ascii="宋体" w:hAnsi="宋体" w:eastAsia="宋体" w:cs="宋体"/>
          <w:color w:val="auto"/>
          <w:szCs w:val="22"/>
          <w:highlight w:val="none"/>
        </w:rPr>
      </w:pPr>
      <w:r>
        <w:rPr>
          <w:rFonts w:hint="eastAsia" w:ascii="宋体" w:hAnsi="宋体" w:eastAsia="宋体" w:cs="宋体"/>
          <w:color w:val="auto"/>
          <w:szCs w:val="22"/>
          <w:highlight w:val="none"/>
        </w:rPr>
        <w:t>2.2.3评委之间不得相互串通进行评分；</w:t>
      </w:r>
    </w:p>
    <w:p>
      <w:pPr>
        <w:tabs>
          <w:tab w:val="left" w:pos="0"/>
        </w:tabs>
        <w:spacing w:line="360" w:lineRule="auto"/>
        <w:ind w:left="420"/>
        <w:rPr>
          <w:rFonts w:hint="eastAsia" w:ascii="宋体" w:hAnsi="宋体" w:eastAsia="宋体" w:cs="宋体"/>
          <w:color w:val="auto"/>
          <w:szCs w:val="22"/>
          <w:highlight w:val="none"/>
        </w:rPr>
      </w:pPr>
      <w:r>
        <w:rPr>
          <w:rFonts w:hint="eastAsia" w:ascii="宋体" w:hAnsi="宋体" w:eastAsia="宋体" w:cs="宋体"/>
          <w:color w:val="auto"/>
          <w:szCs w:val="22"/>
          <w:highlight w:val="none"/>
        </w:rPr>
        <w:t>2.2.4评委不得试图影响其他评委的评价意见。</w:t>
      </w:r>
    </w:p>
    <w:p>
      <w:pPr>
        <w:numPr>
          <w:ilvl w:val="1"/>
          <w:numId w:val="12"/>
        </w:numPr>
        <w:tabs>
          <w:tab w:val="left" w:pos="0"/>
          <w:tab w:val="left" w:pos="84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关于评标责任</w:t>
      </w:r>
    </w:p>
    <w:p>
      <w:pPr>
        <w:tabs>
          <w:tab w:val="left" w:pos="0"/>
        </w:tabs>
        <w:spacing w:line="360" w:lineRule="auto"/>
        <w:ind w:left="420"/>
        <w:rPr>
          <w:rFonts w:hint="eastAsia" w:ascii="宋体" w:hAnsi="宋体" w:eastAsia="宋体" w:cs="宋体"/>
          <w:color w:val="auto"/>
          <w:szCs w:val="22"/>
          <w:highlight w:val="none"/>
        </w:rPr>
      </w:pPr>
      <w:r>
        <w:rPr>
          <w:rFonts w:hint="eastAsia" w:ascii="宋体" w:hAnsi="宋体" w:eastAsia="宋体" w:cs="宋体"/>
          <w:color w:val="auto"/>
          <w:szCs w:val="22"/>
          <w:highlight w:val="none"/>
        </w:rPr>
        <w:t>2.3.1评委应在其书面评审意见上签字确认；</w:t>
      </w:r>
    </w:p>
    <w:p>
      <w:pPr>
        <w:tabs>
          <w:tab w:val="left" w:pos="0"/>
        </w:tabs>
        <w:spacing w:line="360" w:lineRule="auto"/>
        <w:ind w:left="420"/>
        <w:rPr>
          <w:rFonts w:hint="eastAsia" w:ascii="宋体" w:hAnsi="宋体" w:eastAsia="宋体" w:cs="宋体"/>
          <w:color w:val="auto"/>
          <w:szCs w:val="22"/>
          <w:highlight w:val="none"/>
        </w:rPr>
      </w:pPr>
      <w:r>
        <w:rPr>
          <w:rFonts w:hint="eastAsia" w:ascii="宋体" w:hAnsi="宋体" w:eastAsia="宋体" w:cs="宋体"/>
          <w:color w:val="auto"/>
          <w:szCs w:val="22"/>
          <w:highlight w:val="none"/>
        </w:rPr>
        <w:t>2.3.2评委对其所提出的评审意见承担个人责任。</w:t>
      </w:r>
    </w:p>
    <w:p>
      <w:pPr>
        <w:numPr>
          <w:ilvl w:val="1"/>
          <w:numId w:val="12"/>
        </w:numPr>
        <w:tabs>
          <w:tab w:val="left" w:pos="0"/>
          <w:tab w:val="left" w:pos="945"/>
          <w:tab w:val="left" w:pos="168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关于回避</w:t>
      </w:r>
    </w:p>
    <w:p>
      <w:pPr>
        <w:tabs>
          <w:tab w:val="left" w:pos="0"/>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有下列情形之一的，不得担任评标委员会成员，如事先不知情的，应在宣读投标人名单及评标纪律后主动提出回避：</w:t>
      </w:r>
    </w:p>
    <w:p>
      <w:pPr>
        <w:tabs>
          <w:tab w:val="left" w:pos="0"/>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（1）是投标人或者投标人主要负责人的近亲属；</w:t>
      </w:r>
    </w:p>
    <w:p>
      <w:pPr>
        <w:tabs>
          <w:tab w:val="left" w:pos="0"/>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（2）是该投标人的项目主管部门或是该投标人的行政监督部门的人员；</w:t>
      </w:r>
    </w:p>
    <w:p>
      <w:pPr>
        <w:tabs>
          <w:tab w:val="left" w:pos="0"/>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（3）与投标人有经济利益关系，可能影响对投标公正评审的；</w:t>
      </w:r>
    </w:p>
    <w:p>
      <w:pPr>
        <w:numPr>
          <w:ilvl w:val="1"/>
          <w:numId w:val="12"/>
        </w:numPr>
        <w:tabs>
          <w:tab w:val="left" w:pos="0"/>
          <w:tab w:val="left" w:pos="840"/>
          <w:tab w:val="left" w:pos="1260"/>
          <w:tab w:val="left" w:pos="147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关于保密</w:t>
      </w:r>
    </w:p>
    <w:p>
      <w:pPr>
        <w:numPr>
          <w:ilvl w:val="0"/>
          <w:numId w:val="13"/>
        </w:numPr>
        <w:tabs>
          <w:tab w:val="left" w:pos="0"/>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评标委员会成员和与评标活动有关的工作人员不得透露对投标文件的评审和比较、中标候选人的推荐情况以及评标有关的其他情况。</w:t>
      </w:r>
    </w:p>
    <w:p>
      <w:pPr>
        <w:numPr>
          <w:ilvl w:val="0"/>
          <w:numId w:val="13"/>
        </w:numPr>
        <w:tabs>
          <w:tab w:val="left" w:pos="0"/>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前款所称与评标活动有关的工作人员，是指评标委员会成员以外的因参与评标监督工作或者事务性工作而知悉有关评标情况的所有人员。</w:t>
      </w:r>
    </w:p>
    <w:p>
      <w:pPr>
        <w:numPr>
          <w:ilvl w:val="1"/>
          <w:numId w:val="12"/>
        </w:numPr>
        <w:tabs>
          <w:tab w:val="left" w:pos="630"/>
          <w:tab w:val="left" w:pos="840"/>
          <w:tab w:val="clear" w:pos="567"/>
        </w:tabs>
        <w:spacing w:line="360" w:lineRule="auto"/>
        <w:ind w:left="105" w:firstLine="315"/>
        <w:rPr>
          <w:rFonts w:hint="eastAsia" w:ascii="宋体" w:hAnsi="宋体" w:eastAsia="宋体" w:cs="宋体"/>
          <w:color w:val="auto"/>
          <w:highlight w:val="none"/>
        </w:rPr>
      </w:pPr>
      <w:r>
        <w:rPr>
          <w:rFonts w:hint="eastAsia" w:ascii="宋体" w:hAnsi="宋体" w:eastAsia="宋体" w:cs="宋体"/>
          <w:color w:val="auto"/>
          <w:highlight w:val="none"/>
        </w:rPr>
        <w:t>罚则</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（1）评标委员会成员在评标过程中擅离职守，影响评标程序正常进行，或者在评标过程中不能客观公正地履行职责的，一经核实，取消担任评标委员会成员的资格，并报有关部门经予法律追究和查处。</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r>
        <w:rPr>
          <w:rFonts w:hint="eastAsia" w:ascii="宋体" w:hAnsi="宋体" w:eastAsia="宋体" w:cs="宋体"/>
          <w:color w:val="auto"/>
          <w:szCs w:val="22"/>
          <w:highlight w:val="none"/>
          <w:lang w:val="en-US" w:eastAsia="zh-CN"/>
        </w:rPr>
        <w:t>2</w:t>
      </w:r>
      <w:r>
        <w:rPr>
          <w:rFonts w:hint="eastAsia" w:ascii="宋体" w:hAnsi="宋体" w:eastAsia="宋体" w:cs="宋体"/>
          <w:color w:val="auto"/>
          <w:szCs w:val="22"/>
          <w:highlight w:val="none"/>
        </w:rPr>
        <w:t>）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Cs w:val="22"/>
          <w:highlight w:val="none"/>
        </w:rPr>
      </w:pPr>
    </w:p>
    <w:p>
      <w:pPr>
        <w:pStyle w:val="5"/>
        <w:numPr>
          <w:ilvl w:val="0"/>
          <w:numId w:val="12"/>
        </w:numPr>
        <w:spacing w:before="120" w:after="120" w:line="360" w:lineRule="auto"/>
        <w:rPr>
          <w:rFonts w:hint="eastAsia" w:ascii="宋体" w:hAnsi="宋体" w:eastAsia="宋体" w:cs="宋体"/>
          <w:color w:val="auto"/>
          <w:sz w:val="28"/>
          <w:szCs w:val="28"/>
          <w:highlight w:val="none"/>
        </w:rPr>
      </w:pPr>
      <w:bookmarkStart w:id="149" w:name="_Toc22791_WPSOffice_Level1"/>
      <w:bookmarkStart w:id="150" w:name="_Toc477186338"/>
      <w:bookmarkStart w:id="151" w:name="_Toc476177440"/>
      <w:bookmarkStart w:id="152" w:name="_Toc29737"/>
      <w:bookmarkStart w:id="153" w:name="_Toc477185977"/>
      <w:bookmarkStart w:id="154" w:name="_Toc4691_WPSOffice_Level1"/>
      <w:bookmarkStart w:id="155" w:name="_Toc16705_WPSOffice_Level1"/>
      <w:bookmarkStart w:id="156" w:name="_Toc476178000"/>
      <w:r>
        <w:rPr>
          <w:rFonts w:hint="eastAsia" w:ascii="宋体" w:hAnsi="宋体" w:eastAsia="宋体" w:cs="宋体"/>
          <w:color w:val="auto"/>
          <w:sz w:val="28"/>
          <w:szCs w:val="28"/>
          <w:highlight w:val="none"/>
        </w:rPr>
        <w:t>评标委员会</w:t>
      </w:r>
      <w:bookmarkEnd w:id="149"/>
      <w:bookmarkEnd w:id="150"/>
      <w:bookmarkEnd w:id="151"/>
      <w:bookmarkEnd w:id="152"/>
      <w:bookmarkEnd w:id="153"/>
      <w:bookmarkEnd w:id="154"/>
      <w:bookmarkEnd w:id="155"/>
      <w:bookmarkEnd w:id="156"/>
    </w:p>
    <w:p>
      <w:pPr>
        <w:numPr>
          <w:ilvl w:val="1"/>
          <w:numId w:val="12"/>
        </w:numPr>
        <w:tabs>
          <w:tab w:val="left" w:pos="0"/>
          <w:tab w:val="left" w:pos="84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招标人和招标代理依照《中华人民共和国招投标法》、《中华人民共和国招标投标法实施条例》组建本项目评标委员会。评标委员会成员由技术、经济等方面的专家共5人组成。评标委员会成员享有同等的表决权。</w:t>
      </w:r>
    </w:p>
    <w:p>
      <w:pPr>
        <w:numPr>
          <w:ilvl w:val="1"/>
          <w:numId w:val="12"/>
        </w:numPr>
        <w:tabs>
          <w:tab w:val="left" w:pos="0"/>
          <w:tab w:val="left" w:pos="84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评标委员会依据招标文件的规定对各投标文件进行评审，得出评标结果，提交评标报告。</w:t>
      </w:r>
    </w:p>
    <w:p>
      <w:pPr>
        <w:numPr>
          <w:ilvl w:val="1"/>
          <w:numId w:val="12"/>
        </w:numPr>
        <w:tabs>
          <w:tab w:val="left" w:pos="0"/>
          <w:tab w:val="left" w:pos="84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评标委员会经评审，认为所有投标都不符合招标文件要求的，可以否决所有投标。</w:t>
      </w:r>
    </w:p>
    <w:p>
      <w:pPr>
        <w:spacing w:line="360" w:lineRule="auto"/>
        <w:rPr>
          <w:rFonts w:hint="eastAsia" w:ascii="宋体" w:hAnsi="宋体" w:eastAsia="宋体" w:cs="宋体"/>
          <w:color w:val="auto"/>
          <w:highlight w:val="none"/>
        </w:rPr>
      </w:pPr>
    </w:p>
    <w:p>
      <w:pPr>
        <w:pStyle w:val="5"/>
        <w:numPr>
          <w:ilvl w:val="0"/>
          <w:numId w:val="12"/>
        </w:numPr>
        <w:spacing w:before="120" w:after="120" w:line="360" w:lineRule="auto"/>
        <w:rPr>
          <w:rFonts w:hint="eastAsia" w:ascii="宋体" w:hAnsi="宋体" w:eastAsia="宋体" w:cs="宋体"/>
          <w:color w:val="auto"/>
          <w:sz w:val="28"/>
          <w:szCs w:val="28"/>
          <w:highlight w:val="none"/>
        </w:rPr>
      </w:pPr>
      <w:bookmarkStart w:id="157" w:name="_Toc16947_WPSOffice_Level1"/>
      <w:bookmarkStart w:id="158" w:name="_Toc5758"/>
      <w:bookmarkStart w:id="159" w:name="_Toc476177441"/>
      <w:bookmarkStart w:id="160" w:name="_Toc16217_WPSOffice_Level1"/>
      <w:bookmarkStart w:id="161" w:name="_Toc477186339"/>
      <w:bookmarkStart w:id="162" w:name="_Toc476178001"/>
      <w:bookmarkStart w:id="163" w:name="_Toc99012606"/>
      <w:bookmarkStart w:id="164" w:name="_Toc477185978"/>
      <w:bookmarkStart w:id="165" w:name="_Toc29107_WPSOffice_Level1"/>
      <w:r>
        <w:rPr>
          <w:rFonts w:hint="eastAsia" w:ascii="宋体" w:hAnsi="宋体" w:eastAsia="宋体" w:cs="宋体"/>
          <w:color w:val="auto"/>
          <w:sz w:val="28"/>
          <w:szCs w:val="28"/>
          <w:highlight w:val="none"/>
        </w:rPr>
        <w:t>投标文件的澄清</w:t>
      </w:r>
      <w:bookmarkEnd w:id="157"/>
      <w:bookmarkEnd w:id="158"/>
      <w:bookmarkEnd w:id="159"/>
      <w:bookmarkEnd w:id="160"/>
      <w:bookmarkEnd w:id="161"/>
      <w:bookmarkEnd w:id="162"/>
      <w:bookmarkEnd w:id="163"/>
      <w:bookmarkEnd w:id="164"/>
      <w:bookmarkEnd w:id="165"/>
    </w:p>
    <w:p>
      <w:pPr>
        <w:numPr>
          <w:ilvl w:val="1"/>
          <w:numId w:val="12"/>
        </w:numPr>
        <w:tabs>
          <w:tab w:val="left" w:pos="0"/>
          <w:tab w:val="left" w:pos="420"/>
          <w:tab w:val="left" w:pos="630"/>
          <w:tab w:val="left" w:pos="84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除评标委员会主动要求澄清外，从开标后至授予合同期间，任何投标人均不得就与其投标相关的任何问题与评标委员会联系。</w:t>
      </w:r>
    </w:p>
    <w:p>
      <w:pPr>
        <w:numPr>
          <w:ilvl w:val="1"/>
          <w:numId w:val="12"/>
        </w:numPr>
        <w:tabs>
          <w:tab w:val="left" w:pos="0"/>
          <w:tab w:val="left" w:pos="420"/>
          <w:tab w:val="left" w:pos="630"/>
          <w:tab w:val="left" w:pos="84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为有利评标，在开标后，可随时请投标人就投标文件中某点加以澄清，澄清的内容不得对投标文件作实质性修改。以书面形式表达并加盖公章的答复经评标委员会认可后，可作为投标文件的一部分参与评标。</w:t>
      </w:r>
    </w:p>
    <w:p>
      <w:pPr>
        <w:spacing w:line="360" w:lineRule="auto"/>
        <w:rPr>
          <w:rFonts w:hint="eastAsia" w:ascii="宋体" w:hAnsi="宋体" w:eastAsia="宋体" w:cs="宋体"/>
          <w:color w:val="auto"/>
          <w:highlight w:val="none"/>
        </w:rPr>
      </w:pPr>
    </w:p>
    <w:p>
      <w:pPr>
        <w:pStyle w:val="5"/>
        <w:numPr>
          <w:ilvl w:val="0"/>
          <w:numId w:val="12"/>
        </w:numPr>
        <w:spacing w:before="120" w:after="120" w:line="360" w:lineRule="auto"/>
        <w:rPr>
          <w:rFonts w:hint="eastAsia" w:ascii="宋体" w:hAnsi="宋体" w:eastAsia="宋体" w:cs="宋体"/>
          <w:color w:val="auto"/>
          <w:sz w:val="28"/>
          <w:szCs w:val="28"/>
          <w:highlight w:val="none"/>
        </w:rPr>
      </w:pPr>
      <w:bookmarkStart w:id="166" w:name="_Toc1722_WPSOffice_Level1"/>
      <w:bookmarkStart w:id="167" w:name="_Toc13231_WPSOffice_Level1"/>
      <w:bookmarkStart w:id="168" w:name="_Toc476178002"/>
      <w:bookmarkStart w:id="169" w:name="_Toc476177442"/>
      <w:bookmarkStart w:id="170" w:name="_Toc477185979"/>
      <w:bookmarkStart w:id="171" w:name="_Toc99012607"/>
      <w:bookmarkStart w:id="172" w:name="_Toc1790"/>
      <w:bookmarkStart w:id="173" w:name="_Toc26707_WPSOffice_Level1"/>
      <w:bookmarkStart w:id="174" w:name="_Toc477186340"/>
      <w:r>
        <w:rPr>
          <w:rFonts w:hint="eastAsia" w:ascii="宋体" w:hAnsi="宋体" w:eastAsia="宋体" w:cs="宋体"/>
          <w:color w:val="auto"/>
          <w:sz w:val="28"/>
          <w:szCs w:val="28"/>
          <w:highlight w:val="none"/>
        </w:rPr>
        <w:t>评标原则和评标办法</w:t>
      </w:r>
      <w:bookmarkEnd w:id="166"/>
      <w:bookmarkEnd w:id="167"/>
      <w:bookmarkEnd w:id="168"/>
      <w:bookmarkEnd w:id="169"/>
      <w:bookmarkEnd w:id="170"/>
      <w:bookmarkEnd w:id="171"/>
      <w:bookmarkEnd w:id="172"/>
      <w:bookmarkEnd w:id="173"/>
      <w:bookmarkEnd w:id="174"/>
    </w:p>
    <w:p>
      <w:pPr>
        <w:numPr>
          <w:ilvl w:val="1"/>
          <w:numId w:val="12"/>
        </w:numPr>
        <w:tabs>
          <w:tab w:val="left" w:pos="0"/>
          <w:tab w:val="left" w:pos="420"/>
          <w:tab w:val="left" w:pos="630"/>
          <w:tab w:val="left" w:pos="84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评标工作应依据《中华人民共和国招标投标法》《中华人民共和国招标投标法实施条例》以及《评标委员会和评标方法暂行规定》以及国家和地方政府有关招标投标法规、实施办法的有关规定，遵循“公平、公正、科学、择优”的原则进行评标。</w:t>
      </w:r>
    </w:p>
    <w:p>
      <w:pPr>
        <w:numPr>
          <w:ilvl w:val="1"/>
          <w:numId w:val="12"/>
        </w:numPr>
        <w:tabs>
          <w:tab w:val="left" w:pos="0"/>
          <w:tab w:val="left" w:pos="420"/>
          <w:tab w:val="left" w:pos="630"/>
          <w:tab w:val="left" w:pos="840"/>
          <w:tab w:val="clear" w:pos="567"/>
        </w:tabs>
        <w:spacing w:line="360" w:lineRule="auto"/>
        <w:ind w:left="0" w:firstLine="420"/>
        <w:rPr>
          <w:rFonts w:hint="eastAsia" w:ascii="宋体" w:hAnsi="宋体" w:eastAsia="宋体" w:cs="宋体"/>
          <w:color w:val="auto"/>
          <w:highlight w:val="none"/>
        </w:rPr>
      </w:pPr>
      <w:r>
        <w:rPr>
          <w:rFonts w:hint="eastAsia" w:ascii="宋体" w:hAnsi="宋体" w:eastAsia="宋体" w:cs="宋体"/>
          <w:color w:val="auto"/>
          <w:highlight w:val="none"/>
        </w:rPr>
        <w:t>本次招标采用综合评分法，即评标委员会对各投标进行综合评价，根据评标细则的规定分别进行打分，统计得出评标结果，将评标结果写出评标报告。所有的评审资料及评分结果统计均须经评标委员会核实并签名确认。</w:t>
      </w:r>
    </w:p>
    <w:p>
      <w:pPr>
        <w:numPr>
          <w:ilvl w:val="1"/>
          <w:numId w:val="12"/>
        </w:numPr>
        <w:tabs>
          <w:tab w:val="left" w:pos="945"/>
        </w:tabs>
        <w:spacing w:line="360" w:lineRule="auto"/>
        <w:ind w:left="0"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评标委员会将按照规定只对通过初步评审的投标文件进行评价和比较。评标委员会有权根据有关规定否决所有投标。评标委员会不直接向落标方解释落标原因，不退回投标文件。</w:t>
      </w:r>
    </w:p>
    <w:p>
      <w:pPr>
        <w:numPr>
          <w:ilvl w:val="1"/>
          <w:numId w:val="12"/>
        </w:numPr>
        <w:tabs>
          <w:tab w:val="left" w:pos="945"/>
        </w:tabs>
        <w:spacing w:line="360" w:lineRule="auto"/>
        <w:ind w:left="0"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评标方法</w:t>
      </w:r>
    </w:p>
    <w:p>
      <w:pPr>
        <w:tabs>
          <w:tab w:val="left" w:pos="945"/>
        </w:tabs>
        <w:spacing w:line="360" w:lineRule="auto"/>
        <w:ind w:firstLine="525" w:firstLineChars="250"/>
        <w:rPr>
          <w:rFonts w:ascii="宋体" w:hAnsi="宋体"/>
          <w:b/>
          <w:color w:val="auto"/>
          <w:highlight w:val="none"/>
        </w:rPr>
      </w:pPr>
      <w:r>
        <w:rPr>
          <w:rFonts w:ascii="宋体" w:hAnsi="宋体"/>
          <w:color w:val="auto"/>
          <w:highlight w:val="none"/>
        </w:rPr>
        <w:t>5.4.1  本评标办法采用综合评分法。</w:t>
      </w:r>
    </w:p>
    <w:p>
      <w:pPr>
        <w:tabs>
          <w:tab w:val="left" w:pos="945"/>
        </w:tabs>
        <w:spacing w:line="360" w:lineRule="auto"/>
        <w:ind w:left="-23" w:leftChars="-11" w:firstLine="527" w:firstLineChars="250"/>
        <w:rPr>
          <w:rFonts w:hint="eastAsia" w:ascii="宋体" w:hAnsi="宋体"/>
          <w:color w:val="auto"/>
          <w:highlight w:val="none"/>
        </w:rPr>
      </w:pPr>
      <w:r>
        <w:rPr>
          <w:rFonts w:ascii="宋体" w:hAnsi="宋体"/>
          <w:b/>
          <w:bCs/>
          <w:color w:val="auto"/>
          <w:highlight w:val="none"/>
        </w:rPr>
        <w:t>5.4.2  评标步骤：先进行</w:t>
      </w:r>
      <w:r>
        <w:rPr>
          <w:rFonts w:hint="eastAsia" w:ascii="宋体" w:hAnsi="宋体"/>
          <w:b/>
          <w:bCs/>
          <w:color w:val="auto"/>
          <w:highlight w:val="none"/>
          <w:lang w:val="en-US" w:eastAsia="zh-CN"/>
        </w:rPr>
        <w:t>资格审查及商务技术符合性审查（阶段一）</w:t>
      </w:r>
      <w:r>
        <w:rPr>
          <w:rFonts w:ascii="宋体" w:hAnsi="宋体"/>
          <w:b/>
          <w:bCs/>
          <w:color w:val="auto"/>
          <w:highlight w:val="none"/>
        </w:rPr>
        <w:t>评审(见附表1)，再进行技术商务的详细评审。只有通过</w:t>
      </w:r>
      <w:r>
        <w:rPr>
          <w:rFonts w:hint="eastAsia" w:ascii="宋体" w:hAnsi="宋体"/>
          <w:b/>
          <w:bCs/>
          <w:color w:val="auto"/>
          <w:highlight w:val="none"/>
          <w:lang w:val="en-US" w:eastAsia="zh-CN"/>
        </w:rPr>
        <w:t>资格审查及商务技术符合性审查</w:t>
      </w:r>
      <w:r>
        <w:rPr>
          <w:rFonts w:ascii="宋体" w:hAnsi="宋体"/>
          <w:b/>
          <w:bCs/>
          <w:color w:val="auto"/>
          <w:highlight w:val="none"/>
        </w:rPr>
        <w:t>的投标才能进入</w:t>
      </w:r>
      <w:r>
        <w:rPr>
          <w:rFonts w:hint="eastAsia" w:ascii="宋体" w:hAnsi="宋体"/>
          <w:b/>
          <w:bCs/>
          <w:color w:val="auto"/>
          <w:highlight w:val="none"/>
          <w:lang w:val="en-US" w:eastAsia="zh-CN"/>
        </w:rPr>
        <w:t>商务和技术的</w:t>
      </w:r>
      <w:r>
        <w:rPr>
          <w:rFonts w:ascii="宋体" w:hAnsi="宋体"/>
          <w:b/>
          <w:bCs/>
          <w:color w:val="auto"/>
          <w:highlight w:val="none"/>
        </w:rPr>
        <w:t>详细评审。</w:t>
      </w:r>
    </w:p>
    <w:p>
      <w:pPr>
        <w:tabs>
          <w:tab w:val="left" w:pos="945"/>
        </w:tabs>
        <w:spacing w:line="360" w:lineRule="auto"/>
        <w:ind w:left="-23" w:leftChars="-11" w:firstLine="527" w:firstLineChars="250"/>
        <w:rPr>
          <w:rFonts w:hint="default" w:ascii="宋体" w:hAnsi="宋体" w:eastAsia="宋体"/>
          <w:color w:val="auto"/>
          <w:highlight w:val="none"/>
          <w:lang w:val="en-US" w:eastAsia="zh-CN"/>
        </w:rPr>
      </w:pPr>
      <w:r>
        <w:rPr>
          <w:rFonts w:ascii="宋体" w:hAnsi="宋体"/>
          <w:b/>
          <w:bCs/>
          <w:color w:val="auto"/>
          <w:highlight w:val="none"/>
        </w:rPr>
        <w:t xml:space="preserve">5.4.3  </w:t>
      </w:r>
      <w:r>
        <w:rPr>
          <w:rFonts w:hint="eastAsia" w:ascii="宋体" w:hAnsi="宋体"/>
          <w:b/>
          <w:bCs/>
          <w:color w:val="auto"/>
          <w:highlight w:val="none"/>
          <w:lang w:val="en-US" w:eastAsia="zh-CN"/>
        </w:rPr>
        <w:t>若通过资格审查及商务技术符合性审查（阶段一）的投标人不足三家，则本项目招标失败。</w:t>
      </w:r>
    </w:p>
    <w:p>
      <w:pPr>
        <w:tabs>
          <w:tab w:val="left" w:pos="945"/>
        </w:tabs>
        <w:spacing w:line="360" w:lineRule="auto"/>
        <w:ind w:left="-23" w:leftChars="-11" w:firstLine="525" w:firstLineChars="250"/>
        <w:rPr>
          <w:rFonts w:hint="eastAsia" w:ascii="宋体" w:hAnsi="宋体" w:eastAsia="宋体" w:cs="宋体"/>
          <w:color w:val="auto"/>
          <w:highlight w:val="none"/>
        </w:rPr>
      </w:pPr>
      <w:r>
        <w:rPr>
          <w:rFonts w:hint="eastAsia" w:ascii="宋体" w:hAnsi="宋体"/>
          <w:color w:val="auto"/>
          <w:highlight w:val="none"/>
          <w:lang w:val="en-US" w:eastAsia="zh-CN"/>
        </w:rPr>
        <w:t>5.4.4  商务和技术的</w:t>
      </w:r>
      <w:r>
        <w:rPr>
          <w:rFonts w:ascii="宋体" w:hAnsi="宋体"/>
          <w:color w:val="auto"/>
          <w:highlight w:val="none"/>
        </w:rPr>
        <w:t>评分及其统计：按照评标程序、评分标准以及权重分配的规定，评标委员会各成员分别首先就各个投标人的技术</w:t>
      </w:r>
      <w:r>
        <w:rPr>
          <w:rFonts w:hint="eastAsia" w:ascii="宋体" w:hAnsi="宋体"/>
          <w:color w:val="auto"/>
          <w:highlight w:val="none"/>
        </w:rPr>
        <w:t>、</w:t>
      </w:r>
      <w:r>
        <w:rPr>
          <w:rFonts w:ascii="宋体" w:hAnsi="宋体"/>
          <w:color w:val="auto"/>
          <w:highlight w:val="none"/>
        </w:rPr>
        <w:t>商务状况及其对招标文件要求的响应情况进行评议和比较，评出其技术评分和商务评分</w:t>
      </w:r>
      <w:r>
        <w:rPr>
          <w:rFonts w:hint="eastAsia" w:ascii="宋体" w:hAnsi="宋体" w:eastAsia="宋体" w:cs="宋体"/>
          <w:color w:val="auto"/>
          <w:highlight w:val="none"/>
        </w:rPr>
        <w:t>。</w:t>
      </w:r>
    </w:p>
    <w:p>
      <w:pPr>
        <w:tabs>
          <w:tab w:val="left" w:pos="945"/>
        </w:tabs>
        <w:spacing w:line="360" w:lineRule="auto"/>
        <w:ind w:left="-23" w:leftChars="-11"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5.4.</w:t>
      </w:r>
      <w:r>
        <w:rPr>
          <w:rFonts w:hint="eastAsia" w:ascii="宋体" w:hAnsi="宋体" w:cs="宋体"/>
          <w:color w:val="auto"/>
          <w:highlight w:val="none"/>
          <w:lang w:val="en-US" w:eastAsia="zh-CN"/>
        </w:rPr>
        <w:t>5</w:t>
      </w:r>
      <w:r>
        <w:rPr>
          <w:rFonts w:hint="eastAsia" w:ascii="宋体" w:hAnsi="宋体" w:eastAsia="宋体" w:cs="宋体"/>
          <w:color w:val="auto"/>
          <w:highlight w:val="none"/>
        </w:rPr>
        <w:t xml:space="preserve">  技术评分：汇集每一位评委的评分，进行算术平均，得出该投标人的技术得分（四舍五入，取小数点后两位）。</w:t>
      </w:r>
    </w:p>
    <w:p>
      <w:pPr>
        <w:tabs>
          <w:tab w:val="left" w:pos="945"/>
        </w:tabs>
        <w:spacing w:line="360" w:lineRule="auto"/>
        <w:ind w:left="-23" w:leftChars="-11"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5.4.</w:t>
      </w:r>
      <w:r>
        <w:rPr>
          <w:rFonts w:hint="eastAsia" w:ascii="宋体" w:hAnsi="宋体" w:cs="宋体"/>
          <w:color w:val="auto"/>
          <w:highlight w:val="none"/>
          <w:lang w:val="en-US" w:eastAsia="zh-CN"/>
        </w:rPr>
        <w:t>6</w:t>
      </w:r>
      <w:r>
        <w:rPr>
          <w:rFonts w:hint="eastAsia" w:ascii="宋体" w:hAnsi="宋体" w:eastAsia="宋体" w:cs="宋体"/>
          <w:color w:val="auto"/>
          <w:highlight w:val="none"/>
        </w:rPr>
        <w:t xml:space="preserve">  商务评分：汇集每一位评委的评分，进行算术平均，得出该投标人的商务得分（四舍五入，取小数点后两位）</w:t>
      </w:r>
    </w:p>
    <w:p>
      <w:pPr>
        <w:tabs>
          <w:tab w:val="left" w:pos="945"/>
        </w:tabs>
        <w:spacing w:line="360" w:lineRule="auto"/>
        <w:ind w:left="-23" w:leftChars="-11" w:firstLine="527" w:firstLineChars="250"/>
        <w:rPr>
          <w:rFonts w:hint="eastAsia" w:ascii="宋体" w:hAnsi="宋体"/>
          <w:b/>
          <w:bCs/>
          <w:color w:val="auto"/>
          <w:highlight w:val="none"/>
          <w:lang w:val="en-US" w:eastAsia="zh-CN"/>
        </w:rPr>
      </w:pPr>
      <w:r>
        <w:rPr>
          <w:rFonts w:ascii="宋体" w:hAnsi="宋体"/>
          <w:b/>
          <w:bCs/>
          <w:color w:val="auto"/>
          <w:highlight w:val="none"/>
        </w:rPr>
        <w:t>5.4.</w:t>
      </w:r>
      <w:r>
        <w:rPr>
          <w:rFonts w:hint="eastAsia" w:ascii="宋体" w:hAnsi="宋体"/>
          <w:b/>
          <w:bCs/>
          <w:color w:val="auto"/>
          <w:highlight w:val="none"/>
          <w:lang w:val="en-US" w:eastAsia="zh-CN"/>
        </w:rPr>
        <w:t>7</w:t>
      </w:r>
      <w:r>
        <w:rPr>
          <w:rFonts w:ascii="宋体" w:hAnsi="宋体"/>
          <w:b/>
          <w:bCs/>
          <w:color w:val="auto"/>
          <w:highlight w:val="none"/>
        </w:rPr>
        <w:t xml:space="preserve">  </w:t>
      </w:r>
      <w:r>
        <w:rPr>
          <w:rFonts w:hint="eastAsia" w:ascii="宋体" w:hAnsi="宋体"/>
          <w:b/>
          <w:bCs/>
          <w:color w:val="auto"/>
          <w:highlight w:val="none"/>
          <w:lang w:val="en-US" w:eastAsia="zh-CN"/>
        </w:rPr>
        <w:t>评标委员会汇总整理所有投标人的商务得分及技术得分后，然后对投标人进行价格符合性审查（阶段二）</w:t>
      </w:r>
      <w:r>
        <w:rPr>
          <w:rFonts w:ascii="宋体" w:hAnsi="宋体"/>
          <w:b/>
          <w:bCs/>
          <w:color w:val="auto"/>
          <w:highlight w:val="none"/>
        </w:rPr>
        <w:t>(见附表</w:t>
      </w:r>
      <w:r>
        <w:rPr>
          <w:rFonts w:hint="eastAsia" w:ascii="宋体" w:hAnsi="宋体"/>
          <w:b/>
          <w:bCs/>
          <w:color w:val="auto"/>
          <w:highlight w:val="none"/>
          <w:lang w:val="en-US" w:eastAsia="zh-CN"/>
        </w:rPr>
        <w:t>4），</w:t>
      </w:r>
      <w:r>
        <w:rPr>
          <w:rFonts w:ascii="宋体" w:hAnsi="宋体"/>
          <w:b/>
          <w:bCs/>
          <w:color w:val="auto"/>
          <w:highlight w:val="none"/>
        </w:rPr>
        <w:t>再进行</w:t>
      </w:r>
      <w:r>
        <w:rPr>
          <w:rFonts w:hint="eastAsia" w:ascii="宋体" w:hAnsi="宋体"/>
          <w:b/>
          <w:bCs/>
          <w:color w:val="auto"/>
          <w:highlight w:val="none"/>
          <w:lang w:val="en-US" w:eastAsia="zh-CN"/>
        </w:rPr>
        <w:t>价格</w:t>
      </w:r>
      <w:r>
        <w:rPr>
          <w:rFonts w:ascii="宋体" w:hAnsi="宋体"/>
          <w:b/>
          <w:bCs/>
          <w:color w:val="auto"/>
          <w:highlight w:val="none"/>
        </w:rPr>
        <w:t>的详细评审。只有通过</w:t>
      </w:r>
      <w:r>
        <w:rPr>
          <w:rFonts w:hint="eastAsia" w:ascii="宋体" w:hAnsi="宋体"/>
          <w:b/>
          <w:bCs/>
          <w:color w:val="auto"/>
          <w:highlight w:val="none"/>
          <w:lang w:val="en-US" w:eastAsia="zh-CN"/>
        </w:rPr>
        <w:t>价格符合性审查</w:t>
      </w:r>
      <w:r>
        <w:rPr>
          <w:rFonts w:ascii="宋体" w:hAnsi="宋体"/>
          <w:b/>
          <w:bCs/>
          <w:color w:val="auto"/>
          <w:highlight w:val="none"/>
        </w:rPr>
        <w:t>的投标才能进入</w:t>
      </w:r>
      <w:r>
        <w:rPr>
          <w:rFonts w:hint="eastAsia" w:ascii="宋体" w:hAnsi="宋体"/>
          <w:b/>
          <w:bCs/>
          <w:color w:val="auto"/>
          <w:highlight w:val="none"/>
          <w:lang w:val="en-US" w:eastAsia="zh-CN"/>
        </w:rPr>
        <w:t>价格的</w:t>
      </w:r>
      <w:r>
        <w:rPr>
          <w:rFonts w:ascii="宋体" w:hAnsi="宋体"/>
          <w:b/>
          <w:bCs/>
          <w:color w:val="auto"/>
          <w:highlight w:val="none"/>
        </w:rPr>
        <w:t>详细评审</w:t>
      </w:r>
      <w:r>
        <w:rPr>
          <w:rFonts w:hint="eastAsia" w:ascii="宋体" w:hAnsi="宋体"/>
          <w:b/>
          <w:bCs/>
          <w:color w:val="auto"/>
          <w:highlight w:val="none"/>
          <w:lang w:val="en-US" w:eastAsia="zh-CN"/>
        </w:rPr>
        <w:t>。</w:t>
      </w:r>
    </w:p>
    <w:p>
      <w:pPr>
        <w:tabs>
          <w:tab w:val="left" w:pos="945"/>
        </w:tabs>
        <w:spacing w:line="360" w:lineRule="auto"/>
        <w:ind w:left="-23" w:leftChars="-11" w:firstLine="527" w:firstLineChars="250"/>
        <w:rPr>
          <w:rFonts w:hint="default" w:ascii="宋体" w:hAnsi="宋体" w:eastAsia="宋体"/>
          <w:b/>
          <w:bCs/>
          <w:color w:val="auto"/>
          <w:highlight w:val="none"/>
          <w:lang w:val="en-US" w:eastAsia="zh-CN"/>
        </w:rPr>
      </w:pPr>
      <w:r>
        <w:rPr>
          <w:rFonts w:hint="eastAsia" w:ascii="宋体" w:hAnsi="宋体"/>
          <w:b/>
          <w:bCs/>
          <w:color w:val="auto"/>
          <w:highlight w:val="none"/>
          <w:lang w:val="en-US" w:eastAsia="zh-CN"/>
        </w:rPr>
        <w:t>5.4.8  若投标人出现商务评分低于商务得分的60%，评标委员会将否决该投标人的所有投标文件，该投标人也不再进入价格详细评审环节。</w:t>
      </w:r>
    </w:p>
    <w:p>
      <w:pPr>
        <w:tabs>
          <w:tab w:val="left" w:pos="945"/>
        </w:tabs>
        <w:spacing w:line="360" w:lineRule="auto"/>
        <w:ind w:left="-23" w:leftChars="-11" w:firstLine="527" w:firstLineChars="250"/>
        <w:rPr>
          <w:rFonts w:hint="default" w:ascii="宋体" w:hAnsi="宋体" w:eastAsia="宋体"/>
          <w:color w:val="auto"/>
          <w:highlight w:val="none"/>
          <w:lang w:val="en-US" w:eastAsia="zh-CN"/>
        </w:rPr>
      </w:pPr>
      <w:r>
        <w:rPr>
          <w:rFonts w:hint="eastAsia" w:ascii="宋体" w:hAnsi="宋体"/>
          <w:b/>
          <w:bCs/>
          <w:color w:val="auto"/>
          <w:highlight w:val="none"/>
          <w:lang w:val="en-US" w:eastAsia="zh-CN"/>
        </w:rPr>
        <w:t>5.4.9  若通过价格符合性审查（阶段二）的投标人不足三家，则本项目招标失败。</w:t>
      </w:r>
    </w:p>
    <w:p>
      <w:pPr>
        <w:tabs>
          <w:tab w:val="left" w:pos="945"/>
        </w:tabs>
        <w:spacing w:line="360" w:lineRule="auto"/>
        <w:ind w:left="-23" w:leftChars="-11" w:firstLine="525" w:firstLineChars="250"/>
        <w:rPr>
          <w:rFonts w:hint="eastAsia" w:ascii="宋体" w:hAnsi="宋体"/>
          <w:color w:val="auto"/>
          <w:highlight w:val="none"/>
        </w:rPr>
      </w:pPr>
      <w:r>
        <w:rPr>
          <w:rFonts w:hint="eastAsia" w:ascii="宋体" w:hAnsi="宋体"/>
          <w:color w:val="auto"/>
          <w:highlight w:val="none"/>
          <w:lang w:val="en-US" w:eastAsia="zh-CN"/>
        </w:rPr>
        <w:t xml:space="preserve">5.4.10  </w:t>
      </w:r>
      <w:r>
        <w:rPr>
          <w:rFonts w:hint="eastAsia" w:ascii="宋体" w:hAnsi="宋体"/>
          <w:color w:val="auto"/>
          <w:highlight w:val="none"/>
        </w:rPr>
        <w:t>价格</w:t>
      </w:r>
      <w:r>
        <w:rPr>
          <w:rFonts w:ascii="宋体" w:hAnsi="宋体"/>
          <w:color w:val="auto"/>
          <w:highlight w:val="none"/>
        </w:rPr>
        <w:t>评分</w:t>
      </w:r>
      <w:r>
        <w:rPr>
          <w:rFonts w:hint="eastAsia" w:ascii="宋体" w:hAnsi="宋体"/>
          <w:color w:val="auto"/>
          <w:highlight w:val="none"/>
          <w:lang w:val="en-US" w:eastAsia="zh-CN"/>
        </w:rPr>
        <w:t>的评分及统计</w:t>
      </w:r>
      <w:r>
        <w:rPr>
          <w:rFonts w:hint="eastAsia" w:ascii="宋体" w:hAnsi="宋体"/>
          <w:color w:val="auto"/>
          <w:highlight w:val="none"/>
        </w:rPr>
        <w:t>：</w:t>
      </w:r>
      <w:r>
        <w:rPr>
          <w:rFonts w:ascii="宋体" w:hAnsi="宋体"/>
          <w:color w:val="auto"/>
          <w:highlight w:val="none"/>
        </w:rPr>
        <w:t>按照评标程序、评分标准以及权重分配的规定，评标委员就各个投标人的</w:t>
      </w:r>
      <w:r>
        <w:rPr>
          <w:rFonts w:hint="eastAsia" w:ascii="宋体" w:hAnsi="宋体"/>
          <w:color w:val="auto"/>
          <w:highlight w:val="none"/>
          <w:lang w:val="en-US" w:eastAsia="zh-CN"/>
        </w:rPr>
        <w:t>价格</w:t>
      </w:r>
      <w:r>
        <w:rPr>
          <w:rFonts w:ascii="宋体" w:hAnsi="宋体"/>
          <w:color w:val="auto"/>
          <w:highlight w:val="none"/>
        </w:rPr>
        <w:t>状况及其对招标文件要求的响应情况进行评议和比较，评出其</w:t>
      </w:r>
      <w:r>
        <w:rPr>
          <w:rFonts w:hint="eastAsia" w:ascii="宋体" w:hAnsi="宋体"/>
          <w:color w:val="auto"/>
          <w:highlight w:val="none"/>
          <w:lang w:val="en-US" w:eastAsia="zh-CN"/>
        </w:rPr>
        <w:t>价格</w:t>
      </w:r>
      <w:r>
        <w:rPr>
          <w:rFonts w:ascii="宋体" w:hAnsi="宋体"/>
          <w:color w:val="auto"/>
          <w:highlight w:val="none"/>
        </w:rPr>
        <w:t>评分</w:t>
      </w:r>
      <w:r>
        <w:rPr>
          <w:rFonts w:hint="eastAsia" w:ascii="宋体" w:hAnsi="宋体"/>
          <w:bCs/>
          <w:color w:val="auto"/>
          <w:highlight w:val="none"/>
        </w:rPr>
        <w:t>。</w:t>
      </w:r>
    </w:p>
    <w:p>
      <w:pPr>
        <w:tabs>
          <w:tab w:val="left" w:pos="945"/>
        </w:tabs>
        <w:spacing w:line="360" w:lineRule="auto"/>
        <w:ind w:left="-23" w:leftChars="-11" w:firstLine="525" w:firstLineChars="250"/>
        <w:rPr>
          <w:rFonts w:hint="eastAsia" w:ascii="宋体" w:hAnsi="宋体" w:eastAsia="宋体" w:cs="宋体"/>
          <w:color w:val="auto"/>
          <w:highlight w:val="none"/>
        </w:rPr>
      </w:pPr>
      <w:r>
        <w:rPr>
          <w:rFonts w:ascii="宋体" w:hAnsi="宋体"/>
          <w:color w:val="auto"/>
          <w:highlight w:val="none"/>
        </w:rPr>
        <w:t>5.4.</w:t>
      </w:r>
      <w:r>
        <w:rPr>
          <w:rFonts w:hint="eastAsia" w:ascii="宋体" w:hAnsi="宋体"/>
          <w:color w:val="auto"/>
          <w:highlight w:val="none"/>
          <w:lang w:val="en-US" w:eastAsia="zh-CN"/>
        </w:rPr>
        <w:t>11</w:t>
      </w:r>
      <w:r>
        <w:rPr>
          <w:rFonts w:ascii="宋体" w:hAnsi="宋体"/>
          <w:color w:val="auto"/>
          <w:highlight w:val="none"/>
        </w:rPr>
        <w:t xml:space="preserve">  </w:t>
      </w:r>
      <w:r>
        <w:rPr>
          <w:rFonts w:hint="eastAsia" w:ascii="宋体" w:hAnsi="宋体"/>
          <w:color w:val="auto"/>
          <w:highlight w:val="none"/>
          <w:lang w:val="en-US" w:eastAsia="zh-CN"/>
        </w:rPr>
        <w:t>评标委员会</w:t>
      </w:r>
      <w:r>
        <w:rPr>
          <w:rFonts w:ascii="宋体" w:hAnsi="宋体"/>
          <w:color w:val="auto"/>
          <w:highlight w:val="none"/>
        </w:rPr>
        <w:t>将各投标人的技术评分</w:t>
      </w:r>
      <w:r>
        <w:rPr>
          <w:rFonts w:hint="eastAsia" w:ascii="宋体" w:hAnsi="宋体"/>
          <w:color w:val="auto"/>
          <w:highlight w:val="none"/>
        </w:rPr>
        <w:t>、</w:t>
      </w:r>
      <w:r>
        <w:rPr>
          <w:rFonts w:ascii="宋体" w:hAnsi="宋体"/>
          <w:color w:val="auto"/>
          <w:highlight w:val="none"/>
        </w:rPr>
        <w:t>商务评分和价格评分相加得出其综合得分。将各综合得分由高到低顺序排列，</w:t>
      </w:r>
      <w:r>
        <w:rPr>
          <w:rFonts w:hint="eastAsia" w:ascii="宋体" w:hAnsi="宋体"/>
          <w:color w:val="auto"/>
          <w:highlight w:val="none"/>
          <w:lang w:val="en-US" w:eastAsia="zh-CN"/>
        </w:rPr>
        <w:t>推荐中标候选人</w:t>
      </w:r>
      <w:r>
        <w:rPr>
          <w:rFonts w:hint="eastAsia" w:ascii="宋体" w:hAnsi="宋体" w:eastAsia="宋体" w:cs="宋体"/>
          <w:bCs/>
          <w:color w:val="auto"/>
          <w:highlight w:val="none"/>
        </w:rPr>
        <w:t>。</w:t>
      </w:r>
    </w:p>
    <w:p>
      <w:pPr>
        <w:tabs>
          <w:tab w:val="left" w:pos="945"/>
        </w:tabs>
        <w:spacing w:before="124" w:beforeLines="40" w:after="124" w:afterLines="40"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5.5.</w:t>
      </w:r>
      <w:bookmarkStart w:id="175" w:name="_Toc99012608"/>
      <w:r>
        <w:rPr>
          <w:rFonts w:hint="eastAsia" w:ascii="宋体" w:hAnsi="宋体" w:eastAsia="宋体" w:cs="宋体"/>
          <w:color w:val="auto"/>
          <w:szCs w:val="28"/>
          <w:highlight w:val="none"/>
        </w:rPr>
        <w:t xml:space="preserve"> 评标流程</w:t>
      </w:r>
      <w:bookmarkEnd w:id="175"/>
    </w:p>
    <w:p>
      <w:pPr>
        <w:tabs>
          <w:tab w:val="left" w:pos="945"/>
        </w:tabs>
        <w:spacing w:before="120" w:after="120" w:line="360" w:lineRule="auto"/>
        <w:ind w:firstLine="525" w:firstLineChars="250"/>
        <w:rPr>
          <w:rFonts w:hint="eastAsia" w:ascii="宋体" w:hAnsi="宋体" w:eastAsia="宋体" w:cs="宋体"/>
          <w:color w:val="auto"/>
          <w:highlight w:val="none"/>
        </w:rPr>
      </w:pPr>
      <w:bookmarkStart w:id="176" w:name="_Toc3202_WPSOffice_Level1"/>
      <w:bookmarkStart w:id="177" w:name="_Toc10388_WPSOffice_Level1"/>
      <w:bookmarkStart w:id="178" w:name="_Toc10564_WPSOffice_Level1"/>
      <w:r>
        <w:rPr>
          <w:rFonts w:hint="eastAsia" w:ascii="宋体" w:hAnsi="宋体" w:eastAsia="宋体" w:cs="宋体"/>
          <w:color w:val="auto"/>
          <w:highlight w:val="none"/>
        </w:rPr>
        <w:t>5.5.1初步评审</w:t>
      </w:r>
      <w:bookmarkEnd w:id="176"/>
      <w:bookmarkEnd w:id="177"/>
      <w:bookmarkEnd w:id="178"/>
    </w:p>
    <w:p>
      <w:pPr>
        <w:tabs>
          <w:tab w:val="left" w:pos="945"/>
        </w:tabs>
        <w:spacing w:line="360" w:lineRule="auto"/>
        <w:ind w:left="-23" w:leftChars="-11" w:firstLine="527" w:firstLineChars="250"/>
        <w:rPr>
          <w:rFonts w:ascii="宋体" w:hAnsi="宋体" w:eastAsia="宋体" w:cs="Times New Roman"/>
          <w:b/>
          <w:bCs/>
          <w:color w:val="auto"/>
          <w:highlight w:val="none"/>
        </w:rPr>
      </w:pPr>
      <w:r>
        <w:rPr>
          <w:rFonts w:ascii="宋体" w:hAnsi="宋体"/>
          <w:b/>
          <w:bCs/>
          <w:color w:val="auto"/>
          <w:highlight w:val="none"/>
        </w:rPr>
        <w:t>a.评标委员会按照</w:t>
      </w:r>
      <w:r>
        <w:rPr>
          <w:rFonts w:hint="eastAsia" w:ascii="宋体" w:hAnsi="宋体"/>
          <w:b/>
          <w:bCs/>
          <w:color w:val="auto"/>
          <w:highlight w:val="none"/>
          <w:lang w:val="en-US" w:eastAsia="zh-CN"/>
        </w:rPr>
        <w:t>资格审查及商务技术符合性审查（阶段一）及价格符合性审查（阶段二）的</w:t>
      </w:r>
      <w:r>
        <w:rPr>
          <w:rFonts w:ascii="宋体" w:hAnsi="宋体"/>
          <w:b/>
          <w:bCs/>
          <w:color w:val="auto"/>
          <w:highlight w:val="none"/>
        </w:rPr>
        <w:t>内容</w:t>
      </w:r>
      <w:r>
        <w:rPr>
          <w:rFonts w:hint="eastAsia" w:ascii="宋体" w:hAnsi="宋体"/>
          <w:b/>
          <w:bCs/>
          <w:color w:val="auto"/>
          <w:highlight w:val="none"/>
          <w:lang w:val="en-US" w:eastAsia="zh-CN"/>
        </w:rPr>
        <w:t>按评标方法</w:t>
      </w:r>
      <w:r>
        <w:rPr>
          <w:rFonts w:ascii="宋体" w:hAnsi="宋体"/>
          <w:b/>
          <w:bCs/>
          <w:color w:val="auto"/>
          <w:highlight w:val="none"/>
        </w:rPr>
        <w:t>对投标文件进行检查，</w:t>
      </w:r>
      <w:r>
        <w:rPr>
          <w:rFonts w:hint="eastAsia" w:ascii="宋体" w:hAnsi="宋体"/>
          <w:b/>
          <w:bCs/>
          <w:color w:val="auto"/>
          <w:highlight w:val="none"/>
          <w:lang w:val="en-US" w:eastAsia="zh-CN"/>
        </w:rPr>
        <w:t>通过资格审查及商务技术符合性审查（阶段一）</w:t>
      </w:r>
      <w:r>
        <w:rPr>
          <w:rFonts w:ascii="宋体" w:hAnsi="宋体"/>
          <w:b/>
          <w:bCs/>
          <w:color w:val="auto"/>
          <w:highlight w:val="none"/>
        </w:rPr>
        <w:t>所列各项作出实</w:t>
      </w:r>
      <w:r>
        <w:rPr>
          <w:rFonts w:ascii="宋体" w:hAnsi="宋体" w:eastAsia="宋体" w:cs="Times New Roman"/>
          <w:b/>
          <w:bCs/>
          <w:color w:val="auto"/>
          <w:highlight w:val="none"/>
        </w:rPr>
        <w:t>质性响应的投标文件才能</w:t>
      </w:r>
      <w:r>
        <w:rPr>
          <w:rFonts w:hint="eastAsia" w:ascii="宋体" w:hAnsi="宋体" w:eastAsia="宋体" w:cs="Times New Roman"/>
          <w:b/>
          <w:bCs/>
          <w:color w:val="auto"/>
          <w:highlight w:val="none"/>
          <w:lang w:val="en-US" w:eastAsia="zh-CN"/>
        </w:rPr>
        <w:t>进入到商务、技术的详细评审当中</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通过价格符合性审查（阶段二）</w:t>
      </w:r>
      <w:r>
        <w:rPr>
          <w:rFonts w:ascii="宋体" w:hAnsi="宋体" w:eastAsia="宋体" w:cs="Times New Roman"/>
          <w:b/>
          <w:bCs/>
          <w:color w:val="auto"/>
          <w:highlight w:val="none"/>
        </w:rPr>
        <w:t>所列各项作出实质性响应的投标文件才能</w:t>
      </w:r>
      <w:r>
        <w:rPr>
          <w:rFonts w:hint="eastAsia" w:ascii="宋体" w:hAnsi="宋体" w:eastAsia="宋体" w:cs="Times New Roman"/>
          <w:b/>
          <w:bCs/>
          <w:color w:val="auto"/>
          <w:highlight w:val="none"/>
          <w:lang w:val="en-US" w:eastAsia="zh-CN"/>
        </w:rPr>
        <w:t>进入到价格的详细评审当中</w:t>
      </w:r>
      <w:r>
        <w:rPr>
          <w:rFonts w:ascii="宋体" w:hAnsi="宋体" w:eastAsia="宋体" w:cs="Times New Roman"/>
          <w:b/>
          <w:bCs/>
          <w:color w:val="auto"/>
          <w:highlight w:val="none"/>
        </w:rPr>
        <w:t>。</w:t>
      </w:r>
    </w:p>
    <w:p>
      <w:pPr>
        <w:tabs>
          <w:tab w:val="left" w:pos="945"/>
        </w:tabs>
        <w:spacing w:line="360" w:lineRule="auto"/>
        <w:ind w:firstLine="525" w:firstLineChars="250"/>
        <w:rPr>
          <w:rFonts w:hint="eastAsia" w:ascii="宋体" w:hAnsi="宋体" w:eastAsia="宋体" w:cs="宋体"/>
          <w:color w:val="auto"/>
          <w:szCs w:val="21"/>
          <w:highlight w:val="none"/>
        </w:rPr>
      </w:pPr>
      <w:r>
        <w:rPr>
          <w:rFonts w:ascii="宋体" w:hAnsi="宋体" w:eastAsia="宋体" w:cs="Times New Roman"/>
          <w:color w:val="auto"/>
          <w:highlight w:val="none"/>
        </w:rPr>
        <w:t>注：如出现无效投标的争议时，各评委</w:t>
      </w:r>
      <w:r>
        <w:rPr>
          <w:rFonts w:hint="eastAsia" w:ascii="宋体" w:hAnsi="宋体" w:eastAsia="宋体" w:cs="Times New Roman"/>
          <w:color w:val="auto"/>
          <w:highlight w:val="none"/>
          <w:lang w:val="en-US" w:eastAsia="zh-CN"/>
        </w:rPr>
        <w:t>按规定</w:t>
      </w:r>
      <w:r>
        <w:rPr>
          <w:rFonts w:ascii="宋体" w:hAnsi="宋体" w:eastAsia="宋体" w:cs="Times New Roman"/>
          <w:color w:val="auto"/>
          <w:highlight w:val="none"/>
        </w:rPr>
        <w:t>以少数服从多数的原则通过记名投票书面确认是否为无效投</w:t>
      </w:r>
      <w:r>
        <w:rPr>
          <w:rFonts w:ascii="宋体" w:hAnsi="宋体"/>
          <w:color w:val="auto"/>
          <w:highlight w:val="none"/>
        </w:rPr>
        <w:t>标</w:t>
      </w:r>
      <w:r>
        <w:rPr>
          <w:rFonts w:hint="eastAsia" w:ascii="宋体" w:hAnsi="宋体" w:eastAsia="宋体" w:cs="宋体"/>
          <w:color w:val="auto"/>
          <w:highlight w:val="none"/>
        </w:rPr>
        <w:t>。</w:t>
      </w:r>
    </w:p>
    <w:p>
      <w:pPr>
        <w:tabs>
          <w:tab w:val="left" w:pos="945"/>
        </w:tabs>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b.评标委员会将审查投标文件是否完整、有关资格证明文件是否有效、是否提交投标保证金、文件签署是否合格、投标有效期是否满足要求、投标文件的总体编排是否基本有序等。</w:t>
      </w:r>
    </w:p>
    <w:p>
      <w:pPr>
        <w:tabs>
          <w:tab w:val="left" w:pos="945"/>
        </w:tabs>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的供货范围、质量和性能；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pPr>
        <w:tabs>
          <w:tab w:val="left" w:pos="945"/>
        </w:tabs>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d.无效投标的认定</w:t>
      </w:r>
    </w:p>
    <w:p>
      <w:pPr>
        <w:tabs>
          <w:tab w:val="left" w:pos="1030"/>
        </w:tabs>
        <w:spacing w:line="360" w:lineRule="auto"/>
        <w:ind w:firstLine="527" w:firstLineChars="250"/>
        <w:rPr>
          <w:rFonts w:hint="eastAsia" w:ascii="宋体" w:hAnsi="宋体" w:eastAsia="宋体" w:cs="宋体"/>
          <w:color w:val="auto"/>
          <w:highlight w:val="none"/>
        </w:rPr>
      </w:pPr>
      <w:r>
        <w:rPr>
          <w:rFonts w:ascii="宋体" w:hAnsi="宋体"/>
          <w:b/>
          <w:bCs/>
          <w:color w:val="auto"/>
          <w:highlight w:val="none"/>
        </w:rPr>
        <w:t>按</w:t>
      </w:r>
      <w:r>
        <w:rPr>
          <w:rFonts w:hint="eastAsia" w:ascii="宋体" w:hAnsi="宋体"/>
          <w:b/>
          <w:bCs/>
          <w:color w:val="auto"/>
          <w:highlight w:val="none"/>
          <w:lang w:val="en-US" w:eastAsia="zh-CN"/>
        </w:rPr>
        <w:t>资格审查及商务技术符合性审查（阶段一）及价格符合性审查（阶段二）</w:t>
      </w:r>
      <w:r>
        <w:rPr>
          <w:rFonts w:ascii="宋体" w:hAnsi="宋体"/>
          <w:b/>
          <w:bCs/>
          <w:color w:val="auto"/>
          <w:highlight w:val="none"/>
        </w:rPr>
        <w:t>（见附表1</w:t>
      </w:r>
      <w:r>
        <w:rPr>
          <w:rFonts w:hint="eastAsia" w:ascii="宋体" w:hAnsi="宋体"/>
          <w:b/>
          <w:bCs/>
          <w:color w:val="auto"/>
          <w:highlight w:val="none"/>
          <w:lang w:eastAsia="zh-CN"/>
        </w:rPr>
        <w:t>、</w:t>
      </w:r>
      <w:r>
        <w:rPr>
          <w:rFonts w:hint="eastAsia" w:ascii="宋体" w:hAnsi="宋体"/>
          <w:b/>
          <w:bCs/>
          <w:color w:val="auto"/>
          <w:highlight w:val="none"/>
          <w:lang w:val="en-US" w:eastAsia="zh-CN"/>
        </w:rPr>
        <w:t>见附表4</w:t>
      </w:r>
      <w:r>
        <w:rPr>
          <w:rFonts w:ascii="宋体" w:hAnsi="宋体"/>
          <w:b/>
          <w:bCs/>
          <w:color w:val="auto"/>
          <w:highlight w:val="none"/>
        </w:rPr>
        <w:t>）所列各项，评标委员会认为投标文件不满足招标文件要求的，将被认定为无效投标</w:t>
      </w:r>
      <w:r>
        <w:rPr>
          <w:rFonts w:hint="eastAsia" w:ascii="宋体" w:hAnsi="宋体" w:eastAsia="宋体" w:cs="宋体"/>
          <w:b/>
          <w:bCs/>
          <w:color w:val="auto"/>
          <w:highlight w:val="none"/>
        </w:rPr>
        <w:t>。</w:t>
      </w:r>
    </w:p>
    <w:p>
      <w:pPr>
        <w:spacing w:before="120" w:after="120" w:line="360" w:lineRule="auto"/>
        <w:ind w:firstLine="525" w:firstLineChars="250"/>
        <w:rPr>
          <w:rFonts w:hint="eastAsia" w:ascii="宋体" w:hAnsi="宋体" w:eastAsia="宋体" w:cs="宋体"/>
          <w:bCs/>
          <w:color w:val="auto"/>
          <w:highlight w:val="none"/>
        </w:rPr>
      </w:pPr>
      <w:bookmarkStart w:id="179" w:name="_Toc18377_WPSOffice_Level1"/>
      <w:bookmarkStart w:id="180" w:name="_Toc962_WPSOffice_Level1"/>
      <w:bookmarkStart w:id="181" w:name="_Toc17602_WPSOffice_Level1"/>
      <w:r>
        <w:rPr>
          <w:rFonts w:hint="eastAsia" w:ascii="宋体" w:hAnsi="宋体" w:eastAsia="宋体" w:cs="宋体"/>
          <w:bCs/>
          <w:color w:val="auto"/>
          <w:highlight w:val="none"/>
        </w:rPr>
        <w:t>5.5.2详细评审</w:t>
      </w:r>
      <w:bookmarkEnd w:id="179"/>
      <w:bookmarkEnd w:id="180"/>
      <w:bookmarkEnd w:id="181"/>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a.详细评审是对通过</w:t>
      </w:r>
      <w:r>
        <w:rPr>
          <w:rFonts w:hint="eastAsia" w:ascii="宋体" w:hAnsi="宋体"/>
          <w:color w:val="auto"/>
          <w:highlight w:val="none"/>
          <w:lang w:val="en-US" w:eastAsia="zh-CN"/>
        </w:rPr>
        <w:t>资格审查及商务技术符合性审查（阶段一）</w:t>
      </w:r>
      <w:r>
        <w:rPr>
          <w:rFonts w:ascii="宋体" w:hAnsi="宋体"/>
          <w:color w:val="auto"/>
          <w:highlight w:val="none"/>
        </w:rPr>
        <w:t>的投标进行技术</w:t>
      </w:r>
      <w:r>
        <w:rPr>
          <w:rFonts w:hint="eastAsia" w:ascii="宋体" w:hAnsi="宋体"/>
          <w:color w:val="auto"/>
          <w:highlight w:val="none"/>
          <w:lang w:val="en-US" w:eastAsia="zh-CN"/>
        </w:rPr>
        <w:t>评审、</w:t>
      </w:r>
      <w:r>
        <w:rPr>
          <w:rFonts w:ascii="宋体" w:hAnsi="宋体"/>
          <w:color w:val="auto"/>
          <w:highlight w:val="none"/>
        </w:rPr>
        <w:t>商务</w:t>
      </w:r>
      <w:r>
        <w:rPr>
          <w:rFonts w:hint="eastAsia" w:ascii="宋体" w:hAnsi="宋体"/>
          <w:color w:val="auto"/>
          <w:highlight w:val="none"/>
          <w:lang w:val="en-US" w:eastAsia="zh-CN"/>
        </w:rPr>
        <w:t>评审以及对通过价格符合性审查（阶段二）</w:t>
      </w:r>
      <w:r>
        <w:rPr>
          <w:rFonts w:ascii="宋体" w:hAnsi="宋体"/>
          <w:color w:val="auto"/>
          <w:highlight w:val="none"/>
        </w:rPr>
        <w:t>的投标进行价格评审。</w:t>
      </w:r>
    </w:p>
    <w:p>
      <w:pPr>
        <w:tabs>
          <w:tab w:val="left" w:pos="945"/>
        </w:tabs>
        <w:spacing w:line="360" w:lineRule="auto"/>
        <w:ind w:firstLine="525" w:firstLineChars="250"/>
        <w:rPr>
          <w:rFonts w:hint="eastAsia" w:ascii="宋体" w:hAnsi="宋体" w:eastAsia="宋体" w:cs="宋体"/>
          <w:color w:val="auto"/>
          <w:highlight w:val="none"/>
        </w:rPr>
      </w:pPr>
      <w:r>
        <w:rPr>
          <w:rFonts w:ascii="宋体" w:hAnsi="宋体"/>
          <w:color w:val="auto"/>
          <w:highlight w:val="none"/>
        </w:rPr>
        <w:t>b.技术、商务评分：评标委员会就</w:t>
      </w:r>
      <w:r>
        <w:rPr>
          <w:rFonts w:hint="eastAsia" w:ascii="宋体" w:hAnsi="宋体"/>
          <w:color w:val="auto"/>
          <w:highlight w:val="none"/>
        </w:rPr>
        <w:t>技术评分表、商务评分表的评审</w:t>
      </w:r>
      <w:r>
        <w:rPr>
          <w:rFonts w:ascii="宋体" w:hAnsi="宋体"/>
          <w:color w:val="auto"/>
          <w:highlight w:val="none"/>
        </w:rPr>
        <w:t>因素进行评分，各因素所占权重比例见《技术</w:t>
      </w:r>
      <w:r>
        <w:rPr>
          <w:rFonts w:hint="eastAsia" w:ascii="宋体" w:hAnsi="宋体"/>
          <w:color w:val="auto"/>
          <w:highlight w:val="none"/>
        </w:rPr>
        <w:t>评分</w:t>
      </w:r>
      <w:r>
        <w:rPr>
          <w:rFonts w:ascii="宋体" w:hAnsi="宋体"/>
          <w:color w:val="auto"/>
          <w:highlight w:val="none"/>
        </w:rPr>
        <w:t>表》（附表2）及《商务评</w:t>
      </w:r>
      <w:r>
        <w:rPr>
          <w:rFonts w:hint="eastAsia" w:ascii="宋体" w:hAnsi="宋体"/>
          <w:color w:val="auto"/>
          <w:highlight w:val="none"/>
        </w:rPr>
        <w:t>分</w:t>
      </w:r>
      <w:r>
        <w:rPr>
          <w:rFonts w:ascii="宋体" w:hAnsi="宋体"/>
          <w:color w:val="auto"/>
          <w:highlight w:val="none"/>
        </w:rPr>
        <w:t>表》（附表3），评分统计按本评标方法</w:t>
      </w:r>
      <w:r>
        <w:rPr>
          <w:rFonts w:hint="eastAsia" w:ascii="宋体" w:hAnsi="宋体"/>
          <w:color w:val="auto"/>
          <w:highlight w:val="none"/>
          <w:lang w:val="en-US" w:eastAsia="zh-CN"/>
        </w:rPr>
        <w:t>的</w:t>
      </w:r>
      <w:r>
        <w:rPr>
          <w:rFonts w:ascii="宋体" w:hAnsi="宋体"/>
          <w:color w:val="auto"/>
          <w:highlight w:val="none"/>
        </w:rPr>
        <w:t>规定进行</w:t>
      </w:r>
      <w:r>
        <w:rPr>
          <w:rFonts w:hint="eastAsia" w:ascii="宋体" w:hAnsi="宋体" w:eastAsia="宋体" w:cs="宋体"/>
          <w:color w:val="auto"/>
          <w:highlight w:val="none"/>
        </w:rPr>
        <w:t>。</w:t>
      </w:r>
    </w:p>
    <w:p>
      <w:pPr>
        <w:tabs>
          <w:tab w:val="left" w:pos="945"/>
        </w:tabs>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c.价格的核准和评分</w:t>
      </w:r>
    </w:p>
    <w:p>
      <w:pPr>
        <w:tabs>
          <w:tab w:val="left" w:pos="0"/>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a)评标委员会详细分析、核准价格表，看其是否有计算上或累加上的算术错误，修正错误的原则如下：</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（1）如果用大写表示的金额和用小写表示的金额不一致，应以大写表示的金额为准；</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（2）当单价和数量的乘积与总价金额不一致时，以单价为准（除单价金额小数点明显错误的除外），并修正总价；</w:t>
      </w:r>
    </w:p>
    <w:p>
      <w:pPr>
        <w:tabs>
          <w:tab w:val="left" w:pos="0"/>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漏项的调整方式：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hint="eastAsia" w:ascii="宋体" w:hAnsi="宋体" w:eastAsia="宋体" w:cs="宋体"/>
          <w:bCs/>
          <w:color w:val="auto"/>
          <w:highlight w:val="none"/>
        </w:rPr>
        <w:t>如该投标人中标，所有漏项应包含在供货范围内，且中标价仍按其投标报价计</w:t>
      </w:r>
      <w:r>
        <w:rPr>
          <w:rFonts w:hint="eastAsia" w:ascii="宋体" w:hAnsi="宋体" w:eastAsia="宋体" w:cs="宋体"/>
          <w:color w:val="auto"/>
          <w:highlight w:val="none"/>
        </w:rPr>
        <w:t>）。</w:t>
      </w:r>
    </w:p>
    <w:p>
      <w:pPr>
        <w:tabs>
          <w:tab w:val="left" w:pos="-618"/>
          <w:tab w:val="left" w:pos="-412"/>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pPr>
        <w:tabs>
          <w:tab w:val="left" w:pos="-618"/>
          <w:tab w:val="left" w:pos="-412"/>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（5）需要投标人提供的专用工具、备品、配件以及相关服务所需的费用，如果是另外单独报价的话，评分时应计入投标报价。</w:t>
      </w:r>
    </w:p>
    <w:p>
      <w:pPr>
        <w:tabs>
          <w:tab w:val="left" w:pos="0"/>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（6）评标委员会依据招标文件认为应该调整的价格。</w:t>
      </w:r>
    </w:p>
    <w:p>
      <w:pPr>
        <w:tabs>
          <w:tab w:val="left" w:pos="0"/>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b)评标委员会将按上述修正错误的方法调整投标文件中的投标报价，调整后的价格对投标人具有约束力。如果投标人不接受修正后的价格，则其投标将被拒绝。</w:t>
      </w:r>
    </w:p>
    <w:p>
      <w:pPr>
        <w:tabs>
          <w:tab w:val="left" w:pos="945"/>
        </w:tabs>
        <w:spacing w:line="360" w:lineRule="auto"/>
        <w:ind w:left="-23" w:leftChars="-11" w:firstLine="525" w:firstLineChars="250"/>
        <w:jc w:val="left"/>
        <w:rPr>
          <w:rFonts w:hint="eastAsia" w:ascii="宋体" w:hAnsi="宋体" w:eastAsia="宋体" w:cs="宋体"/>
          <w:color w:val="auto"/>
          <w:highlight w:val="none"/>
        </w:rPr>
      </w:pPr>
      <w:r>
        <w:rPr>
          <w:rFonts w:hint="eastAsia" w:ascii="宋体" w:hAnsi="宋体" w:eastAsia="宋体" w:cs="宋体"/>
          <w:color w:val="auto"/>
          <w:highlight w:val="none"/>
        </w:rPr>
        <w:t>c) 价格评分：</w:t>
      </w:r>
    </w:p>
    <w:p>
      <w:pPr>
        <w:spacing w:line="360" w:lineRule="auto"/>
        <w:ind w:left="420" w:leftChars="200" w:firstLine="426"/>
        <w:rPr>
          <w:rFonts w:hint="eastAsia" w:ascii="宋体" w:hAnsi="宋体" w:eastAsia="宋体" w:cs="宋体"/>
          <w:color w:val="auto"/>
          <w:szCs w:val="21"/>
          <w:highlight w:val="none"/>
        </w:rPr>
      </w:pPr>
      <w:bookmarkStart w:id="182" w:name="_Toc173140973"/>
      <w:bookmarkStart w:id="183" w:name="_Toc173262603"/>
      <w:bookmarkStart w:id="184" w:name="_Toc173256012"/>
      <w:r>
        <w:rPr>
          <w:rFonts w:hint="eastAsia" w:ascii="宋体" w:hAnsi="宋体" w:eastAsia="宋体" w:cs="宋体"/>
          <w:color w:val="auto"/>
          <w:szCs w:val="21"/>
          <w:highlight w:val="none"/>
        </w:rPr>
        <w:t>各有效投标供应商的评标价（含税的投标报价）中各有效投标供应商的价格评分统一按照下列公式计算：</w:t>
      </w:r>
    </w:p>
    <w:p>
      <w:pPr>
        <w:numPr>
          <w:ilvl w:val="0"/>
          <w:numId w:val="14"/>
        </w:numPr>
        <w:spacing w:line="360" w:lineRule="auto"/>
        <w:ind w:left="420" w:leftChars="200" w:firstLine="495" w:firstLineChars="236"/>
        <w:rPr>
          <w:rFonts w:hint="eastAsia" w:ascii="宋体" w:hAnsi="宋体" w:eastAsia="宋体" w:cs="宋体"/>
          <w:color w:val="auto"/>
          <w:szCs w:val="21"/>
          <w:highlight w:val="none"/>
        </w:rPr>
      </w:pPr>
      <w:r>
        <w:rPr>
          <w:rFonts w:hint="eastAsia" w:ascii="宋体" w:hAnsi="宋体" w:eastAsia="宋体" w:cs="宋体"/>
          <w:color w:val="auto"/>
          <w:szCs w:val="21"/>
          <w:highlight w:val="none"/>
        </w:rPr>
        <w:t>价格不能超过预算，否则就视为自动放弃本次投标权利</w:t>
      </w:r>
    </w:p>
    <w:p>
      <w:pPr>
        <w:numPr>
          <w:ilvl w:val="0"/>
          <w:numId w:val="14"/>
        </w:numPr>
        <w:snapToGrid w:val="0"/>
        <w:spacing w:line="360" w:lineRule="auto"/>
        <w:ind w:left="420" w:leftChars="200" w:firstLine="495" w:firstLineChars="236"/>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投标人评标价及评标基准价的确认：</w:t>
      </w:r>
    </w:p>
    <w:p>
      <w:pPr>
        <w:snapToGrid w:val="0"/>
        <w:spacing w:line="360" w:lineRule="auto"/>
        <w:ind w:left="4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通过初审的有效投标人进入价格评分。评标委员会对通过初审的投标文件的投标报价进行复核及算术修正，修正后的价格为投标人的评标价。</w:t>
      </w:r>
    </w:p>
    <w:bookmarkEnd w:id="182"/>
    <w:bookmarkEnd w:id="183"/>
    <w:bookmarkEnd w:id="184"/>
    <w:p>
      <w:pPr>
        <w:snapToGrid w:val="0"/>
        <w:spacing w:line="360" w:lineRule="auto"/>
        <w:ind w:left="4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评标基准价的计算</w:t>
      </w:r>
    </w:p>
    <w:p>
      <w:pPr>
        <w:snapToGrid w:val="0"/>
        <w:spacing w:line="360" w:lineRule="auto"/>
        <w:ind w:left="420" w:firstLine="420" w:firstLineChars="200"/>
        <w:rPr>
          <w:rFonts w:hint="eastAsia" w:ascii="宋体" w:hAnsi="宋体" w:cs="宋体"/>
          <w:color w:val="auto"/>
          <w:kern w:val="0"/>
          <w:highlight w:val="none"/>
          <w:lang w:bidi="ar"/>
        </w:rPr>
      </w:pPr>
      <w:r>
        <w:rPr>
          <w:rFonts w:hint="eastAsia" w:ascii="宋体" w:hAnsi="宋体" w:cs="宋体"/>
          <w:color w:val="auto"/>
          <w:kern w:val="0"/>
          <w:highlight w:val="none"/>
          <w:lang w:bidi="ar"/>
        </w:rPr>
        <w:t>若有效投标人在6名或以内的，各有效投标人的总报价的算术平均值为评标基准价。</w:t>
      </w:r>
    </w:p>
    <w:p>
      <w:pPr>
        <w:snapToGrid w:val="0"/>
        <w:spacing w:line="360" w:lineRule="auto"/>
        <w:ind w:left="420" w:firstLine="420" w:firstLineChars="200"/>
        <w:rPr>
          <w:rFonts w:hint="eastAsia" w:ascii="宋体" w:hAnsi="宋体" w:eastAsia="宋体" w:cs="宋体"/>
          <w:color w:val="auto"/>
          <w:szCs w:val="21"/>
          <w:highlight w:val="none"/>
        </w:rPr>
      </w:pPr>
      <w:r>
        <w:rPr>
          <w:rFonts w:hint="eastAsia" w:ascii="宋体" w:hAnsi="宋体" w:cs="宋体"/>
          <w:color w:val="auto"/>
          <w:kern w:val="0"/>
          <w:highlight w:val="none"/>
          <w:lang w:bidi="ar"/>
        </w:rPr>
        <w:t>若有效投标人在6名以上的，在各有效投标人的总报价中，去一个最高价和一个最低价后，剩余报价的算术平均值为评标基准价。</w:t>
      </w:r>
    </w:p>
    <w:p>
      <w:pPr>
        <w:snapToGrid w:val="0"/>
        <w:spacing w:line="360" w:lineRule="auto"/>
        <w:ind w:left="4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2）价格评分</w:t>
      </w:r>
    </w:p>
    <w:p>
      <w:pPr>
        <w:snapToGrid w:val="0"/>
        <w:spacing w:line="360" w:lineRule="auto"/>
        <w:ind w:left="4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 当评标总价等于评标基准价，投标人的价格评分为</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分；</w:t>
      </w:r>
    </w:p>
    <w:p>
      <w:pPr>
        <w:snapToGrid w:val="0"/>
        <w:spacing w:line="360" w:lineRule="auto"/>
        <w:ind w:left="4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b) 当评标总价高于评标基准价，投标人的价格评分按下式计算（每高1％，扣0.</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分，扣完为止）：</w:t>
      </w:r>
    </w:p>
    <w:p>
      <w:pPr>
        <w:snapToGrid w:val="0"/>
        <w:spacing w:line="360" w:lineRule="auto"/>
        <w:ind w:left="420" w:firstLine="420" w:firstLineChars="200"/>
        <w:rPr>
          <w:rFonts w:hint="eastAsia" w:ascii="宋体" w:hAnsi="宋体" w:eastAsia="宋体" w:cs="宋体"/>
          <w:color w:val="auto"/>
          <w:szCs w:val="21"/>
          <w:highlight w:val="none"/>
        </w:rPr>
      </w:pPr>
      <w:r>
        <w:rPr>
          <w:rFonts w:hint="eastAsia" w:ascii="宋体" w:hAnsi="宋体"/>
          <w:color w:val="auto"/>
          <w:szCs w:val="21"/>
          <w:highlight w:val="none"/>
        </w:rPr>
        <w:t>投标人的价格评分=</w:t>
      </w:r>
      <w:r>
        <w:rPr>
          <w:rFonts w:hint="eastAsia" w:ascii="宋体" w:hAnsi="宋体"/>
          <w:color w:val="auto"/>
          <w:szCs w:val="21"/>
          <w:highlight w:val="none"/>
          <w:lang w:val="en-US" w:eastAsia="zh-CN"/>
        </w:rPr>
        <w:t>30-[（投标人的评标总价-评标基准价）/评标基准价]×100×0.1</w:t>
      </w:r>
      <w:r>
        <w:rPr>
          <w:rFonts w:hint="eastAsia" w:ascii="宋体" w:hAnsi="宋体"/>
          <w:color w:val="auto"/>
          <w:szCs w:val="21"/>
          <w:highlight w:val="none"/>
        </w:rPr>
        <w:t>（四舍五入，</w:t>
      </w:r>
      <w:r>
        <w:rPr>
          <w:rFonts w:hint="eastAsia" w:ascii="宋体" w:hAnsi="宋体" w:eastAsia="宋体" w:cs="宋体"/>
          <w:color w:val="auto"/>
          <w:szCs w:val="21"/>
          <w:highlight w:val="none"/>
        </w:rPr>
        <w:t>小数点后保留两位有效数字）</w:t>
      </w:r>
    </w:p>
    <w:p>
      <w:pPr>
        <w:snapToGrid w:val="0"/>
        <w:spacing w:line="360" w:lineRule="auto"/>
        <w:ind w:left="4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c) 当评标总价低于评标基准价，投标人的价格评分按下式计算（每低1％，扣0.</w:t>
      </w:r>
      <w:r>
        <w:rPr>
          <w:rFonts w:hint="eastAsia" w:ascii="宋体" w:hAnsi="宋体" w:cs="宋体"/>
          <w:color w:val="auto"/>
          <w:szCs w:val="21"/>
          <w:highlight w:val="none"/>
          <w:lang w:val="en-US" w:eastAsia="zh-CN"/>
        </w:rPr>
        <w:t>05</w:t>
      </w:r>
      <w:r>
        <w:rPr>
          <w:rFonts w:hint="eastAsia" w:ascii="宋体" w:hAnsi="宋体" w:eastAsia="宋体" w:cs="宋体"/>
          <w:color w:val="auto"/>
          <w:szCs w:val="21"/>
          <w:highlight w:val="none"/>
        </w:rPr>
        <w:t>分，扣完为止）：</w:t>
      </w:r>
    </w:p>
    <w:p>
      <w:pPr>
        <w:snapToGrid w:val="0"/>
        <w:spacing w:line="360" w:lineRule="auto"/>
        <w:ind w:left="420" w:firstLine="420" w:firstLineChars="200"/>
        <w:rPr>
          <w:rFonts w:hint="eastAsia" w:ascii="宋体" w:hAnsi="宋体" w:eastAsia="宋体" w:cs="宋体"/>
          <w:color w:val="auto"/>
          <w:szCs w:val="21"/>
          <w:highlight w:val="none"/>
        </w:rPr>
      </w:pPr>
      <w:r>
        <w:rPr>
          <w:rFonts w:hint="eastAsia" w:ascii="宋体" w:hAnsi="宋体"/>
          <w:color w:val="auto"/>
          <w:szCs w:val="21"/>
          <w:highlight w:val="none"/>
        </w:rPr>
        <w:t>投标人的价格评分=</w:t>
      </w:r>
      <w:r>
        <w:rPr>
          <w:rFonts w:hint="eastAsia" w:ascii="宋体" w:hAnsi="宋体"/>
          <w:color w:val="auto"/>
          <w:szCs w:val="21"/>
          <w:highlight w:val="none"/>
          <w:lang w:val="en-US" w:eastAsia="zh-CN"/>
        </w:rPr>
        <w:t>30-[（评标基准价-投标人的评标总价）/评标基准价]×100×0.05</w:t>
      </w:r>
      <w:r>
        <w:rPr>
          <w:rFonts w:hint="eastAsia" w:ascii="宋体" w:hAnsi="宋体"/>
          <w:color w:val="auto"/>
          <w:szCs w:val="21"/>
          <w:highlight w:val="none"/>
        </w:rPr>
        <w:t>（四舍五入</w:t>
      </w:r>
      <w:r>
        <w:rPr>
          <w:rFonts w:hint="eastAsia" w:ascii="宋体" w:hAnsi="宋体" w:eastAsia="宋体" w:cs="宋体"/>
          <w:color w:val="auto"/>
          <w:szCs w:val="21"/>
          <w:highlight w:val="none"/>
        </w:rPr>
        <w:t>，小数点后保留两位有效数字）</w:t>
      </w:r>
    </w:p>
    <w:p>
      <w:pPr>
        <w:tabs>
          <w:tab w:val="left" w:pos="0"/>
        </w:tabs>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d）技术、商务及价格权重分配：</w:t>
      </w:r>
    </w:p>
    <w:tbl>
      <w:tblPr>
        <w:tblStyle w:val="5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24"/>
        <w:gridCol w:w="1808"/>
        <w:gridCol w:w="1808"/>
        <w:gridCol w:w="1806"/>
        <w:gridCol w:w="18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评分项目</w:t>
            </w:r>
          </w:p>
        </w:tc>
        <w:tc>
          <w:tcPr>
            <w:tcW w:w="1808"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技术评分</w:t>
            </w:r>
          </w:p>
        </w:tc>
        <w:tc>
          <w:tcPr>
            <w:tcW w:w="1808"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商务评分</w:t>
            </w:r>
          </w:p>
        </w:tc>
        <w:tc>
          <w:tcPr>
            <w:tcW w:w="1806"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价格评分</w:t>
            </w:r>
          </w:p>
        </w:tc>
        <w:tc>
          <w:tcPr>
            <w:tcW w:w="1806"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分值</w:t>
            </w:r>
          </w:p>
        </w:tc>
        <w:tc>
          <w:tcPr>
            <w:tcW w:w="1808" w:type="dxa"/>
            <w:noWrap w:val="0"/>
            <w:vAlign w:val="center"/>
          </w:tcPr>
          <w:p>
            <w:pPr>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50</w:t>
            </w:r>
          </w:p>
        </w:tc>
        <w:tc>
          <w:tcPr>
            <w:tcW w:w="1808" w:type="dxa"/>
            <w:noWrap w:val="0"/>
            <w:vAlign w:val="center"/>
          </w:tcPr>
          <w:p>
            <w:pPr>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w:t>
            </w:r>
          </w:p>
        </w:tc>
        <w:tc>
          <w:tcPr>
            <w:tcW w:w="1806" w:type="dxa"/>
            <w:noWrap w:val="0"/>
            <w:vAlign w:val="center"/>
          </w:tcPr>
          <w:p>
            <w:pPr>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30</w:t>
            </w:r>
          </w:p>
        </w:tc>
        <w:tc>
          <w:tcPr>
            <w:tcW w:w="1806" w:type="dxa"/>
            <w:noWrap w:val="0"/>
            <w:vAlign w:val="center"/>
          </w:tcPr>
          <w:p>
            <w:pPr>
              <w:jc w:val="center"/>
              <w:rPr>
                <w:rFonts w:hint="eastAsia" w:ascii="宋体" w:hAnsi="宋体" w:eastAsia="宋体" w:cs="宋体"/>
                <w:color w:val="auto"/>
                <w:highlight w:val="none"/>
              </w:rPr>
            </w:pPr>
            <w:r>
              <w:rPr>
                <w:rFonts w:hint="eastAsia" w:ascii="宋体" w:hAnsi="宋体" w:eastAsia="宋体" w:cs="宋体"/>
                <w:color w:val="auto"/>
                <w:highlight w:val="none"/>
              </w:rPr>
              <w:t>100</w:t>
            </w:r>
          </w:p>
        </w:tc>
      </w:tr>
    </w:tbl>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e）根据上述技术、商务及价格的综合评分及其权重分配，代入下列公式计算各投标人的总得分。得分统计保留小数点后两位，第三位四舍五入。进入详细评审的各投标人的综合得分，按得分从高到低排名。</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评标总得分=F1+ F2 +F3</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其中，F1、F2、F3别为技术、商务及价格评分的汇总得分。</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f）评分统计验算：评分统计的结果数据须经评标委员会验算并确认。</w:t>
      </w:r>
    </w:p>
    <w:p>
      <w:pPr>
        <w:spacing w:before="120" w:after="120" w:line="360" w:lineRule="auto"/>
        <w:ind w:firstLine="525" w:firstLineChars="250"/>
        <w:rPr>
          <w:rFonts w:hint="eastAsia" w:ascii="宋体" w:hAnsi="宋体" w:eastAsia="宋体" w:cs="宋体"/>
          <w:bCs/>
          <w:color w:val="auto"/>
          <w:highlight w:val="none"/>
        </w:rPr>
      </w:pPr>
      <w:bookmarkStart w:id="185" w:name="_Toc13353_WPSOffice_Level1"/>
      <w:bookmarkStart w:id="186" w:name="_Toc9514_WPSOffice_Level1"/>
      <w:bookmarkStart w:id="187" w:name="_Toc27012_WPSOffice_Level1"/>
      <w:r>
        <w:rPr>
          <w:rFonts w:hint="eastAsia" w:ascii="宋体" w:hAnsi="宋体" w:eastAsia="宋体" w:cs="宋体"/>
          <w:bCs/>
          <w:color w:val="auto"/>
          <w:highlight w:val="none"/>
        </w:rPr>
        <w:t>5.5.3中标候选人</w:t>
      </w:r>
      <w:bookmarkEnd w:id="185"/>
      <w:bookmarkEnd w:id="186"/>
      <w:bookmarkEnd w:id="187"/>
    </w:p>
    <w:p>
      <w:pPr>
        <w:spacing w:line="360" w:lineRule="auto"/>
        <w:ind w:left="300" w:leftChars="143" w:firstLine="210" w:firstLineChars="100"/>
        <w:rPr>
          <w:rFonts w:hint="eastAsia" w:ascii="宋体" w:hAnsi="宋体" w:eastAsia="宋体" w:cs="宋体"/>
          <w:color w:val="auto"/>
          <w:highlight w:val="none"/>
        </w:rPr>
      </w:pPr>
      <w:r>
        <w:rPr>
          <w:rFonts w:ascii="宋体" w:hAnsi="宋体"/>
          <w:color w:val="auto"/>
          <w:highlight w:val="none"/>
        </w:rPr>
        <w:t>评标委员会按对各投标人的评标总得分由高到低顺序排列，推荐前3名为中标候选人。排名第一的投标人为第一中标候选人，排名第二的投标人为第二中标候选人，排名第三的投标人为第三中标候选人。评标总得分相同的，名次按技术分较高者排名靠前；评标总得分相同</w:t>
      </w:r>
      <w:r>
        <w:rPr>
          <w:rFonts w:hint="eastAsia" w:ascii="宋体" w:hAnsi="宋体"/>
          <w:color w:val="auto"/>
          <w:highlight w:val="none"/>
        </w:rPr>
        <w:t>，</w:t>
      </w:r>
      <w:r>
        <w:rPr>
          <w:rFonts w:ascii="宋体" w:hAnsi="宋体"/>
          <w:color w:val="auto"/>
          <w:highlight w:val="none"/>
        </w:rPr>
        <w:t>且</w:t>
      </w:r>
      <w:r>
        <w:rPr>
          <w:rFonts w:hint="eastAsia" w:ascii="宋体" w:hAnsi="宋体"/>
          <w:color w:val="auto"/>
          <w:highlight w:val="none"/>
        </w:rPr>
        <w:t>技术得分</w:t>
      </w:r>
      <w:r>
        <w:rPr>
          <w:rFonts w:ascii="宋体" w:hAnsi="宋体"/>
          <w:color w:val="auto"/>
          <w:highlight w:val="none"/>
        </w:rPr>
        <w:t>相同的，名次按</w:t>
      </w:r>
      <w:r>
        <w:rPr>
          <w:rFonts w:hint="eastAsia" w:ascii="宋体" w:hAnsi="宋体"/>
          <w:color w:val="auto"/>
          <w:highlight w:val="none"/>
        </w:rPr>
        <w:t>商务</w:t>
      </w:r>
      <w:r>
        <w:rPr>
          <w:rFonts w:ascii="宋体" w:hAnsi="宋体"/>
          <w:color w:val="auto"/>
          <w:highlight w:val="none"/>
        </w:rPr>
        <w:t>分较高者排名靠前；评标总得分相同、</w:t>
      </w:r>
      <w:r>
        <w:rPr>
          <w:rFonts w:hint="eastAsia" w:ascii="宋体" w:hAnsi="宋体"/>
          <w:color w:val="auto"/>
          <w:highlight w:val="none"/>
        </w:rPr>
        <w:t>商务评分</w:t>
      </w:r>
      <w:r>
        <w:rPr>
          <w:rFonts w:ascii="宋体" w:hAnsi="宋体"/>
          <w:color w:val="auto"/>
          <w:highlight w:val="none"/>
        </w:rPr>
        <w:t>和技术评分均相同的，名次由评标委员会投票决定；最后，评标委员会写出评标报告，将推荐的中标候选人报招标人核准</w:t>
      </w:r>
      <w:r>
        <w:rPr>
          <w:rFonts w:hint="eastAsia" w:ascii="宋体" w:hAnsi="宋体" w:eastAsia="宋体" w:cs="宋体"/>
          <w:color w:val="auto"/>
          <w:highlight w:val="none"/>
        </w:rPr>
        <w:t>。</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pPr>
        <w:tabs>
          <w:tab w:val="left" w:pos="824"/>
        </w:tabs>
        <w:spacing w:line="360" w:lineRule="auto"/>
        <w:ind w:firstLine="525" w:firstLineChars="250"/>
        <w:rPr>
          <w:rFonts w:hint="default" w:ascii="宋体" w:hAnsi="宋体" w:eastAsia="宋体"/>
          <w:color w:val="auto"/>
          <w:highlight w:val="none"/>
          <w:lang w:val="en-US" w:eastAsia="zh-CN"/>
        </w:rPr>
      </w:pPr>
      <w:bookmarkStart w:id="188" w:name="_Toc32432_WPSOffice_Level1"/>
      <w:bookmarkStart w:id="189" w:name="_Toc32248_WPSOffice_Level1"/>
      <w:bookmarkStart w:id="190" w:name="_Toc12541_WPSOffice_Level1"/>
      <w:r>
        <w:rPr>
          <w:rFonts w:ascii="宋体" w:hAnsi="宋体"/>
          <w:color w:val="auto"/>
          <w:highlight w:val="none"/>
        </w:rPr>
        <w:t xml:space="preserve">附表1    </w:t>
      </w:r>
      <w:r>
        <w:rPr>
          <w:rFonts w:hint="eastAsia" w:ascii="宋体" w:hAnsi="宋体"/>
          <w:color w:val="auto"/>
          <w:highlight w:val="none"/>
          <w:lang w:val="en-US" w:eastAsia="zh-CN"/>
        </w:rPr>
        <w:t>符合性审查表（阶段一）</w:t>
      </w:r>
    </w:p>
    <w:p>
      <w:pPr>
        <w:tabs>
          <w:tab w:val="left" w:pos="824"/>
        </w:tabs>
        <w:spacing w:line="360" w:lineRule="auto"/>
        <w:ind w:firstLine="525" w:firstLineChars="250"/>
        <w:rPr>
          <w:rFonts w:hint="eastAsia" w:ascii="宋体" w:hAnsi="宋体"/>
          <w:color w:val="auto"/>
          <w:highlight w:val="none"/>
        </w:rPr>
      </w:pPr>
      <w:r>
        <w:rPr>
          <w:rFonts w:ascii="宋体" w:hAnsi="宋体"/>
          <w:color w:val="auto"/>
          <w:highlight w:val="none"/>
        </w:rPr>
        <w:t xml:space="preserve">附表2    </w:t>
      </w:r>
      <w:r>
        <w:rPr>
          <w:rFonts w:hint="eastAsia" w:ascii="宋体" w:hAnsi="宋体"/>
          <w:color w:val="auto"/>
          <w:highlight w:val="none"/>
        </w:rPr>
        <w:t>技术评分表</w:t>
      </w:r>
    </w:p>
    <w:p>
      <w:pPr>
        <w:tabs>
          <w:tab w:val="left" w:pos="824"/>
        </w:tabs>
        <w:spacing w:line="360" w:lineRule="auto"/>
        <w:ind w:firstLine="525" w:firstLineChars="250"/>
        <w:rPr>
          <w:rFonts w:ascii="宋体" w:hAnsi="宋体"/>
          <w:color w:val="auto"/>
          <w:highlight w:val="none"/>
        </w:rPr>
      </w:pPr>
      <w:r>
        <w:rPr>
          <w:rFonts w:ascii="宋体" w:hAnsi="宋体"/>
          <w:color w:val="auto"/>
          <w:highlight w:val="none"/>
        </w:rPr>
        <w:t>附表3    商务</w:t>
      </w:r>
      <w:r>
        <w:rPr>
          <w:rFonts w:hint="eastAsia" w:ascii="宋体" w:hAnsi="宋体"/>
          <w:color w:val="auto"/>
          <w:highlight w:val="none"/>
        </w:rPr>
        <w:t>评分表</w:t>
      </w:r>
    </w:p>
    <w:p>
      <w:pPr>
        <w:tabs>
          <w:tab w:val="left" w:pos="824"/>
        </w:tabs>
        <w:spacing w:line="360" w:lineRule="auto"/>
        <w:ind w:firstLine="525" w:firstLineChars="250"/>
        <w:rPr>
          <w:rFonts w:hint="eastAsia"/>
          <w:color w:val="auto"/>
          <w:highlight w:val="none"/>
        </w:rPr>
      </w:pPr>
      <w:r>
        <w:rPr>
          <w:rFonts w:ascii="宋体" w:hAnsi="宋体"/>
          <w:color w:val="auto"/>
          <w:highlight w:val="none"/>
        </w:rPr>
        <w:t>附表</w:t>
      </w:r>
      <w:r>
        <w:rPr>
          <w:rFonts w:hint="eastAsia" w:ascii="宋体" w:hAnsi="宋体"/>
          <w:color w:val="auto"/>
          <w:highlight w:val="none"/>
          <w:lang w:val="en-US" w:eastAsia="zh-CN"/>
        </w:rPr>
        <w:t>4</w:t>
      </w:r>
      <w:r>
        <w:rPr>
          <w:rFonts w:ascii="宋体" w:hAnsi="宋体"/>
          <w:color w:val="auto"/>
          <w:highlight w:val="none"/>
        </w:rPr>
        <w:t xml:space="preserve">    </w:t>
      </w:r>
      <w:r>
        <w:rPr>
          <w:rFonts w:hint="eastAsia" w:ascii="宋体" w:hAnsi="宋体"/>
          <w:color w:val="auto"/>
          <w:highlight w:val="none"/>
          <w:lang w:val="en-US" w:eastAsia="zh-CN"/>
        </w:rPr>
        <w:t>符合性审查表（阶段二）</w:t>
      </w:r>
    </w:p>
    <w:p>
      <w:pPr>
        <w:pStyle w:val="53"/>
        <w:rPr>
          <w:rFonts w:hint="eastAsia"/>
          <w:color w:val="auto"/>
          <w:highlight w:val="none"/>
        </w:rPr>
      </w:pPr>
    </w:p>
    <w:bookmarkEnd w:id="188"/>
    <w:bookmarkEnd w:id="189"/>
    <w:bookmarkEnd w:id="190"/>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spacing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附表1：</w:t>
      </w:r>
      <w:r>
        <w:rPr>
          <w:rFonts w:hint="eastAsia" w:ascii="宋体" w:hAnsi="宋体"/>
          <w:b/>
          <w:color w:val="auto"/>
          <w:szCs w:val="24"/>
          <w:highlight w:val="none"/>
          <w:lang w:val="en-US" w:eastAsia="zh-CN"/>
        </w:rPr>
        <w:t>符合性</w:t>
      </w:r>
      <w:r>
        <w:rPr>
          <w:rFonts w:hint="eastAsia" w:ascii="宋体" w:hAnsi="宋体"/>
          <w:b/>
          <w:color w:val="auto"/>
          <w:szCs w:val="24"/>
          <w:highlight w:val="none"/>
        </w:rPr>
        <w:t>审查表</w:t>
      </w:r>
      <w:r>
        <w:rPr>
          <w:rFonts w:hint="eastAsia" w:ascii="宋体" w:hAnsi="宋体"/>
          <w:b/>
          <w:color w:val="auto"/>
          <w:szCs w:val="24"/>
          <w:highlight w:val="none"/>
          <w:lang w:eastAsia="zh-CN"/>
        </w:rPr>
        <w:t>（</w:t>
      </w:r>
      <w:r>
        <w:rPr>
          <w:rFonts w:hint="eastAsia" w:ascii="宋体" w:hAnsi="宋体"/>
          <w:b/>
          <w:color w:val="auto"/>
          <w:szCs w:val="24"/>
          <w:highlight w:val="none"/>
          <w:lang w:val="en-US" w:eastAsia="zh-CN"/>
        </w:rPr>
        <w:t>阶段一</w:t>
      </w:r>
      <w:r>
        <w:rPr>
          <w:rFonts w:hint="eastAsia" w:ascii="宋体" w:hAnsi="宋体"/>
          <w:b/>
          <w:color w:val="auto"/>
          <w:szCs w:val="24"/>
          <w:highlight w:val="none"/>
          <w:lang w:eastAsia="zh-CN"/>
        </w:rPr>
        <w:t>）</w:t>
      </w:r>
    </w:p>
    <w:p>
      <w:pPr>
        <w:jc w:val="center"/>
        <w:rPr>
          <w:rFonts w:hint="eastAsia" w:ascii="宋体" w:hAnsi="宋体" w:eastAsia="宋体" w:cs="宋体"/>
          <w:b/>
          <w:color w:val="auto"/>
          <w:sz w:val="28"/>
          <w:szCs w:val="28"/>
          <w:highlight w:val="none"/>
        </w:rPr>
      </w:pPr>
      <w:r>
        <w:rPr>
          <w:rFonts w:hint="eastAsia" w:ascii="宋体" w:hAnsi="宋体"/>
          <w:b/>
          <w:color w:val="auto"/>
          <w:sz w:val="28"/>
          <w:szCs w:val="28"/>
          <w:highlight w:val="none"/>
          <w:lang w:val="en-US" w:eastAsia="zh-CN"/>
        </w:rPr>
        <w:t>符合性</w:t>
      </w:r>
      <w:r>
        <w:rPr>
          <w:rFonts w:hint="eastAsia" w:ascii="宋体" w:hAnsi="宋体"/>
          <w:b/>
          <w:color w:val="auto"/>
          <w:sz w:val="28"/>
          <w:szCs w:val="28"/>
          <w:highlight w:val="none"/>
        </w:rPr>
        <w:t>审查表</w:t>
      </w:r>
      <w:r>
        <w:rPr>
          <w:rFonts w:hint="eastAsia" w:ascii="宋体" w:hAnsi="宋体"/>
          <w:b/>
          <w:color w:val="auto"/>
          <w:sz w:val="28"/>
          <w:szCs w:val="28"/>
          <w:highlight w:val="none"/>
          <w:lang w:eastAsia="zh-CN"/>
        </w:rPr>
        <w:t>（</w:t>
      </w:r>
      <w:r>
        <w:rPr>
          <w:rFonts w:hint="eastAsia" w:ascii="宋体" w:hAnsi="宋体"/>
          <w:b/>
          <w:color w:val="auto"/>
          <w:sz w:val="28"/>
          <w:szCs w:val="28"/>
          <w:highlight w:val="none"/>
          <w:lang w:val="en-US" w:eastAsia="zh-CN"/>
        </w:rPr>
        <w:t>阶段一</w:t>
      </w:r>
      <w:r>
        <w:rPr>
          <w:rFonts w:hint="eastAsia" w:ascii="宋体" w:hAnsi="宋体"/>
          <w:b/>
          <w:color w:val="auto"/>
          <w:sz w:val="28"/>
          <w:szCs w:val="28"/>
          <w:highlight w:val="none"/>
          <w:lang w:eastAsia="zh-CN"/>
        </w:rPr>
        <w:t>）</w:t>
      </w:r>
    </w:p>
    <w:tbl>
      <w:tblPr>
        <w:tblStyle w:val="54"/>
        <w:tblW w:w="0" w:type="auto"/>
        <w:tblInd w:w="0" w:type="dxa"/>
        <w:tblLayout w:type="fixed"/>
        <w:tblCellMar>
          <w:top w:w="0" w:type="dxa"/>
          <w:left w:w="0" w:type="dxa"/>
          <w:bottom w:w="0" w:type="dxa"/>
          <w:right w:w="0" w:type="dxa"/>
        </w:tblCellMar>
      </w:tblPr>
      <w:tblGrid>
        <w:gridCol w:w="559"/>
        <w:gridCol w:w="4225"/>
        <w:gridCol w:w="746"/>
        <w:gridCol w:w="744"/>
        <w:gridCol w:w="744"/>
        <w:gridCol w:w="744"/>
        <w:gridCol w:w="744"/>
        <w:gridCol w:w="766"/>
      </w:tblGrid>
      <w:tr>
        <w:tblPrEx>
          <w:tblCellMar>
            <w:top w:w="0" w:type="dxa"/>
            <w:left w:w="0" w:type="dxa"/>
            <w:bottom w:w="0" w:type="dxa"/>
            <w:right w:w="0" w:type="dxa"/>
          </w:tblCellMar>
        </w:tblPrEx>
        <w:trPr>
          <w:trHeight w:val="90" w:hRule="atLeast"/>
        </w:trPr>
        <w:tc>
          <w:tcPr>
            <w:tcW w:w="559"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序号</w:t>
            </w:r>
          </w:p>
        </w:tc>
        <w:tc>
          <w:tcPr>
            <w:tcW w:w="4225" w:type="dxa"/>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审查项目</w:t>
            </w:r>
          </w:p>
        </w:tc>
        <w:tc>
          <w:tcPr>
            <w:tcW w:w="4488" w:type="dxa"/>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投标人</w:t>
            </w:r>
          </w:p>
        </w:tc>
      </w:tr>
      <w:tr>
        <w:tblPrEx>
          <w:tblCellMar>
            <w:top w:w="0" w:type="dxa"/>
            <w:left w:w="0" w:type="dxa"/>
            <w:bottom w:w="0" w:type="dxa"/>
            <w:right w:w="0" w:type="dxa"/>
          </w:tblCellMar>
        </w:tblPrEx>
        <w:trPr>
          <w:trHeight w:val="211" w:hRule="atLeast"/>
        </w:trPr>
        <w:tc>
          <w:tcPr>
            <w:tcW w:w="559"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p>
        </w:tc>
        <w:tc>
          <w:tcPr>
            <w:tcW w:w="4225" w:type="dxa"/>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B</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C</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D</w:t>
            </w: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E</w:t>
            </w:r>
          </w:p>
        </w:tc>
        <w:tc>
          <w:tcPr>
            <w:tcW w:w="7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bCs/>
                <w:color w:val="auto"/>
                <w:kern w:val="0"/>
                <w:sz w:val="21"/>
                <w:szCs w:val="21"/>
                <w:highlight w:val="none"/>
                <w:lang w:val="en-US" w:eastAsia="zh-CN"/>
              </w:rPr>
              <w:t>...</w:t>
            </w:r>
          </w:p>
        </w:tc>
      </w:tr>
      <w:tr>
        <w:tblPrEx>
          <w:tblCellMar>
            <w:top w:w="0" w:type="dxa"/>
            <w:left w:w="0" w:type="dxa"/>
            <w:bottom w:w="0" w:type="dxa"/>
            <w:right w:w="0" w:type="dxa"/>
          </w:tblCellMar>
        </w:tblPrEx>
        <w:trPr>
          <w:trHeight w:val="609" w:hRule="atLeast"/>
        </w:trPr>
        <w:tc>
          <w:tcPr>
            <w:tcW w:w="55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符合合格投标人资格条件；</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投标文件按招标文件规定要求签署及盖章，由授权代表签署时有法定代表人出具的授权委托书；</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投标有效期满足招标文件要求；</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4</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按招标文件要求提交投标保证金；</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招标文件</w:t>
            </w:r>
            <w:r>
              <w:rPr>
                <w:rFonts w:hint="eastAsia" w:ascii="宋体" w:hAnsi="宋体" w:eastAsia="宋体" w:cs="宋体"/>
                <w:b/>
                <w:color w:val="auto"/>
                <w:szCs w:val="21"/>
                <w:highlight w:val="none"/>
              </w:rPr>
              <w:t>★</w:t>
            </w:r>
            <w:r>
              <w:rPr>
                <w:rFonts w:hint="eastAsia" w:ascii="宋体" w:hAnsi="宋体" w:eastAsia="宋体" w:cs="宋体"/>
                <w:color w:val="auto"/>
                <w:szCs w:val="21"/>
                <w:highlight w:val="none"/>
              </w:rPr>
              <w:t>号条款要求必须满足，投标文件的内容实质性满足招标文件无重大偏离或保留，否则按废标处理，没有出现</w:t>
            </w:r>
            <w:r>
              <w:rPr>
                <w:rFonts w:hint="eastAsia" w:ascii="宋体" w:hAnsi="宋体" w:cs="宋体"/>
                <w:color w:val="auto"/>
                <w:szCs w:val="21"/>
                <w:highlight w:val="none"/>
                <w:lang w:val="en-US" w:eastAsia="zh-CN"/>
              </w:rPr>
              <w:t>违反</w:t>
            </w:r>
            <w:r>
              <w:rPr>
                <w:rFonts w:hint="eastAsia" w:ascii="宋体" w:hAnsi="宋体" w:eastAsia="宋体" w:cs="宋体"/>
                <w:color w:val="auto"/>
                <w:szCs w:val="21"/>
                <w:highlight w:val="none"/>
              </w:rPr>
              <w:t>法律、法规</w:t>
            </w:r>
            <w:r>
              <w:rPr>
                <w:rFonts w:hint="eastAsia" w:ascii="宋体" w:hAnsi="宋体" w:cs="宋体"/>
                <w:color w:val="auto"/>
                <w:szCs w:val="21"/>
                <w:highlight w:val="none"/>
                <w:lang w:val="en-US" w:eastAsia="zh-CN"/>
              </w:rPr>
              <w:t>规定的情形</w:t>
            </w:r>
            <w:r>
              <w:rPr>
                <w:rFonts w:hint="eastAsia" w:ascii="宋体" w:hAnsi="宋体" w:eastAsia="宋体" w:cs="宋体"/>
                <w:color w:val="auto"/>
                <w:szCs w:val="21"/>
                <w:highlight w:val="none"/>
              </w:rPr>
              <w:t>；</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6</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投标文件未附有招标人不能接受的条件的。</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356" w:hRule="atLeast"/>
        </w:trPr>
        <w:tc>
          <w:tcPr>
            <w:tcW w:w="4784"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结      论</w:t>
            </w: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color w:val="auto"/>
                <w:sz w:val="21"/>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color w:val="auto"/>
                <w:sz w:val="21"/>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color w:val="auto"/>
                <w:sz w:val="21"/>
                <w:szCs w:val="21"/>
                <w:highlight w:val="none"/>
              </w:rPr>
            </w:pP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21"/>
                <w:szCs w:val="21"/>
                <w:highlight w:val="none"/>
              </w:rPr>
            </w:pPr>
          </w:p>
        </w:tc>
        <w:tc>
          <w:tcPr>
            <w:tcW w:w="7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21"/>
                <w:szCs w:val="21"/>
                <w:highlight w:val="none"/>
              </w:rPr>
            </w:pPr>
          </w:p>
        </w:tc>
      </w:tr>
    </w:tbl>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备注：1、每一项目符合的打“○”，不符合的打“×”；出现一个“×”的结论为不通过。</w:t>
      </w:r>
    </w:p>
    <w:p>
      <w:pPr>
        <w:spacing w:line="360" w:lineRule="auto"/>
        <w:ind w:firstLine="630"/>
        <w:rPr>
          <w:rFonts w:hint="eastAsia" w:ascii="宋体" w:hAnsi="宋体" w:eastAsia="宋体" w:cs="宋体"/>
          <w:b/>
          <w:bCs/>
          <w:color w:val="auto"/>
          <w:highlight w:val="none"/>
        </w:rPr>
      </w:pPr>
      <w:bookmarkStart w:id="191" w:name="_Toc2981_WPSOffice_Level1"/>
      <w:bookmarkStart w:id="192" w:name="_Toc23841_WPSOffice_Level1"/>
      <w:bookmarkStart w:id="193" w:name="_Toc18088_WPSOffice_Level1"/>
      <w:r>
        <w:rPr>
          <w:rFonts w:hint="eastAsia" w:ascii="宋体" w:hAnsi="宋体" w:eastAsia="宋体" w:cs="宋体"/>
          <w:b/>
          <w:bCs/>
          <w:color w:val="auto"/>
          <w:highlight w:val="none"/>
        </w:rPr>
        <w:t>2、表中全部条件满足的结论为通过， 同意进入下一阶段评议。</w:t>
      </w:r>
      <w:bookmarkEnd w:id="191"/>
      <w:bookmarkEnd w:id="192"/>
      <w:bookmarkEnd w:id="193"/>
    </w:p>
    <w:p>
      <w:pPr>
        <w:jc w:val="left"/>
        <w:rPr>
          <w:rFonts w:hint="eastAsia" w:ascii="宋体" w:hAnsi="宋体" w:eastAsia="宋体" w:cs="宋体"/>
          <w:color w:val="auto"/>
          <w:highlight w:val="none"/>
        </w:rPr>
      </w:pPr>
    </w:p>
    <w:p>
      <w:pPr>
        <w:pStyle w:val="24"/>
        <w:rPr>
          <w:rFonts w:hint="eastAsia" w:ascii="宋体" w:hAnsi="宋体" w:eastAsia="宋体" w:cs="宋体"/>
          <w:color w:val="auto"/>
          <w:highlight w:val="none"/>
        </w:rPr>
      </w:pPr>
    </w:p>
    <w:p>
      <w:pPr>
        <w:pStyle w:val="28"/>
        <w:rPr>
          <w:rFonts w:hint="eastAsia" w:ascii="宋体" w:hAnsi="宋体" w:eastAsia="宋体" w:cs="宋体"/>
          <w:color w:val="auto"/>
          <w:highlight w:val="none"/>
        </w:rPr>
      </w:pPr>
    </w:p>
    <w:p>
      <w:pPr>
        <w:pStyle w:val="28"/>
        <w:rPr>
          <w:rFonts w:hint="eastAsia" w:ascii="宋体" w:hAnsi="宋体" w:eastAsia="宋体" w:cs="宋体"/>
          <w:color w:val="auto"/>
          <w:sz w:val="36"/>
          <w:szCs w:val="36"/>
          <w:highlight w:val="none"/>
        </w:rPr>
      </w:pPr>
      <w:r>
        <w:rPr>
          <w:rFonts w:hint="eastAsia" w:ascii="宋体" w:hAnsi="宋体" w:eastAsia="宋体" w:cs="宋体"/>
          <w:color w:val="auto"/>
          <w:highlight w:val="none"/>
        </w:rPr>
        <w:br w:type="page"/>
      </w:r>
      <w:bookmarkStart w:id="194" w:name="_Toc16973_WPSOffice_Level1"/>
      <w:bookmarkStart w:id="195" w:name="_Toc1778_WPSOffice_Level1"/>
      <w:bookmarkStart w:id="196" w:name="_Toc30424_WPSOffice_Level1"/>
      <w:r>
        <w:rPr>
          <w:rFonts w:hint="eastAsia" w:ascii="宋体" w:hAnsi="宋体" w:eastAsia="宋体" w:cs="宋体"/>
          <w:b/>
          <w:color w:val="auto"/>
          <w:highlight w:val="none"/>
        </w:rPr>
        <w:t>附表2：</w:t>
      </w:r>
      <w:bookmarkEnd w:id="194"/>
      <w:bookmarkEnd w:id="195"/>
      <w:bookmarkEnd w:id="196"/>
      <w:r>
        <w:rPr>
          <w:rFonts w:hint="eastAsia" w:ascii="宋体" w:hAnsi="宋体" w:eastAsia="宋体" w:cs="宋体"/>
          <w:b/>
          <w:color w:val="auto"/>
          <w:highlight w:val="none"/>
        </w:rPr>
        <w:t>技术评分表</w:t>
      </w:r>
    </w:p>
    <w:p>
      <w:pPr>
        <w:jc w:val="center"/>
        <w:rPr>
          <w:rFonts w:ascii="宋体" w:hAnsi="宋体" w:cs="宋体"/>
          <w:b/>
          <w:color w:val="auto"/>
          <w:sz w:val="28"/>
          <w:szCs w:val="28"/>
          <w:highlight w:val="none"/>
        </w:rPr>
      </w:pPr>
      <w:bookmarkStart w:id="197" w:name="_Toc15598_WPSOffice_Level1"/>
      <w:bookmarkStart w:id="198" w:name="_Toc23766_WPSOffice_Level1"/>
      <w:bookmarkStart w:id="199" w:name="_Toc13899_WPSOffice_Level1"/>
      <w:r>
        <w:rPr>
          <w:rFonts w:hint="eastAsia" w:ascii="宋体" w:hAnsi="宋体" w:cs="宋体"/>
          <w:b/>
          <w:color w:val="auto"/>
          <w:sz w:val="28"/>
          <w:szCs w:val="28"/>
          <w:highlight w:val="none"/>
        </w:rPr>
        <w:t>技术评分表</w:t>
      </w:r>
    </w:p>
    <w:tbl>
      <w:tblPr>
        <w:tblStyle w:val="5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453"/>
        <w:gridCol w:w="744"/>
        <w:gridCol w:w="7516"/>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243" w:type="pct"/>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397" w:type="pct"/>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评审项目</w:t>
            </w:r>
          </w:p>
        </w:tc>
        <w:tc>
          <w:tcPr>
            <w:tcW w:w="4018" w:type="pct"/>
            <w:tcBorders>
              <w:bottom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评分细则</w:t>
            </w:r>
          </w:p>
        </w:tc>
        <w:tc>
          <w:tcPr>
            <w:tcW w:w="340" w:type="pct"/>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3" w:hRule="atLeast"/>
        </w:trPr>
        <w:tc>
          <w:tcPr>
            <w:tcW w:w="243" w:type="pct"/>
            <w:vAlign w:val="center"/>
          </w:tcPr>
          <w:p>
            <w:pPr>
              <w:spacing w:line="360" w:lineRule="auto"/>
              <w:jc w:val="center"/>
              <w:rPr>
                <w:rFonts w:ascii="宋体" w:hAnsi="宋体" w:cs="宋体"/>
                <w:color w:val="auto"/>
                <w:szCs w:val="21"/>
                <w:highlight w:val="none"/>
              </w:rPr>
            </w:pPr>
            <w:r>
              <w:rPr>
                <w:rFonts w:hint="eastAsia" w:ascii="宋体" w:hAnsi="宋体"/>
                <w:color w:val="auto"/>
                <w:szCs w:val="21"/>
                <w:highlight w:val="none"/>
              </w:rPr>
              <w:t>1</w:t>
            </w:r>
          </w:p>
        </w:tc>
        <w:tc>
          <w:tcPr>
            <w:tcW w:w="397" w:type="pct"/>
            <w:vAlign w:val="center"/>
          </w:tcPr>
          <w:p>
            <w:pPr>
              <w:adjustRightInd w:val="0"/>
              <w:snapToGrid w:val="0"/>
              <w:spacing w:line="360" w:lineRule="auto"/>
              <w:jc w:val="center"/>
              <w:rPr>
                <w:rFonts w:ascii="宋体" w:hAnsi="宋体" w:cs="宋体"/>
                <w:color w:val="auto"/>
                <w:szCs w:val="21"/>
                <w:highlight w:val="none"/>
              </w:rPr>
            </w:pPr>
            <w:r>
              <w:rPr>
                <w:rFonts w:hint="eastAsia"/>
                <w:color w:val="auto"/>
                <w:szCs w:val="21"/>
                <w:highlight w:val="none"/>
              </w:rPr>
              <w:t>“▲”</w:t>
            </w:r>
            <w:r>
              <w:rPr>
                <w:rFonts w:hint="eastAsia" w:ascii="宋体" w:hAnsi="宋体" w:cs="宋体"/>
                <w:bCs/>
                <w:color w:val="auto"/>
                <w:szCs w:val="21"/>
                <w:highlight w:val="none"/>
              </w:rPr>
              <w:t>参数响应情况</w:t>
            </w:r>
          </w:p>
        </w:tc>
        <w:tc>
          <w:tcPr>
            <w:tcW w:w="4018" w:type="pct"/>
            <w:vAlign w:val="center"/>
          </w:tcPr>
          <w:p>
            <w:pPr>
              <w:widowControl/>
              <w:spacing w:line="360" w:lineRule="auto"/>
              <w:jc w:val="left"/>
              <w:rPr>
                <w:color w:val="auto"/>
                <w:szCs w:val="21"/>
                <w:highlight w:val="none"/>
              </w:rPr>
            </w:pPr>
            <w:r>
              <w:rPr>
                <w:rFonts w:hint="eastAsia"/>
                <w:color w:val="auto"/>
                <w:szCs w:val="21"/>
                <w:highlight w:val="none"/>
              </w:rPr>
              <w:t>带“▲”号技术参数优于或完全满足文件要求得12分，每负偏离一项扣1分，负偏离超过</w:t>
            </w:r>
            <w:r>
              <w:rPr>
                <w:rFonts w:hint="eastAsia"/>
                <w:color w:val="auto"/>
                <w:szCs w:val="21"/>
                <w:highlight w:val="none"/>
                <w:lang w:val="en-US" w:eastAsia="zh-CN"/>
              </w:rPr>
              <w:t>12</w:t>
            </w:r>
            <w:r>
              <w:rPr>
                <w:rFonts w:hint="eastAsia"/>
                <w:color w:val="auto"/>
                <w:szCs w:val="21"/>
                <w:highlight w:val="none"/>
              </w:rPr>
              <w:t>项不得分。各项参数如有要求提供证明材料的，投标人须提供相关证明材料，否则视为负偏离。</w:t>
            </w:r>
          </w:p>
          <w:p>
            <w:pPr>
              <w:widowControl/>
              <w:spacing w:line="360" w:lineRule="auto"/>
              <w:jc w:val="left"/>
              <w:rPr>
                <w:color w:val="auto"/>
                <w:szCs w:val="21"/>
                <w:highlight w:val="none"/>
              </w:rPr>
            </w:pPr>
            <w:r>
              <w:rPr>
                <w:rFonts w:hint="eastAsia"/>
                <w:color w:val="auto"/>
                <w:szCs w:val="21"/>
                <w:highlight w:val="none"/>
              </w:rPr>
              <w:t>注：投标人必须按照“主要设备性能参数”要求逐条响应，并按以下要求提供证明材料：①单项条款中有要求提供证明材料的需按要求提供证明材料。②未要求提供证明材料以“用户需求条款响应一览表”为准。</w:t>
            </w:r>
          </w:p>
        </w:tc>
        <w:tc>
          <w:tcPr>
            <w:tcW w:w="340" w:type="pct"/>
            <w:vAlign w:val="center"/>
          </w:tcPr>
          <w:p>
            <w:pPr>
              <w:widowControl/>
              <w:spacing w:line="360" w:lineRule="auto"/>
              <w:ind w:firstLine="210" w:firstLineChars="100"/>
              <w:jc w:val="left"/>
              <w:rPr>
                <w:color w:val="auto"/>
                <w:szCs w:val="21"/>
                <w:highlight w:val="none"/>
              </w:rPr>
            </w:pPr>
            <w:r>
              <w:rPr>
                <w:rFonts w:hint="eastAsia" w:ascii="宋体" w:hAnsi="宋体" w:cs="宋体"/>
                <w:bCs/>
                <w:color w:val="auto"/>
                <w:szCs w:val="21"/>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3" w:hRule="atLeast"/>
        </w:trPr>
        <w:tc>
          <w:tcPr>
            <w:tcW w:w="243" w:type="pct"/>
            <w:vAlign w:val="center"/>
          </w:tcPr>
          <w:p>
            <w:pPr>
              <w:spacing w:line="360" w:lineRule="auto"/>
              <w:jc w:val="center"/>
              <w:rPr>
                <w:rFonts w:ascii="宋体" w:hAnsi="宋体" w:cs="宋体"/>
                <w:color w:val="auto"/>
                <w:szCs w:val="21"/>
                <w:highlight w:val="none"/>
              </w:rPr>
            </w:pPr>
            <w:r>
              <w:rPr>
                <w:rFonts w:hint="eastAsia" w:ascii="宋体" w:hAnsi="宋体"/>
                <w:color w:val="auto"/>
                <w:szCs w:val="21"/>
                <w:highlight w:val="none"/>
              </w:rPr>
              <w:t>2</w:t>
            </w:r>
          </w:p>
        </w:tc>
        <w:tc>
          <w:tcPr>
            <w:tcW w:w="397" w:type="pct"/>
            <w:vAlign w:val="center"/>
          </w:tcPr>
          <w:p>
            <w:pPr>
              <w:adjustRightInd w:val="0"/>
              <w:snapToGrid w:val="0"/>
              <w:spacing w:line="360" w:lineRule="auto"/>
              <w:jc w:val="center"/>
              <w:rPr>
                <w:rFonts w:ascii="宋体" w:hAnsi="宋体" w:cs="宋体"/>
                <w:color w:val="auto"/>
                <w:szCs w:val="21"/>
                <w:highlight w:val="none"/>
              </w:rPr>
            </w:pPr>
            <w:r>
              <w:rPr>
                <w:rFonts w:hint="eastAsia"/>
                <w:color w:val="auto"/>
                <w:szCs w:val="21"/>
                <w:highlight w:val="none"/>
              </w:rPr>
              <w:t>一般</w:t>
            </w:r>
            <w:r>
              <w:rPr>
                <w:rFonts w:hint="eastAsia" w:ascii="宋体" w:hAnsi="宋体" w:cs="宋体"/>
                <w:bCs/>
                <w:color w:val="auto"/>
                <w:szCs w:val="21"/>
                <w:highlight w:val="none"/>
              </w:rPr>
              <w:t>参数响应情况</w:t>
            </w:r>
          </w:p>
        </w:tc>
        <w:tc>
          <w:tcPr>
            <w:tcW w:w="4018" w:type="pct"/>
            <w:vAlign w:val="center"/>
          </w:tcPr>
          <w:p>
            <w:pPr>
              <w:widowControl/>
              <w:spacing w:line="360" w:lineRule="auto"/>
              <w:jc w:val="left"/>
              <w:rPr>
                <w:color w:val="auto"/>
                <w:szCs w:val="21"/>
                <w:highlight w:val="none"/>
              </w:rPr>
            </w:pPr>
            <w:r>
              <w:rPr>
                <w:rFonts w:hint="eastAsia"/>
                <w:color w:val="auto"/>
                <w:szCs w:val="21"/>
                <w:highlight w:val="none"/>
              </w:rPr>
              <w:t>根据投标人对招标文件“第三章用户需求书”一般参数（非“▲”和非“</w:t>
            </w:r>
            <w:r>
              <w:rPr>
                <w:rFonts w:hint="eastAsia" w:ascii="宋体" w:hAnsi="宋体"/>
                <w:color w:val="auto"/>
                <w:szCs w:val="21"/>
                <w:highlight w:val="none"/>
              </w:rPr>
              <w:t>★</w:t>
            </w:r>
            <w:r>
              <w:rPr>
                <w:rFonts w:hint="eastAsia"/>
                <w:color w:val="auto"/>
                <w:szCs w:val="21"/>
                <w:highlight w:val="none"/>
              </w:rPr>
              <w:t>”参数）响应程度进行评审：</w:t>
            </w:r>
          </w:p>
          <w:p>
            <w:pPr>
              <w:widowControl/>
              <w:spacing w:line="360" w:lineRule="auto"/>
              <w:jc w:val="left"/>
              <w:rPr>
                <w:color w:val="auto"/>
                <w:szCs w:val="21"/>
                <w:highlight w:val="none"/>
              </w:rPr>
            </w:pPr>
            <w:r>
              <w:rPr>
                <w:rFonts w:hint="eastAsia"/>
                <w:color w:val="auto"/>
                <w:szCs w:val="21"/>
                <w:highlight w:val="none"/>
              </w:rPr>
              <w:t>投标人完全满足“第三章用户需求书”一般参数要求的，得10分。</w:t>
            </w:r>
          </w:p>
          <w:p>
            <w:pPr>
              <w:widowControl/>
              <w:spacing w:line="360" w:lineRule="auto"/>
              <w:jc w:val="left"/>
              <w:rPr>
                <w:color w:val="auto"/>
                <w:szCs w:val="21"/>
                <w:highlight w:val="none"/>
              </w:rPr>
            </w:pPr>
            <w:r>
              <w:rPr>
                <w:rFonts w:hint="eastAsia"/>
                <w:color w:val="auto"/>
                <w:szCs w:val="21"/>
                <w:highlight w:val="none"/>
              </w:rPr>
              <w:t>每有一项一般参数不响应或负偏离的扣0.5分，负偏离超过</w:t>
            </w:r>
            <w:r>
              <w:rPr>
                <w:rFonts w:hint="eastAsia"/>
                <w:color w:val="auto"/>
                <w:szCs w:val="21"/>
                <w:highlight w:val="none"/>
                <w:lang w:val="en-US" w:eastAsia="zh-CN"/>
              </w:rPr>
              <w:t>20</w:t>
            </w:r>
            <w:r>
              <w:rPr>
                <w:rFonts w:hint="eastAsia"/>
                <w:color w:val="auto"/>
                <w:szCs w:val="21"/>
                <w:highlight w:val="none"/>
              </w:rPr>
              <w:t>项不得分。。</w:t>
            </w:r>
          </w:p>
          <w:p>
            <w:pPr>
              <w:widowControl/>
              <w:spacing w:line="360" w:lineRule="auto"/>
              <w:jc w:val="left"/>
              <w:rPr>
                <w:rFonts w:ascii="宋体" w:hAnsi="宋体" w:cs="宋体"/>
                <w:color w:val="auto"/>
                <w:kern w:val="0"/>
                <w:szCs w:val="21"/>
                <w:highlight w:val="none"/>
                <w:lang w:bidi="ar"/>
              </w:rPr>
            </w:pPr>
            <w:r>
              <w:rPr>
                <w:rFonts w:hint="eastAsia"/>
                <w:color w:val="auto"/>
                <w:szCs w:val="21"/>
                <w:highlight w:val="none"/>
              </w:rPr>
              <w:t>注：投标人需按用户需求书中要求提供相应的证明文件。不提供或证明无效不得分。</w:t>
            </w:r>
          </w:p>
        </w:tc>
        <w:tc>
          <w:tcPr>
            <w:tcW w:w="340" w:type="pct"/>
            <w:vAlign w:val="center"/>
          </w:tcPr>
          <w:p>
            <w:pPr>
              <w:spacing w:line="360" w:lineRule="auto"/>
              <w:jc w:val="center"/>
              <w:rPr>
                <w:rFonts w:ascii="宋体" w:hAnsi="宋体" w:cs="宋体"/>
                <w:color w:val="auto"/>
                <w:szCs w:val="21"/>
                <w:highlight w:val="none"/>
              </w:rPr>
            </w:pPr>
            <w:r>
              <w:rPr>
                <w:rFonts w:hint="eastAsia" w:ascii="宋体" w:hAnsi="宋体" w:cs="宋体"/>
                <w:bCs/>
                <w:color w:val="auto"/>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3" w:hRule="atLeast"/>
        </w:trPr>
        <w:tc>
          <w:tcPr>
            <w:tcW w:w="243" w:type="pct"/>
            <w:vAlign w:val="center"/>
          </w:tcPr>
          <w:p>
            <w:pPr>
              <w:spacing w:line="360"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3</w:t>
            </w:r>
          </w:p>
        </w:tc>
        <w:tc>
          <w:tcPr>
            <w:tcW w:w="397" w:type="pct"/>
            <w:vAlign w:val="center"/>
          </w:tcPr>
          <w:p>
            <w:pPr>
              <w:adjustRightInd w:val="0"/>
              <w:snapToGrid w:val="0"/>
              <w:spacing w:line="360" w:lineRule="auto"/>
              <w:jc w:val="center"/>
              <w:rPr>
                <w:rFonts w:hint="default" w:eastAsia="宋体"/>
                <w:color w:val="auto"/>
                <w:szCs w:val="21"/>
                <w:highlight w:val="none"/>
                <w:lang w:val="en-US" w:eastAsia="zh-CN"/>
              </w:rPr>
            </w:pPr>
            <w:r>
              <w:rPr>
                <w:rFonts w:hint="eastAsia" w:ascii="宋体" w:hAnsi="宋体" w:cs="宋体"/>
                <w:color w:val="auto"/>
                <w:szCs w:val="21"/>
                <w:highlight w:val="none"/>
                <w:lang w:val="en-US" w:eastAsia="zh-CN"/>
              </w:rPr>
              <w:t>设备先进性</w:t>
            </w:r>
          </w:p>
        </w:tc>
        <w:tc>
          <w:tcPr>
            <w:tcW w:w="4018" w:type="pct"/>
            <w:vAlign w:val="center"/>
          </w:tcPr>
          <w:p>
            <w:pPr>
              <w:widowControl/>
              <w:spacing w:line="360" w:lineRule="auto"/>
              <w:jc w:val="left"/>
              <w:rPr>
                <w:rFonts w:hint="eastAsia" w:ascii="Times New Roman" w:hAnsi="Times New Roman" w:cs="Times New Roman"/>
                <w:color w:val="auto"/>
                <w:szCs w:val="21"/>
                <w:highlight w:val="none"/>
              </w:rPr>
            </w:pPr>
            <w:r>
              <w:rPr>
                <w:rFonts w:hint="eastAsia" w:ascii="Times New Roman" w:hAnsi="Times New Roman" w:cs="Times New Roman"/>
                <w:color w:val="auto"/>
                <w:szCs w:val="21"/>
                <w:highlight w:val="none"/>
              </w:rPr>
              <w:t>LED显示屏像素间距≤1.27mm,得5分</w:t>
            </w:r>
            <w:r>
              <w:rPr>
                <w:rFonts w:hint="eastAsia" w:cs="Times New Roman"/>
                <w:color w:val="auto"/>
                <w:szCs w:val="21"/>
                <w:highlight w:val="none"/>
                <w:lang w:eastAsia="zh-CN"/>
              </w:rPr>
              <w:t>；</w:t>
            </w:r>
          </w:p>
          <w:p>
            <w:pPr>
              <w:widowControl/>
              <w:spacing w:line="360" w:lineRule="auto"/>
              <w:jc w:val="left"/>
              <w:rPr>
                <w:rFonts w:hint="eastAsia"/>
                <w:color w:val="auto"/>
                <w:szCs w:val="21"/>
                <w:highlight w:val="none"/>
              </w:rPr>
            </w:pPr>
            <w:r>
              <w:rPr>
                <w:rFonts w:hint="eastAsia" w:hAnsi="Times New Roman" w:cs="Times New Roman"/>
                <w:color w:val="auto"/>
                <w:szCs w:val="21"/>
                <w:highlight w:val="none"/>
                <w:lang w:val="en-US" w:eastAsia="zh-CN"/>
              </w:rPr>
              <w:t>注：投标人需提供拟投设备的相关佐证材料</w:t>
            </w:r>
            <w:r>
              <w:rPr>
                <w:rFonts w:hint="eastAsia" w:cs="Times New Roman"/>
                <w:color w:val="auto"/>
                <w:szCs w:val="21"/>
                <w:highlight w:val="none"/>
                <w:lang w:val="en-US" w:eastAsia="zh-CN"/>
              </w:rPr>
              <w:t>并加盖制造商公章，</w:t>
            </w:r>
            <w:r>
              <w:rPr>
                <w:rFonts w:hint="eastAsia"/>
                <w:color w:val="auto"/>
                <w:szCs w:val="21"/>
                <w:highlight w:val="none"/>
              </w:rPr>
              <w:t>不提供或证明无效不得分</w:t>
            </w:r>
            <w:r>
              <w:rPr>
                <w:rFonts w:hint="eastAsia" w:hAnsi="Times New Roman" w:cs="Times New Roman"/>
                <w:color w:val="auto"/>
                <w:szCs w:val="21"/>
                <w:highlight w:val="none"/>
                <w:lang w:val="en-US" w:eastAsia="zh-CN"/>
              </w:rPr>
              <w:t>。</w:t>
            </w:r>
          </w:p>
        </w:tc>
        <w:tc>
          <w:tcPr>
            <w:tcW w:w="340" w:type="pct"/>
            <w:vAlign w:val="center"/>
          </w:tcPr>
          <w:p>
            <w:pPr>
              <w:adjustRightInd w:val="0"/>
              <w:snapToGrid w:val="0"/>
              <w:spacing w:line="360" w:lineRule="auto"/>
              <w:jc w:val="center"/>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3" w:hRule="atLeast"/>
        </w:trPr>
        <w:tc>
          <w:tcPr>
            <w:tcW w:w="243" w:type="pct"/>
            <w:vAlign w:val="center"/>
          </w:tcPr>
          <w:p>
            <w:pPr>
              <w:spacing w:line="360" w:lineRule="auto"/>
              <w:jc w:val="center"/>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4</w:t>
            </w:r>
          </w:p>
        </w:tc>
        <w:tc>
          <w:tcPr>
            <w:tcW w:w="397" w:type="pct"/>
            <w:vAlign w:val="center"/>
          </w:tcPr>
          <w:p>
            <w:pPr>
              <w:adjustRightInd w:val="0"/>
              <w:snapToGrid w:val="0"/>
              <w:spacing w:line="360" w:lineRule="auto"/>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设备可靠性</w:t>
            </w:r>
          </w:p>
        </w:tc>
        <w:tc>
          <w:tcPr>
            <w:tcW w:w="4018" w:type="pct"/>
            <w:vAlign w:val="center"/>
          </w:tcPr>
          <w:p>
            <w:pPr>
              <w:pStyle w:val="259"/>
              <w:widowControl w:val="0"/>
              <w:overflowPunct/>
              <w:autoSpaceDE/>
              <w:autoSpaceDN/>
              <w:adjustRightInd/>
              <w:spacing w:before="0" w:after="0" w:line="360" w:lineRule="auto"/>
              <w:jc w:val="both"/>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根据投标人所提供的投标产品合理性、使用寿命等进行综合评审。</w:t>
            </w:r>
          </w:p>
          <w:p>
            <w:pPr>
              <w:pStyle w:val="259"/>
              <w:widowControl w:val="0"/>
              <w:overflowPunct/>
              <w:autoSpaceDE/>
              <w:autoSpaceDN/>
              <w:adjustRightInd/>
              <w:spacing w:before="0" w:after="0" w:line="360" w:lineRule="auto"/>
              <w:jc w:val="both"/>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1、投标产品平均无故障时间</w:t>
            </w:r>
            <w:r>
              <w:rPr>
                <w:rFonts w:hint="eastAsia" w:ascii="宋体" w:hAnsi="宋体" w:eastAsia="宋体" w:cs="宋体"/>
                <w:color w:val="auto"/>
                <w:kern w:val="2"/>
                <w:sz w:val="21"/>
                <w:szCs w:val="21"/>
                <w:highlight w:val="none"/>
              </w:rPr>
              <w:t>MTBF大于等于180000小时,</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p>
            <w:pPr>
              <w:pStyle w:val="259"/>
              <w:widowControl w:val="0"/>
              <w:overflowPunct/>
              <w:autoSpaceDE/>
              <w:autoSpaceDN/>
              <w:adjustRightInd/>
              <w:spacing w:before="0" w:after="0" w:line="360" w:lineRule="auto"/>
              <w:jc w:val="both"/>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2、投标产品平均无故障时间</w:t>
            </w:r>
            <w:r>
              <w:rPr>
                <w:rFonts w:hint="eastAsia" w:ascii="宋体" w:hAnsi="宋体" w:eastAsia="宋体" w:cs="宋体"/>
                <w:color w:val="auto"/>
                <w:kern w:val="2"/>
                <w:sz w:val="21"/>
                <w:szCs w:val="21"/>
                <w:highlight w:val="none"/>
              </w:rPr>
              <w:t>MTBF小于180000小时，大于等于150000小时</w:t>
            </w:r>
            <w:r>
              <w:rPr>
                <w:rFonts w:hint="eastAsia" w:ascii="宋体" w:hAnsi="宋体" w:eastAsia="宋体" w:cs="宋体"/>
                <w:color w:val="auto"/>
                <w:sz w:val="21"/>
                <w:szCs w:val="21"/>
                <w:highlight w:val="none"/>
              </w:rPr>
              <w:t>，得2分；</w:t>
            </w:r>
          </w:p>
          <w:p>
            <w:pPr>
              <w:pStyle w:val="259"/>
              <w:widowControl w:val="0"/>
              <w:overflowPunct/>
              <w:autoSpaceDE/>
              <w:autoSpaceDN/>
              <w:adjustRightInd/>
              <w:spacing w:before="0" w:after="0" w:line="360" w:lineRule="auto"/>
              <w:jc w:val="both"/>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3、投标产品平均无故障时间</w:t>
            </w:r>
            <w:r>
              <w:rPr>
                <w:rFonts w:hint="eastAsia" w:ascii="宋体" w:hAnsi="宋体" w:eastAsia="宋体" w:cs="宋体"/>
                <w:color w:val="auto"/>
                <w:kern w:val="2"/>
                <w:sz w:val="21"/>
                <w:szCs w:val="21"/>
                <w:highlight w:val="none"/>
              </w:rPr>
              <w:t>MTBF小于150000小时，大于等于130000小时</w:t>
            </w:r>
            <w:r>
              <w:rPr>
                <w:rFonts w:hint="eastAsia" w:ascii="宋体" w:hAnsi="宋体" w:eastAsia="宋体" w:cs="宋体"/>
                <w:color w:val="auto"/>
                <w:sz w:val="21"/>
                <w:szCs w:val="21"/>
                <w:highlight w:val="none"/>
              </w:rPr>
              <w:t>，得1分；</w:t>
            </w:r>
          </w:p>
          <w:p>
            <w:pPr>
              <w:pStyle w:val="259"/>
              <w:widowControl w:val="0"/>
              <w:overflowPunct/>
              <w:autoSpaceDE/>
              <w:autoSpaceDN/>
              <w:adjustRightInd/>
              <w:spacing w:before="0" w:after="0" w:line="360" w:lineRule="auto"/>
              <w:jc w:val="both"/>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4、投标产品平均无故障时间</w:t>
            </w:r>
            <w:r>
              <w:rPr>
                <w:rFonts w:hint="eastAsia" w:ascii="宋体" w:hAnsi="宋体" w:eastAsia="宋体" w:cs="宋体"/>
                <w:color w:val="auto"/>
                <w:kern w:val="2"/>
                <w:sz w:val="21"/>
                <w:szCs w:val="21"/>
                <w:highlight w:val="none"/>
              </w:rPr>
              <w:t>MTBF小于130000小时</w:t>
            </w:r>
            <w:r>
              <w:rPr>
                <w:rFonts w:hint="eastAsia" w:ascii="宋体" w:hAnsi="宋体" w:eastAsia="宋体" w:cs="宋体"/>
                <w:color w:val="auto"/>
                <w:sz w:val="21"/>
                <w:szCs w:val="21"/>
                <w:highlight w:val="none"/>
              </w:rPr>
              <w:t>，得0分；</w:t>
            </w:r>
          </w:p>
          <w:p>
            <w:pPr>
              <w:widowControl/>
              <w:spacing w:line="360" w:lineRule="auto"/>
              <w:jc w:val="left"/>
              <w:rPr>
                <w:rFonts w:hint="eastAsia" w:ascii="宋体" w:hAnsi="宋体" w:cs="宋体"/>
                <w:color w:val="auto"/>
                <w:szCs w:val="21"/>
                <w:highlight w:val="none"/>
                <w:lang w:val="en-US" w:eastAsia="zh-CN"/>
              </w:rPr>
            </w:pPr>
            <w:r>
              <w:rPr>
                <w:rFonts w:hint="eastAsia" w:hAnsi="宋体" w:cs="宋体"/>
                <w:color w:val="auto"/>
                <w:szCs w:val="21"/>
                <w:highlight w:val="none"/>
                <w:lang w:val="en-US" w:eastAsia="zh-CN"/>
              </w:rPr>
              <w:t>注：</w:t>
            </w:r>
            <w:r>
              <w:rPr>
                <w:rFonts w:hint="eastAsia" w:ascii="宋体" w:hAnsi="宋体" w:cs="宋体"/>
                <w:color w:val="auto"/>
                <w:szCs w:val="21"/>
                <w:highlight w:val="none"/>
              </w:rPr>
              <w:t>须提供具备CMA、CNAS、ILAC-MRA标识的检测机构出具的第三方检测报告加盖</w:t>
            </w:r>
            <w:r>
              <w:rPr>
                <w:rFonts w:hint="eastAsia" w:ascii="宋体" w:hAnsi="宋体" w:cs="宋体"/>
                <w:color w:val="auto"/>
                <w:szCs w:val="21"/>
                <w:highlight w:val="none"/>
                <w:lang w:val="en-US" w:eastAsia="zh-CN"/>
              </w:rPr>
              <w:t>制造商</w:t>
            </w:r>
            <w:r>
              <w:rPr>
                <w:rFonts w:hint="eastAsia" w:ascii="宋体" w:hAnsi="宋体" w:cs="宋体"/>
                <w:color w:val="auto"/>
                <w:szCs w:val="21"/>
                <w:highlight w:val="none"/>
              </w:rPr>
              <w:t>公章。</w:t>
            </w:r>
          </w:p>
        </w:tc>
        <w:tc>
          <w:tcPr>
            <w:tcW w:w="340" w:type="pct"/>
            <w:vAlign w:val="center"/>
          </w:tcPr>
          <w:p>
            <w:pPr>
              <w:adjustRightInd w:val="0"/>
              <w:snapToGrid w:val="0"/>
              <w:spacing w:line="360" w:lineRule="auto"/>
              <w:jc w:val="center"/>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3" w:hRule="atLeast"/>
        </w:trPr>
        <w:tc>
          <w:tcPr>
            <w:tcW w:w="243" w:type="pct"/>
            <w:vAlign w:val="center"/>
          </w:tcPr>
          <w:p>
            <w:pPr>
              <w:widowControl/>
              <w:adjustRightInd w:val="0"/>
              <w:snapToGrid w:val="0"/>
              <w:spacing w:after="120" w:line="360" w:lineRule="auto"/>
              <w:jc w:val="center"/>
              <w:rPr>
                <w:rFonts w:hint="eastAsia" w:ascii="宋体" w:hAnsi="宋体" w:eastAsia="宋体"/>
                <w:color w:val="auto"/>
                <w:szCs w:val="21"/>
                <w:highlight w:val="none"/>
                <w:lang w:val="en-US" w:eastAsia="zh-CN"/>
              </w:rPr>
            </w:pPr>
            <w:r>
              <w:rPr>
                <w:rFonts w:hint="eastAsia" w:ascii="宋体" w:hAnsi="宋体" w:cs="宋体"/>
                <w:color w:val="auto"/>
                <w:szCs w:val="21"/>
                <w:highlight w:val="none"/>
                <w:lang w:val="en-US" w:eastAsia="zh-CN"/>
              </w:rPr>
              <w:t>5</w:t>
            </w:r>
          </w:p>
        </w:tc>
        <w:tc>
          <w:tcPr>
            <w:tcW w:w="397" w:type="pct"/>
            <w:vAlign w:val="center"/>
          </w:tcPr>
          <w:p>
            <w:pPr>
              <w:spacing w:line="360" w:lineRule="auto"/>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rPr>
              <w:t>施工方案</w:t>
            </w:r>
          </w:p>
        </w:tc>
        <w:tc>
          <w:tcPr>
            <w:tcW w:w="4018" w:type="pct"/>
            <w:vAlign w:val="center"/>
          </w:tcPr>
          <w:p>
            <w:pPr>
              <w:spacing w:line="360" w:lineRule="auto"/>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对项目理解深入透彻，对建设重点难点把握充分，对整体集成应用充分理解，方案设计考虑周全合理，集成方案优秀，提供针对性设计图纸（系统拓扑图、效果图），阐述框架清晰分明，完全满足或有优于项目要求的；得5分。</w:t>
            </w:r>
          </w:p>
          <w:p>
            <w:pPr>
              <w:spacing w:line="360" w:lineRule="auto"/>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对项目基本理解，对建设重点难点有基本把握，对整体集成应用基本理解，方案设计考虑基本周全合理，集成方案良好，提供设计图纸（系统拓扑图、效果图），阐述框架基本清晰，基本满足项目要求的；得</w:t>
            </w:r>
            <w:r>
              <w:rPr>
                <w:rFonts w:hint="eastAsia" w:ascii="宋体" w:hAnsi="宋体" w:cs="宋体"/>
                <w:color w:val="auto"/>
                <w:kern w:val="0"/>
                <w:szCs w:val="21"/>
                <w:highlight w:val="none"/>
                <w:lang w:eastAsia="zh-CN" w:bidi="ar"/>
              </w:rPr>
              <w:t>2</w:t>
            </w:r>
            <w:r>
              <w:rPr>
                <w:rFonts w:hint="eastAsia" w:ascii="宋体" w:hAnsi="宋体" w:cs="宋体"/>
                <w:color w:val="auto"/>
                <w:kern w:val="0"/>
                <w:szCs w:val="21"/>
                <w:highlight w:val="none"/>
                <w:lang w:bidi="ar"/>
              </w:rPr>
              <w:t>分。</w:t>
            </w:r>
          </w:p>
          <w:p>
            <w:pPr>
              <w:spacing w:line="360" w:lineRule="auto"/>
              <w:rPr>
                <w:rFonts w:hint="eastAsia" w:ascii="宋体" w:hAnsi="宋体" w:cs="宋体"/>
                <w:color w:val="auto"/>
                <w:szCs w:val="21"/>
                <w:highlight w:val="none"/>
              </w:rPr>
            </w:pPr>
            <w:r>
              <w:rPr>
                <w:rFonts w:hint="eastAsia" w:ascii="宋体" w:hAnsi="宋体" w:cs="宋体"/>
                <w:color w:val="auto"/>
                <w:kern w:val="0"/>
                <w:szCs w:val="21"/>
                <w:highlight w:val="none"/>
                <w:lang w:bidi="ar"/>
              </w:rPr>
              <w:t>不满足上述条件者，得0分</w:t>
            </w:r>
          </w:p>
        </w:tc>
        <w:tc>
          <w:tcPr>
            <w:tcW w:w="340" w:type="pct"/>
            <w:vAlign w:val="center"/>
          </w:tcPr>
          <w:p>
            <w:pPr>
              <w:widowControl/>
              <w:snapToGrid w:val="0"/>
              <w:spacing w:line="360" w:lineRule="auto"/>
              <w:jc w:val="center"/>
              <w:rPr>
                <w:rFonts w:hint="eastAsia" w:ascii="宋体" w:hAnsi="宋体" w:cs="宋体"/>
                <w:bCs/>
                <w:color w:val="auto"/>
                <w:szCs w:val="21"/>
                <w:highlight w:val="none"/>
                <w:lang w:val="en-US" w:eastAsia="zh-CN"/>
              </w:rPr>
            </w:pPr>
            <w:r>
              <w:rPr>
                <w:rFonts w:hint="eastAsia" w:ascii="宋体" w:hAnsi="宋体" w:cs="宋体"/>
                <w:color w:val="auto"/>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3" w:hRule="atLeast"/>
        </w:trPr>
        <w:tc>
          <w:tcPr>
            <w:tcW w:w="243" w:type="pct"/>
            <w:vAlign w:val="center"/>
          </w:tcPr>
          <w:p>
            <w:pPr>
              <w:spacing w:line="360" w:lineRule="auto"/>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rPr>
              <w:t>6</w:t>
            </w:r>
          </w:p>
        </w:tc>
        <w:tc>
          <w:tcPr>
            <w:tcW w:w="397" w:type="pct"/>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项目实施方案</w:t>
            </w:r>
          </w:p>
        </w:tc>
        <w:tc>
          <w:tcPr>
            <w:tcW w:w="4018" w:type="pct"/>
            <w:vAlign w:val="center"/>
          </w:tcPr>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1.有完善的项目管理体系和保障措施，提供针对性实施图纸（安装大样图、综合布线图、机柜布置图），有明确进度计划，如</w:t>
            </w:r>
            <w:r>
              <w:rPr>
                <w:rFonts w:hint="eastAsia" w:ascii="宋体" w:hAnsi="宋体" w:cs="宋体"/>
                <w:color w:val="auto"/>
                <w:szCs w:val="21"/>
                <w:highlight w:val="none"/>
                <w:lang w:val="en-US" w:eastAsia="zh-CN"/>
              </w:rPr>
              <w:t>总体工期、</w:t>
            </w:r>
            <w:r>
              <w:rPr>
                <w:rFonts w:hint="eastAsia" w:ascii="宋体" w:hAnsi="宋体" w:cs="宋体"/>
                <w:color w:val="auto"/>
                <w:szCs w:val="21"/>
                <w:highlight w:val="none"/>
              </w:rPr>
              <w:t>到货时间、安装及调试节点，计划逻辑性强，完全满足或优于项目要求；得3分。</w:t>
            </w: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2.有基本的项目管理体系和保障措施，提供实施图纸（安装大样图、综合布线图、机柜布置图），提供进度计划，如</w:t>
            </w:r>
            <w:r>
              <w:rPr>
                <w:rFonts w:hint="eastAsia" w:ascii="宋体" w:hAnsi="宋体" w:cs="宋体"/>
                <w:color w:val="auto"/>
                <w:szCs w:val="21"/>
                <w:highlight w:val="none"/>
                <w:lang w:val="en-US" w:eastAsia="zh-CN"/>
              </w:rPr>
              <w:t>总体工期、</w:t>
            </w:r>
            <w:r>
              <w:rPr>
                <w:rFonts w:hint="eastAsia" w:ascii="宋体" w:hAnsi="宋体" w:cs="宋体"/>
                <w:color w:val="auto"/>
                <w:szCs w:val="21"/>
                <w:highlight w:val="none"/>
              </w:rPr>
              <w:t>到货时间、安装及调试节点，计划逻辑性一般，基本满足项目要求；得2分。</w:t>
            </w:r>
          </w:p>
          <w:p>
            <w:pPr>
              <w:spacing w:line="360" w:lineRule="auto"/>
              <w:jc w:val="left"/>
              <w:rPr>
                <w:rFonts w:hint="eastAsia" w:ascii="宋体" w:hAnsi="宋体" w:cs="宋体"/>
                <w:color w:val="auto"/>
                <w:kern w:val="0"/>
                <w:szCs w:val="21"/>
                <w:highlight w:val="none"/>
                <w:lang w:bidi="ar"/>
              </w:rPr>
            </w:pPr>
            <w:r>
              <w:rPr>
                <w:rFonts w:hint="eastAsia" w:ascii="宋体" w:hAnsi="宋体" w:cs="宋体"/>
                <w:color w:val="auto"/>
                <w:szCs w:val="21"/>
                <w:highlight w:val="none"/>
              </w:rPr>
              <w:t>3.不满足上述条件者，得1分</w:t>
            </w:r>
          </w:p>
        </w:tc>
        <w:tc>
          <w:tcPr>
            <w:tcW w:w="340" w:type="pct"/>
            <w:vAlign w:val="center"/>
          </w:tcPr>
          <w:p>
            <w:pPr>
              <w:adjustRightInd w:val="0"/>
              <w:snapToGrid w:val="0"/>
              <w:spacing w:line="360" w:lineRule="auto"/>
              <w:jc w:val="center"/>
              <w:rPr>
                <w:rFonts w:hint="eastAsia" w:ascii="宋体" w:hAnsi="宋体" w:cs="宋体"/>
                <w:color w:val="auto"/>
                <w:szCs w:val="21"/>
                <w:highlight w:val="none"/>
              </w:rPr>
            </w:pPr>
            <w:r>
              <w:rPr>
                <w:rFonts w:hint="eastAsia" w:ascii="宋体" w:hAnsi="宋体" w:cs="宋体"/>
                <w:bCs/>
                <w:color w:val="auto"/>
                <w:szCs w:val="21"/>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3" w:hRule="atLeast"/>
        </w:trPr>
        <w:tc>
          <w:tcPr>
            <w:tcW w:w="243" w:type="pct"/>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397" w:type="pct"/>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售后服务及质量保证方案</w:t>
            </w:r>
          </w:p>
        </w:tc>
        <w:tc>
          <w:tcPr>
            <w:tcW w:w="4018" w:type="pct"/>
            <w:vAlign w:val="center"/>
          </w:tcPr>
          <w:p>
            <w:pPr>
              <w:pStyle w:val="234"/>
              <w:spacing w:line="360" w:lineRule="auto"/>
              <w:rPr>
                <w:rFonts w:ascii="宋体" w:hAnsi="宋体" w:cs="宋体"/>
                <w:color w:val="auto"/>
                <w:szCs w:val="21"/>
                <w:highlight w:val="none"/>
              </w:rPr>
            </w:pPr>
            <w:r>
              <w:rPr>
                <w:rFonts w:hint="eastAsia" w:ascii="宋体" w:hAnsi="宋体" w:cs="宋体"/>
                <w:color w:val="auto"/>
                <w:szCs w:val="21"/>
                <w:highlight w:val="none"/>
              </w:rPr>
              <w:t>根据投标人提供的售后服务及质量保证方案进行综合评审：</w:t>
            </w:r>
          </w:p>
          <w:p>
            <w:pPr>
              <w:pStyle w:val="234"/>
              <w:spacing w:line="360" w:lineRule="auto"/>
              <w:rPr>
                <w:rFonts w:ascii="宋体" w:hAnsi="宋体" w:cs="宋体"/>
                <w:color w:val="auto"/>
                <w:szCs w:val="21"/>
                <w:highlight w:val="none"/>
              </w:rPr>
            </w:pPr>
            <w:r>
              <w:rPr>
                <w:rFonts w:hint="eastAsia" w:ascii="宋体" w:hAnsi="宋体" w:cs="宋体"/>
                <w:color w:val="auto"/>
                <w:szCs w:val="21"/>
                <w:highlight w:val="none"/>
              </w:rPr>
              <w:t>1.方案阐述完整，有具体的质量保证措施，针对所投设备有详细培训计划（包括师资力量、培训内容等），承诺对设备故障处理响应时间快，得2分；</w:t>
            </w:r>
          </w:p>
          <w:p>
            <w:pPr>
              <w:pStyle w:val="234"/>
              <w:spacing w:line="360" w:lineRule="auto"/>
              <w:rPr>
                <w:rFonts w:ascii="宋体" w:hAnsi="宋体" w:cs="宋体"/>
                <w:color w:val="auto"/>
                <w:szCs w:val="21"/>
                <w:highlight w:val="none"/>
              </w:rPr>
            </w:pPr>
            <w:r>
              <w:rPr>
                <w:rFonts w:hint="eastAsia" w:ascii="宋体" w:hAnsi="宋体" w:cs="宋体"/>
                <w:color w:val="auto"/>
                <w:szCs w:val="21"/>
                <w:highlight w:val="none"/>
              </w:rPr>
              <w:t>2.方案阐述较完整，有较具体的质量保证措施，对所投设备可提供较详细的培训计划（包括师资力量、培训内容等），承诺对设备故障处理响应时间较快，得1分；</w:t>
            </w:r>
          </w:p>
          <w:p>
            <w:pPr>
              <w:pStyle w:val="234"/>
              <w:spacing w:line="360" w:lineRule="auto"/>
              <w:rPr>
                <w:rFonts w:hint="eastAsia" w:ascii="宋体" w:hAnsi="宋体" w:cs="宋体"/>
                <w:color w:val="auto"/>
                <w:szCs w:val="21"/>
                <w:highlight w:val="none"/>
              </w:rPr>
            </w:pPr>
            <w:r>
              <w:rPr>
                <w:rFonts w:hint="eastAsia" w:ascii="宋体" w:hAnsi="宋体" w:cs="宋体"/>
                <w:color w:val="auto"/>
                <w:szCs w:val="21"/>
                <w:highlight w:val="none"/>
              </w:rPr>
              <w:t>3.方案阐述简单，有质量保证措施，对所投设备提供培训计划（包括师资力量、培训内容等），承诺对设备故障处理响应时间一般，得0分；</w:t>
            </w:r>
          </w:p>
        </w:tc>
        <w:tc>
          <w:tcPr>
            <w:tcW w:w="340" w:type="pct"/>
            <w:vAlign w:val="center"/>
          </w:tcPr>
          <w:p>
            <w:pPr>
              <w:spacing w:line="360" w:lineRule="auto"/>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3" w:hRule="atLeast"/>
        </w:trPr>
        <w:tc>
          <w:tcPr>
            <w:tcW w:w="243" w:type="pct"/>
            <w:vAlign w:val="center"/>
          </w:tcPr>
          <w:p>
            <w:pPr>
              <w:spacing w:line="360" w:lineRule="auto"/>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8</w:t>
            </w:r>
          </w:p>
        </w:tc>
        <w:tc>
          <w:tcPr>
            <w:tcW w:w="397" w:type="pct"/>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现场演示和阐述</w:t>
            </w:r>
          </w:p>
        </w:tc>
        <w:tc>
          <w:tcPr>
            <w:tcW w:w="4018" w:type="pct"/>
            <w:vAlign w:val="center"/>
          </w:tcPr>
          <w:p>
            <w:pPr>
              <w:spacing w:line="360" w:lineRule="auto"/>
              <w:rPr>
                <w:rFonts w:ascii="宋体" w:hAnsi="宋体" w:cs="宋体"/>
                <w:b/>
                <w:bCs/>
                <w:color w:val="auto"/>
                <w:kern w:val="0"/>
                <w:sz w:val="21"/>
                <w:szCs w:val="21"/>
                <w:highlight w:val="none"/>
                <w:lang w:bidi="ar"/>
              </w:rPr>
            </w:pPr>
            <w:r>
              <w:rPr>
                <w:rFonts w:hint="eastAsia" w:ascii="宋体" w:hAnsi="宋体" w:cs="宋体"/>
                <w:b/>
                <w:bCs/>
                <w:color w:val="auto"/>
                <w:kern w:val="0"/>
                <w:sz w:val="21"/>
                <w:szCs w:val="21"/>
                <w:highlight w:val="none"/>
                <w:lang w:bidi="ar"/>
              </w:rPr>
              <w:t>一、设备演示：</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本</w:t>
            </w:r>
            <w:r>
              <w:rPr>
                <w:rFonts w:hint="eastAsia" w:ascii="宋体" w:hAnsi="宋体" w:cs="宋体"/>
                <w:color w:val="auto"/>
                <w:kern w:val="0"/>
                <w:sz w:val="21"/>
                <w:szCs w:val="21"/>
                <w:highlight w:val="none"/>
                <w:lang w:bidi="ar"/>
              </w:rPr>
              <w:t>环节</w:t>
            </w:r>
            <w:r>
              <w:rPr>
                <w:rFonts w:ascii="宋体" w:hAnsi="宋体" w:cs="宋体"/>
                <w:color w:val="auto"/>
                <w:kern w:val="0"/>
                <w:sz w:val="21"/>
                <w:szCs w:val="21"/>
                <w:highlight w:val="none"/>
                <w:lang w:bidi="ar"/>
              </w:rPr>
              <w:t>需进行现场演示，演示的设备需与投标型号完全一致。请投标人自行携带LED</w:t>
            </w:r>
            <w:r>
              <w:rPr>
                <w:rFonts w:hint="eastAsia" w:ascii="宋体" w:hAnsi="宋体" w:cs="宋体"/>
                <w:color w:val="auto"/>
                <w:kern w:val="0"/>
                <w:sz w:val="21"/>
                <w:szCs w:val="21"/>
                <w:highlight w:val="none"/>
                <w:lang w:bidi="ar"/>
              </w:rPr>
              <w:t>演示箱体及控制系统，</w:t>
            </w:r>
            <w:r>
              <w:rPr>
                <w:rFonts w:ascii="宋体" w:hAnsi="宋体" w:cs="宋体"/>
                <w:color w:val="auto"/>
                <w:kern w:val="0"/>
                <w:sz w:val="21"/>
                <w:szCs w:val="21"/>
                <w:highlight w:val="none"/>
                <w:lang w:bidi="ar"/>
              </w:rPr>
              <w:t>至开标现场搭建LED</w:t>
            </w:r>
            <w:r>
              <w:rPr>
                <w:rFonts w:hint="eastAsia" w:ascii="宋体" w:hAnsi="宋体" w:cs="宋体"/>
                <w:color w:val="auto"/>
                <w:kern w:val="0"/>
                <w:sz w:val="21"/>
                <w:szCs w:val="21"/>
                <w:highlight w:val="none"/>
                <w:lang w:bidi="ar"/>
              </w:rPr>
              <w:t>现场设备演示</w:t>
            </w:r>
            <w:r>
              <w:rPr>
                <w:rFonts w:ascii="宋体" w:hAnsi="宋体" w:cs="宋体"/>
                <w:color w:val="auto"/>
                <w:kern w:val="0"/>
                <w:sz w:val="21"/>
                <w:szCs w:val="21"/>
                <w:highlight w:val="none"/>
                <w:lang w:bidi="ar"/>
              </w:rPr>
              <w:t>。演示设备的型号和配置与投标型号和配置不一致的，或原型设备未到现场或无演示内容不得分。</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演示方式：现场</w:t>
            </w:r>
            <w:r>
              <w:rPr>
                <w:rFonts w:hint="eastAsia" w:ascii="宋体" w:hAnsi="宋体" w:cs="宋体"/>
                <w:color w:val="auto"/>
                <w:kern w:val="0"/>
                <w:sz w:val="21"/>
                <w:szCs w:val="21"/>
                <w:highlight w:val="none"/>
                <w:lang w:bidi="ar"/>
              </w:rPr>
              <w:t>点亮</w:t>
            </w:r>
            <w:r>
              <w:rPr>
                <w:rFonts w:ascii="宋体" w:hAnsi="宋体" w:cs="宋体"/>
                <w:color w:val="auto"/>
                <w:kern w:val="0"/>
                <w:sz w:val="21"/>
                <w:szCs w:val="21"/>
                <w:highlight w:val="none"/>
                <w:lang w:bidi="ar"/>
              </w:rPr>
              <w:t>LED</w:t>
            </w:r>
            <w:r>
              <w:rPr>
                <w:rFonts w:hint="eastAsia" w:ascii="宋体" w:hAnsi="宋体" w:cs="宋体"/>
                <w:color w:val="auto"/>
                <w:kern w:val="0"/>
                <w:sz w:val="21"/>
                <w:szCs w:val="21"/>
                <w:highlight w:val="none"/>
                <w:lang w:bidi="ar"/>
              </w:rPr>
              <w:t>箱体，需在演示完毕后保留演示产品，中标结果公示后，未中标的单位自行取回演示设备，中标单位保留产品，在验收时，进行产品验收比对，确保产品</w:t>
            </w:r>
            <w:r>
              <w:rPr>
                <w:rFonts w:ascii="宋体" w:hAnsi="宋体" w:cs="宋体"/>
                <w:color w:val="auto"/>
                <w:kern w:val="0"/>
                <w:sz w:val="21"/>
                <w:szCs w:val="21"/>
                <w:highlight w:val="none"/>
                <w:lang w:bidi="ar"/>
              </w:rPr>
              <w:t>演示设备的型号和配置与投标型号</w:t>
            </w:r>
            <w:r>
              <w:rPr>
                <w:rFonts w:hint="eastAsia" w:ascii="宋体" w:hAnsi="宋体" w:cs="宋体"/>
                <w:color w:val="auto"/>
                <w:kern w:val="0"/>
                <w:sz w:val="21"/>
                <w:szCs w:val="21"/>
                <w:highlight w:val="none"/>
                <w:lang w:bidi="ar"/>
              </w:rPr>
              <w:t>一致方可验收。</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注：①播放演示过程所需的硬件设备由投标人自行准备，招标代理只提供电源，不提供网络环境；</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②播放演示完毕后，按工作人员的指示收拾好自带的硬件设备离场。</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⑤现场播放演示时间不超过</w:t>
            </w:r>
            <w:r>
              <w:rPr>
                <w:rFonts w:hint="eastAsia" w:ascii="宋体" w:hAnsi="宋体" w:cs="宋体"/>
                <w:color w:val="auto"/>
                <w:kern w:val="0"/>
                <w:sz w:val="21"/>
                <w:szCs w:val="21"/>
                <w:highlight w:val="none"/>
                <w:lang w:val="en-US" w:eastAsia="zh-CN" w:bidi="ar"/>
              </w:rPr>
              <w:t>5</w:t>
            </w:r>
            <w:r>
              <w:rPr>
                <w:rFonts w:ascii="宋体" w:hAnsi="宋体" w:cs="宋体"/>
                <w:color w:val="auto"/>
                <w:kern w:val="0"/>
                <w:sz w:val="21"/>
                <w:szCs w:val="21"/>
                <w:highlight w:val="none"/>
                <w:lang w:bidi="ar"/>
              </w:rPr>
              <w:t>分钟，投标人没有进行现场</w:t>
            </w:r>
            <w:r>
              <w:rPr>
                <w:rFonts w:hint="eastAsia" w:ascii="宋体" w:hAnsi="宋体" w:cs="宋体"/>
                <w:color w:val="auto"/>
                <w:kern w:val="0"/>
                <w:sz w:val="21"/>
                <w:szCs w:val="21"/>
                <w:highlight w:val="none"/>
                <w:lang w:bidi="ar"/>
              </w:rPr>
              <w:t>演示</w:t>
            </w:r>
            <w:r>
              <w:rPr>
                <w:rFonts w:ascii="宋体" w:hAnsi="宋体" w:cs="宋体"/>
                <w:color w:val="auto"/>
                <w:kern w:val="0"/>
                <w:sz w:val="21"/>
                <w:szCs w:val="21"/>
                <w:highlight w:val="none"/>
                <w:lang w:bidi="ar"/>
              </w:rPr>
              <w:t>的，该项得分0分。</w:t>
            </w:r>
          </w:p>
          <w:p>
            <w:pPr>
              <w:spacing w:line="360" w:lineRule="auto"/>
              <w:rPr>
                <w:rFonts w:hint="eastAsia" w:ascii="宋体" w:hAnsi="宋体" w:eastAsia="宋体" w:cs="宋体"/>
                <w:color w:val="auto"/>
                <w:kern w:val="0"/>
                <w:sz w:val="21"/>
                <w:szCs w:val="21"/>
                <w:highlight w:val="none"/>
                <w:lang w:val="en-US" w:eastAsia="zh-CN" w:bidi="ar"/>
              </w:rPr>
            </w:pPr>
            <w:r>
              <w:rPr>
                <w:rFonts w:ascii="宋体" w:hAnsi="宋体" w:cs="宋体"/>
                <w:color w:val="auto"/>
                <w:kern w:val="0"/>
                <w:sz w:val="21"/>
                <w:szCs w:val="21"/>
                <w:highlight w:val="none"/>
                <w:lang w:bidi="ar"/>
              </w:rPr>
              <w:t>④由于场地</w:t>
            </w:r>
            <w:r>
              <w:rPr>
                <w:rFonts w:hint="eastAsia" w:ascii="宋体" w:hAnsi="宋体" w:cs="宋体"/>
                <w:color w:val="auto"/>
                <w:kern w:val="0"/>
                <w:sz w:val="21"/>
                <w:szCs w:val="21"/>
                <w:highlight w:val="none"/>
                <w:lang w:bidi="ar"/>
              </w:rPr>
              <w:t>空间有限</w:t>
            </w:r>
            <w:r>
              <w:rPr>
                <w:rFonts w:ascii="宋体" w:hAnsi="宋体" w:cs="宋体"/>
                <w:color w:val="auto"/>
                <w:kern w:val="0"/>
                <w:sz w:val="21"/>
                <w:szCs w:val="21"/>
                <w:highlight w:val="none"/>
                <w:lang w:bidi="ar"/>
              </w:rPr>
              <w:t>，</w:t>
            </w:r>
            <w:r>
              <w:rPr>
                <w:rFonts w:ascii="宋体" w:hAnsi="宋体" w:cs="宋体"/>
                <w:b/>
                <w:bCs/>
                <w:color w:val="auto"/>
                <w:kern w:val="0"/>
                <w:sz w:val="21"/>
                <w:szCs w:val="21"/>
                <w:highlight w:val="none"/>
                <w:lang w:bidi="ar"/>
              </w:rPr>
              <w:t>建议</w:t>
            </w:r>
            <w:r>
              <w:rPr>
                <w:rFonts w:hint="eastAsia" w:ascii="宋体" w:hAnsi="宋体" w:cs="宋体"/>
                <w:b/>
                <w:bCs/>
                <w:color w:val="auto"/>
                <w:kern w:val="0"/>
                <w:sz w:val="21"/>
                <w:szCs w:val="21"/>
                <w:highlight w:val="none"/>
                <w:lang w:bidi="ar"/>
              </w:rPr>
              <w:t>小间距</w:t>
            </w:r>
            <w:r>
              <w:rPr>
                <w:rFonts w:ascii="宋体" w:hAnsi="宋体" w:cs="宋体"/>
                <w:b/>
                <w:bCs/>
                <w:color w:val="auto"/>
                <w:kern w:val="0"/>
                <w:sz w:val="21"/>
                <w:szCs w:val="21"/>
                <w:highlight w:val="none"/>
                <w:lang w:bidi="ar"/>
              </w:rPr>
              <w:t>LED</w:t>
            </w:r>
            <w:r>
              <w:rPr>
                <w:rFonts w:hint="eastAsia" w:ascii="宋体" w:hAnsi="宋体" w:cs="宋体"/>
                <w:b/>
                <w:bCs/>
                <w:color w:val="auto"/>
                <w:kern w:val="0"/>
                <w:sz w:val="21"/>
                <w:szCs w:val="21"/>
                <w:highlight w:val="none"/>
                <w:lang w:bidi="ar"/>
              </w:rPr>
              <w:t>屏幕（样品）</w:t>
            </w:r>
            <w:r>
              <w:rPr>
                <w:rFonts w:ascii="宋体" w:hAnsi="宋体" w:cs="宋体"/>
                <w:b/>
                <w:bCs/>
                <w:color w:val="auto"/>
                <w:kern w:val="0"/>
                <w:sz w:val="21"/>
                <w:szCs w:val="21"/>
                <w:highlight w:val="none"/>
                <w:lang w:bidi="ar"/>
              </w:rPr>
              <w:t>尺寸不超过1.2m*0.68m</w:t>
            </w:r>
            <w:r>
              <w:rPr>
                <w:rFonts w:hint="eastAsia" w:ascii="宋体" w:hAnsi="宋体" w:cs="宋体"/>
                <w:b/>
                <w:bCs/>
                <w:color w:val="auto"/>
                <w:kern w:val="0"/>
                <w:sz w:val="21"/>
                <w:szCs w:val="21"/>
                <w:highlight w:val="none"/>
                <w:lang w:eastAsia="zh-CN" w:bidi="ar"/>
              </w:rPr>
              <w:t>。</w:t>
            </w:r>
          </w:p>
          <w:p>
            <w:pPr>
              <w:spacing w:line="360" w:lineRule="auto"/>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⑤演示样品需与投标文件拟投产品一致。</w:t>
            </w:r>
          </w:p>
          <w:p>
            <w:pPr>
              <w:spacing w:line="360" w:lineRule="auto"/>
              <w:rPr>
                <w:rFonts w:ascii="宋体" w:hAnsi="宋体" w:cs="宋体"/>
                <w:b/>
                <w:bCs/>
                <w:color w:val="auto"/>
                <w:kern w:val="0"/>
                <w:sz w:val="21"/>
                <w:szCs w:val="21"/>
                <w:highlight w:val="none"/>
                <w:lang w:bidi="ar"/>
              </w:rPr>
            </w:pPr>
            <w:r>
              <w:rPr>
                <w:rFonts w:hint="eastAsia" w:ascii="宋体" w:hAnsi="宋体" w:cs="宋体"/>
                <w:b/>
                <w:bCs/>
                <w:color w:val="auto"/>
                <w:kern w:val="0"/>
                <w:sz w:val="21"/>
                <w:szCs w:val="21"/>
                <w:highlight w:val="none"/>
                <w:lang w:bidi="ar"/>
              </w:rPr>
              <w:t>演示</w:t>
            </w:r>
            <w:r>
              <w:rPr>
                <w:rFonts w:hint="eastAsia" w:ascii="宋体" w:hAnsi="宋体" w:cs="宋体"/>
                <w:b/>
                <w:bCs/>
                <w:color w:val="auto"/>
                <w:kern w:val="0"/>
                <w:sz w:val="21"/>
                <w:szCs w:val="21"/>
                <w:highlight w:val="none"/>
                <w:lang w:val="en-US" w:eastAsia="zh-CN" w:bidi="ar"/>
              </w:rPr>
              <w:t>评审</w:t>
            </w:r>
            <w:r>
              <w:rPr>
                <w:rFonts w:hint="eastAsia" w:ascii="宋体" w:hAnsi="宋体" w:cs="宋体"/>
                <w:b/>
                <w:bCs/>
                <w:color w:val="auto"/>
                <w:kern w:val="0"/>
                <w:sz w:val="21"/>
                <w:szCs w:val="21"/>
                <w:highlight w:val="none"/>
                <w:lang w:bidi="ar"/>
              </w:rPr>
              <w:t>内容如下：</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1</w:t>
            </w:r>
            <w:r>
              <w:rPr>
                <w:rFonts w:hint="eastAsia" w:ascii="宋体" w:hAnsi="宋体" w:cs="宋体"/>
                <w:color w:val="auto"/>
                <w:kern w:val="0"/>
                <w:sz w:val="21"/>
                <w:szCs w:val="21"/>
                <w:highlight w:val="none"/>
                <w:lang w:bidi="ar"/>
              </w:rPr>
              <w:t>、</w:t>
            </w:r>
            <w:r>
              <w:rPr>
                <w:rFonts w:ascii="宋体" w:hAnsi="宋体" w:cs="宋体"/>
                <w:color w:val="auto"/>
                <w:kern w:val="0"/>
                <w:sz w:val="21"/>
                <w:szCs w:val="21"/>
                <w:highlight w:val="none"/>
                <w:lang w:bidi="ar"/>
              </w:rPr>
              <w:t>LED</w:t>
            </w:r>
            <w:r>
              <w:rPr>
                <w:rFonts w:hint="eastAsia" w:ascii="宋体" w:hAnsi="宋体" w:cs="宋体"/>
                <w:color w:val="auto"/>
                <w:kern w:val="0"/>
                <w:sz w:val="21"/>
                <w:szCs w:val="21"/>
                <w:highlight w:val="none"/>
                <w:lang w:bidi="ar"/>
              </w:rPr>
              <w:t>箱体</w:t>
            </w:r>
            <w:r>
              <w:rPr>
                <w:rFonts w:ascii="宋体" w:hAnsi="宋体" w:cs="宋体"/>
                <w:color w:val="auto"/>
                <w:kern w:val="0"/>
                <w:sz w:val="21"/>
                <w:szCs w:val="21"/>
                <w:highlight w:val="none"/>
                <w:lang w:bidi="ar"/>
              </w:rPr>
              <w:t>色一致性</w:t>
            </w:r>
            <w:r>
              <w:rPr>
                <w:rFonts w:hint="eastAsia" w:ascii="宋体" w:hAnsi="宋体" w:cs="宋体"/>
                <w:color w:val="auto"/>
                <w:kern w:val="0"/>
                <w:sz w:val="21"/>
                <w:szCs w:val="21"/>
                <w:highlight w:val="none"/>
                <w:lang w:bidi="ar"/>
              </w:rPr>
              <w:t>：</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技术要求：播放黑色画面要求墨色一致性好，熄屏表面要求墨色一致性好。</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2</w:t>
            </w:r>
            <w:r>
              <w:rPr>
                <w:rFonts w:hint="eastAsia" w:ascii="宋体" w:hAnsi="宋体" w:cs="宋体"/>
                <w:color w:val="auto"/>
                <w:kern w:val="0"/>
                <w:sz w:val="21"/>
                <w:szCs w:val="21"/>
                <w:highlight w:val="none"/>
                <w:lang w:bidi="ar"/>
              </w:rPr>
              <w:t>、</w:t>
            </w:r>
            <w:r>
              <w:rPr>
                <w:rFonts w:ascii="宋体" w:hAnsi="宋体" w:cs="宋体"/>
                <w:color w:val="auto"/>
                <w:kern w:val="0"/>
                <w:sz w:val="21"/>
                <w:szCs w:val="21"/>
                <w:highlight w:val="none"/>
                <w:lang w:bidi="ar"/>
              </w:rPr>
              <w:t>做工、拼缝、平整度</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技术要求：拼接屏外观应无变形、裂纹、漆层（或镀层）脱落现象；显示单元拼接处缝隙较小，在最佳观看距离达到人眼无缝效果，整屏平整度较高。</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3</w:t>
            </w:r>
            <w:r>
              <w:rPr>
                <w:rFonts w:hint="eastAsia" w:ascii="宋体" w:hAnsi="宋体" w:cs="宋体"/>
                <w:color w:val="auto"/>
                <w:kern w:val="0"/>
                <w:sz w:val="21"/>
                <w:szCs w:val="21"/>
                <w:highlight w:val="none"/>
                <w:lang w:bidi="ar"/>
              </w:rPr>
              <w:t>、</w:t>
            </w:r>
            <w:r>
              <w:rPr>
                <w:rFonts w:ascii="宋体" w:hAnsi="宋体" w:cs="宋体"/>
                <w:color w:val="auto"/>
                <w:kern w:val="0"/>
                <w:sz w:val="21"/>
                <w:szCs w:val="21"/>
                <w:highlight w:val="none"/>
                <w:lang w:bidi="ar"/>
              </w:rPr>
              <w:t>彩线、亮暗线、视角</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技术要求：显示纯白画面时，不同角度的单元拼接处不得存在横向和纵向的彩色线条及亮暗线条。正面及左右视角观察无明显色斑或模块化现象。</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4</w:t>
            </w:r>
            <w:r>
              <w:rPr>
                <w:rFonts w:hint="eastAsia" w:ascii="宋体" w:hAnsi="宋体" w:cs="宋体"/>
                <w:color w:val="auto"/>
                <w:kern w:val="0"/>
                <w:sz w:val="21"/>
                <w:szCs w:val="21"/>
                <w:highlight w:val="none"/>
                <w:lang w:bidi="ar"/>
              </w:rPr>
              <w:t>、</w:t>
            </w:r>
            <w:r>
              <w:rPr>
                <w:rFonts w:ascii="宋体" w:hAnsi="宋体" w:cs="宋体"/>
                <w:color w:val="auto"/>
                <w:kern w:val="0"/>
                <w:sz w:val="21"/>
                <w:szCs w:val="21"/>
                <w:highlight w:val="none"/>
                <w:lang w:bidi="ar"/>
              </w:rPr>
              <w:t>色彩表现</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技术要求：显示彩条时，各颜色区间分界清晰、无串色、无偏色；播放三原色视频时，各基色表现准确无色差。</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5</w:t>
            </w:r>
            <w:r>
              <w:rPr>
                <w:rFonts w:hint="eastAsia" w:ascii="宋体" w:hAnsi="宋体" w:cs="宋体"/>
                <w:color w:val="auto"/>
                <w:kern w:val="0"/>
                <w:sz w:val="21"/>
                <w:szCs w:val="21"/>
                <w:highlight w:val="none"/>
                <w:lang w:bidi="ar"/>
              </w:rPr>
              <w:t>、</w:t>
            </w:r>
            <w:r>
              <w:rPr>
                <w:rFonts w:ascii="宋体" w:hAnsi="宋体" w:cs="宋体"/>
                <w:color w:val="auto"/>
                <w:kern w:val="0"/>
                <w:sz w:val="21"/>
                <w:szCs w:val="21"/>
                <w:highlight w:val="none"/>
                <w:lang w:bidi="ar"/>
              </w:rPr>
              <w:t>灰阶连续性</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技术要求：观察灰度图，要求每一阶有人眼可见的亮度差异，其暗色系部分的颜色，仍然会被清晰地显示出来，画面的颜色色阶平滑，整体色彩显示效果清晰、鲜明。</w:t>
            </w:r>
          </w:p>
          <w:p>
            <w:pPr>
              <w:spacing w:line="360" w:lineRule="auto"/>
              <w:rPr>
                <w:rFonts w:ascii="宋体" w:hAnsi="宋体" w:cs="宋体"/>
                <w:color w:val="auto"/>
                <w:kern w:val="0"/>
                <w:sz w:val="21"/>
                <w:szCs w:val="21"/>
                <w:highlight w:val="none"/>
                <w:lang w:bidi="ar"/>
              </w:rPr>
            </w:pPr>
            <w:r>
              <w:rPr>
                <w:rFonts w:ascii="宋体" w:hAnsi="宋体" w:cs="宋体"/>
                <w:color w:val="auto"/>
                <w:kern w:val="0"/>
                <w:sz w:val="21"/>
                <w:szCs w:val="21"/>
                <w:highlight w:val="none"/>
                <w:lang w:bidi="ar"/>
              </w:rPr>
              <w:t>6</w:t>
            </w:r>
            <w:r>
              <w:rPr>
                <w:rFonts w:hint="eastAsia" w:ascii="宋体" w:hAnsi="宋体" w:cs="宋体"/>
                <w:color w:val="auto"/>
                <w:kern w:val="0"/>
                <w:sz w:val="21"/>
                <w:szCs w:val="21"/>
                <w:highlight w:val="none"/>
                <w:lang w:bidi="ar"/>
              </w:rPr>
              <w:t>、控制系统</w:t>
            </w:r>
          </w:p>
          <w:p>
            <w:pPr>
              <w:spacing w:line="360" w:lineRule="auto"/>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技术要求：去中心化架构，结合本项目使用需求演示控制功能。</w:t>
            </w:r>
          </w:p>
          <w:p>
            <w:pPr>
              <w:spacing w:line="360" w:lineRule="auto"/>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针对各投标人演示效果进行综合评审，现场演示满足技术要求的且效果最优得5分，演示效果良得3分，演示效果一般得</w:t>
            </w:r>
            <w:r>
              <w:rPr>
                <w:rFonts w:hint="eastAsia" w:ascii="宋体" w:hAnsi="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bidi="ar"/>
              </w:rPr>
              <w:t>分，效果较差或不演示不得分。</w:t>
            </w:r>
          </w:p>
          <w:p>
            <w:pPr>
              <w:spacing w:line="360" w:lineRule="auto"/>
              <w:rPr>
                <w:rFonts w:ascii="宋体" w:hAnsi="宋体" w:cs="宋体"/>
                <w:b/>
                <w:bCs/>
                <w:color w:val="auto"/>
                <w:kern w:val="0"/>
                <w:szCs w:val="21"/>
                <w:highlight w:val="none"/>
                <w:lang w:bidi="ar"/>
              </w:rPr>
            </w:pPr>
            <w:r>
              <w:rPr>
                <w:rFonts w:hint="eastAsia" w:ascii="宋体" w:hAnsi="宋体" w:cs="宋体"/>
                <w:b/>
                <w:bCs/>
                <w:color w:val="auto"/>
                <w:kern w:val="0"/>
                <w:szCs w:val="21"/>
                <w:highlight w:val="none"/>
                <w:lang w:bidi="ar"/>
              </w:rPr>
              <w:t>二、配套服务表述</w:t>
            </w:r>
          </w:p>
          <w:p>
            <w:pPr>
              <w:spacing w:line="360" w:lineRule="auto"/>
              <w:rPr>
                <w:rFonts w:ascii="宋体" w:hAnsi="宋体" w:cs="宋体"/>
                <w:color w:val="auto"/>
                <w:kern w:val="0"/>
                <w:szCs w:val="21"/>
                <w:highlight w:val="none"/>
                <w:lang w:bidi="ar"/>
              </w:rPr>
            </w:pPr>
            <w:r>
              <w:rPr>
                <w:rFonts w:ascii="宋体" w:hAnsi="宋体" w:cs="宋体"/>
                <w:color w:val="auto"/>
                <w:kern w:val="0"/>
                <w:szCs w:val="21"/>
                <w:highlight w:val="none"/>
                <w:lang w:bidi="ar"/>
              </w:rPr>
              <w:t>投标人需要结合需求</w:t>
            </w:r>
            <w:r>
              <w:rPr>
                <w:rFonts w:hint="eastAsia" w:ascii="宋体" w:hAnsi="宋体" w:cs="宋体"/>
                <w:color w:val="auto"/>
                <w:kern w:val="0"/>
                <w:szCs w:val="21"/>
                <w:highlight w:val="none"/>
                <w:lang w:bidi="ar"/>
              </w:rPr>
              <w:t>进行方案</w:t>
            </w:r>
            <w:r>
              <w:rPr>
                <w:rFonts w:hint="eastAsia" w:ascii="宋体" w:hAnsi="宋体" w:cs="宋体"/>
                <w:color w:val="auto"/>
                <w:kern w:val="0"/>
                <w:szCs w:val="21"/>
                <w:highlight w:val="none"/>
                <w:lang w:val="en-US" w:eastAsia="zh-CN" w:bidi="ar"/>
              </w:rPr>
              <w:t>进行</w:t>
            </w:r>
            <w:r>
              <w:rPr>
                <w:rFonts w:ascii="宋体" w:hAnsi="宋体" w:cs="宋体"/>
                <w:color w:val="auto"/>
                <w:kern w:val="0"/>
                <w:sz w:val="21"/>
                <w:szCs w:val="21"/>
                <w:highlight w:val="none"/>
                <w:lang w:bidi="ar"/>
              </w:rPr>
              <w:t>现场阐述</w:t>
            </w:r>
            <w:r>
              <w:rPr>
                <w:rFonts w:hint="eastAsia" w:ascii="宋体" w:hAnsi="宋体" w:cs="宋体"/>
                <w:color w:val="auto"/>
                <w:kern w:val="0"/>
                <w:szCs w:val="21"/>
                <w:highlight w:val="none"/>
                <w:lang w:bidi="ar"/>
              </w:rPr>
              <w:t>，</w:t>
            </w:r>
            <w:r>
              <w:rPr>
                <w:rFonts w:ascii="宋体" w:hAnsi="宋体" w:cs="宋体"/>
                <w:color w:val="auto"/>
                <w:kern w:val="0"/>
                <w:sz w:val="21"/>
                <w:szCs w:val="21"/>
                <w:highlight w:val="none"/>
                <w:lang w:bidi="ar"/>
              </w:rPr>
              <w:t>时间不超过</w:t>
            </w:r>
            <w:r>
              <w:rPr>
                <w:rFonts w:hint="eastAsia" w:ascii="宋体" w:hAnsi="宋体" w:cs="宋体"/>
                <w:color w:val="auto"/>
                <w:kern w:val="0"/>
                <w:sz w:val="21"/>
                <w:szCs w:val="21"/>
                <w:highlight w:val="none"/>
                <w:lang w:val="en-US" w:eastAsia="zh-CN" w:bidi="ar"/>
              </w:rPr>
              <w:t>8</w:t>
            </w:r>
            <w:r>
              <w:rPr>
                <w:rFonts w:ascii="宋体" w:hAnsi="宋体" w:cs="宋体"/>
                <w:color w:val="auto"/>
                <w:kern w:val="0"/>
                <w:sz w:val="21"/>
                <w:szCs w:val="21"/>
                <w:highlight w:val="none"/>
                <w:lang w:bidi="ar"/>
              </w:rPr>
              <w:t>分钟，</w:t>
            </w:r>
            <w:r>
              <w:rPr>
                <w:rFonts w:hint="eastAsia" w:ascii="宋体" w:hAnsi="宋体" w:cs="宋体"/>
                <w:color w:val="auto"/>
                <w:kern w:val="0"/>
                <w:sz w:val="21"/>
                <w:szCs w:val="21"/>
                <w:highlight w:val="none"/>
                <w:lang w:val="en-US" w:eastAsia="zh-CN" w:bidi="ar"/>
              </w:rPr>
              <w:t>阐述</w:t>
            </w:r>
            <w:r>
              <w:rPr>
                <w:rFonts w:hint="eastAsia" w:ascii="宋体" w:hAnsi="宋体" w:cs="宋体"/>
                <w:color w:val="auto"/>
                <w:kern w:val="0"/>
                <w:szCs w:val="21"/>
                <w:highlight w:val="none"/>
                <w:lang w:bidi="ar"/>
              </w:rPr>
              <w:t>内容包含所提供的场地设计效果</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可提供图例</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、售后服务、项目响应程度、增值服务等。</w:t>
            </w:r>
            <w:r>
              <w:rPr>
                <w:rFonts w:ascii="宋体" w:hAnsi="宋体" w:cs="宋体"/>
                <w:bCs/>
                <w:color w:val="auto"/>
                <w:spacing w:val="10"/>
                <w:kern w:val="0"/>
                <w:szCs w:val="21"/>
                <w:highlight w:val="none"/>
              </w:rPr>
              <w:t>由评委根据</w:t>
            </w:r>
            <w:r>
              <w:rPr>
                <w:rFonts w:hint="eastAsia" w:ascii="宋体" w:hAnsi="宋体" w:cs="宋体"/>
                <w:bCs/>
                <w:color w:val="auto"/>
                <w:spacing w:val="10"/>
                <w:kern w:val="0"/>
                <w:szCs w:val="21"/>
                <w:highlight w:val="none"/>
                <w:lang w:val="en-US" w:eastAsia="zh-CN"/>
              </w:rPr>
              <w:t>投标人</w:t>
            </w:r>
            <w:r>
              <w:rPr>
                <w:rFonts w:ascii="宋体" w:hAnsi="宋体" w:cs="宋体"/>
                <w:bCs/>
                <w:color w:val="auto"/>
                <w:spacing w:val="10"/>
                <w:kern w:val="0"/>
                <w:szCs w:val="21"/>
                <w:highlight w:val="none"/>
              </w:rPr>
              <w:t>的</w:t>
            </w:r>
            <w:r>
              <w:rPr>
                <w:rFonts w:hint="eastAsia" w:ascii="宋体" w:hAnsi="宋体" w:cs="宋体"/>
                <w:bCs/>
                <w:color w:val="auto"/>
                <w:spacing w:val="10"/>
                <w:kern w:val="0"/>
                <w:szCs w:val="21"/>
                <w:highlight w:val="none"/>
                <w:lang w:val="en-US" w:eastAsia="zh-CN"/>
              </w:rPr>
              <w:t>阐述</w:t>
            </w:r>
            <w:r>
              <w:rPr>
                <w:rFonts w:ascii="宋体" w:hAnsi="宋体" w:cs="宋体"/>
                <w:bCs/>
                <w:color w:val="auto"/>
                <w:spacing w:val="10"/>
                <w:kern w:val="0"/>
                <w:szCs w:val="21"/>
                <w:highlight w:val="none"/>
              </w:rPr>
              <w:t>情况和解决实际问题的能力进行综合评审。</w:t>
            </w:r>
          </w:p>
          <w:p>
            <w:pPr>
              <w:spacing w:line="360" w:lineRule="auto"/>
              <w:rPr>
                <w:rFonts w:hint="eastAsia" w:ascii="宋体" w:hAnsi="宋体" w:eastAsia="宋体" w:cs="宋体"/>
                <w:color w:val="auto"/>
                <w:kern w:val="0"/>
                <w:sz w:val="21"/>
                <w:szCs w:val="21"/>
                <w:highlight w:val="none"/>
                <w:lang w:val="en-US" w:eastAsia="zh-CN" w:bidi="ar"/>
              </w:rPr>
            </w:pPr>
            <w:r>
              <w:rPr>
                <w:rFonts w:hint="eastAsia" w:ascii="宋体" w:hAnsi="宋体" w:cs="宋体"/>
                <w:bCs/>
                <w:color w:val="auto"/>
                <w:spacing w:val="10"/>
                <w:kern w:val="0"/>
                <w:szCs w:val="21"/>
                <w:highlight w:val="none"/>
              </w:rPr>
              <w:t>最优得</w:t>
            </w:r>
            <w:r>
              <w:rPr>
                <w:rFonts w:hint="eastAsia" w:ascii="宋体" w:hAnsi="宋体" w:cs="宋体"/>
                <w:bCs/>
                <w:color w:val="auto"/>
                <w:spacing w:val="10"/>
                <w:kern w:val="0"/>
                <w:szCs w:val="21"/>
                <w:highlight w:val="none"/>
                <w:lang w:val="en-US" w:eastAsia="zh-CN"/>
              </w:rPr>
              <w:t>5</w:t>
            </w:r>
            <w:r>
              <w:rPr>
                <w:rFonts w:ascii="宋体" w:hAnsi="宋体" w:cs="宋体"/>
                <w:bCs/>
                <w:color w:val="auto"/>
                <w:spacing w:val="10"/>
                <w:kern w:val="0"/>
                <w:szCs w:val="21"/>
                <w:highlight w:val="none"/>
              </w:rPr>
              <w:t>分，良得</w:t>
            </w:r>
            <w:r>
              <w:rPr>
                <w:rFonts w:hint="eastAsia" w:ascii="宋体" w:hAnsi="宋体" w:cs="宋体"/>
                <w:bCs/>
                <w:color w:val="auto"/>
                <w:spacing w:val="10"/>
                <w:kern w:val="0"/>
                <w:szCs w:val="21"/>
                <w:highlight w:val="none"/>
                <w:lang w:val="en-US" w:eastAsia="zh-CN"/>
              </w:rPr>
              <w:t>3</w:t>
            </w:r>
            <w:r>
              <w:rPr>
                <w:rFonts w:ascii="宋体" w:hAnsi="宋体" w:cs="宋体"/>
                <w:bCs/>
                <w:color w:val="auto"/>
                <w:spacing w:val="10"/>
                <w:kern w:val="0"/>
                <w:szCs w:val="21"/>
                <w:highlight w:val="none"/>
              </w:rPr>
              <w:t>分，一般得</w:t>
            </w:r>
            <w:r>
              <w:rPr>
                <w:rFonts w:hint="eastAsia" w:ascii="宋体" w:hAnsi="宋体" w:cs="宋体"/>
                <w:bCs/>
                <w:color w:val="auto"/>
                <w:spacing w:val="10"/>
                <w:kern w:val="0"/>
                <w:szCs w:val="21"/>
                <w:highlight w:val="none"/>
                <w:lang w:val="en-US" w:eastAsia="zh-CN"/>
              </w:rPr>
              <w:t>1</w:t>
            </w:r>
            <w:r>
              <w:rPr>
                <w:rFonts w:ascii="宋体" w:hAnsi="宋体" w:cs="宋体"/>
                <w:bCs/>
                <w:color w:val="auto"/>
                <w:spacing w:val="10"/>
                <w:kern w:val="0"/>
                <w:szCs w:val="21"/>
                <w:highlight w:val="none"/>
              </w:rPr>
              <w:t>分，差</w:t>
            </w:r>
            <w:r>
              <w:rPr>
                <w:rFonts w:hint="eastAsia" w:ascii="宋体" w:hAnsi="宋体" w:cs="宋体"/>
                <w:bCs/>
                <w:color w:val="auto"/>
                <w:spacing w:val="10"/>
                <w:kern w:val="0"/>
                <w:szCs w:val="21"/>
                <w:highlight w:val="none"/>
                <w:lang w:val="en-US" w:eastAsia="zh-CN"/>
              </w:rPr>
              <w:t>或无现场表述</w:t>
            </w:r>
            <w:r>
              <w:rPr>
                <w:rFonts w:ascii="宋体" w:hAnsi="宋体" w:cs="宋体"/>
                <w:color w:val="auto"/>
                <w:kern w:val="0"/>
                <w:sz w:val="21"/>
                <w:szCs w:val="21"/>
                <w:highlight w:val="none"/>
                <w:lang w:bidi="ar"/>
              </w:rPr>
              <w:t>不得分</w:t>
            </w:r>
            <w:r>
              <w:rPr>
                <w:rFonts w:ascii="宋体" w:hAnsi="宋体" w:cs="宋体"/>
                <w:bCs/>
                <w:color w:val="auto"/>
                <w:spacing w:val="10"/>
                <w:kern w:val="0"/>
                <w:szCs w:val="21"/>
                <w:highlight w:val="none"/>
              </w:rPr>
              <w:t>。</w:t>
            </w:r>
          </w:p>
        </w:tc>
        <w:tc>
          <w:tcPr>
            <w:tcW w:w="340" w:type="pct"/>
            <w:vAlign w:val="center"/>
          </w:tcPr>
          <w:p>
            <w:pPr>
              <w:adjustRightInd w:val="0"/>
              <w:snapToGrid w:val="0"/>
              <w:spacing w:line="360" w:lineRule="auto"/>
              <w:jc w:val="center"/>
              <w:rPr>
                <w:rFonts w:hint="default"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3" w:hRule="atLeast"/>
        </w:trPr>
        <w:tc>
          <w:tcPr>
            <w:tcW w:w="4659" w:type="pct"/>
            <w:gridSpan w:val="3"/>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合计</w:t>
            </w:r>
          </w:p>
        </w:tc>
        <w:tc>
          <w:tcPr>
            <w:tcW w:w="340" w:type="pct"/>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50分</w:t>
            </w:r>
          </w:p>
        </w:tc>
      </w:tr>
    </w:tbl>
    <w:p>
      <w:pPr>
        <w:pStyle w:val="16"/>
        <w:rPr>
          <w:rFonts w:hint="eastAsia" w:ascii="宋体" w:hAnsi="宋体" w:eastAsia="宋体" w:cs="宋体"/>
          <w:color w:val="auto"/>
          <w:highlight w:val="none"/>
        </w:rPr>
      </w:pPr>
    </w:p>
    <w:p>
      <w:pPr>
        <w:tabs>
          <w:tab w:val="left" w:pos="10035"/>
        </w:tabs>
        <w:snapToGrid w:val="0"/>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注：评委对各投标文件进行评审，分数精确至小数点后2位。</w:t>
      </w:r>
    </w:p>
    <w:p>
      <w:pPr>
        <w:tabs>
          <w:tab w:val="left" w:pos="10035"/>
        </w:tabs>
        <w:snapToGrid w:val="0"/>
        <w:spacing w:line="360" w:lineRule="auto"/>
        <w:rPr>
          <w:rFonts w:hint="eastAsia" w:ascii="宋体" w:hAnsi="宋体" w:eastAsia="宋体" w:cs="宋体"/>
          <w:color w:val="auto"/>
          <w:highlight w:val="none"/>
        </w:rPr>
        <w:sectPr>
          <w:pgSz w:w="11907" w:h="16840"/>
          <w:pgMar w:top="1418" w:right="1304" w:bottom="1361" w:left="1361" w:header="851" w:footer="992" w:gutter="0"/>
          <w:cols w:space="720" w:num="1"/>
          <w:docGrid w:type="lines" w:linePitch="312" w:charSpace="0"/>
        </w:sectPr>
      </w:pPr>
    </w:p>
    <w:bookmarkEnd w:id="197"/>
    <w:bookmarkEnd w:id="198"/>
    <w:bookmarkEnd w:id="199"/>
    <w:p>
      <w:pPr>
        <w:jc w:val="left"/>
        <w:rPr>
          <w:rFonts w:hint="eastAsia" w:ascii="宋体" w:hAnsi="宋体" w:eastAsia="宋体" w:cs="宋体"/>
          <w:b/>
          <w:color w:val="auto"/>
          <w:highlight w:val="none"/>
        </w:rPr>
      </w:pPr>
      <w:r>
        <w:rPr>
          <w:rFonts w:hint="eastAsia" w:ascii="宋体" w:hAnsi="宋体" w:eastAsia="宋体" w:cs="宋体"/>
          <w:b/>
          <w:color w:val="auto"/>
          <w:highlight w:val="none"/>
        </w:rPr>
        <w:t>附表</w:t>
      </w:r>
      <w:r>
        <w:rPr>
          <w:rFonts w:hint="eastAsia" w:ascii="宋体" w:hAnsi="宋体" w:eastAsia="宋体" w:cs="宋体"/>
          <w:b/>
          <w:color w:val="auto"/>
          <w:highlight w:val="none"/>
          <w:lang w:val="en-US" w:eastAsia="zh-CN"/>
        </w:rPr>
        <w:t>3</w:t>
      </w:r>
      <w:r>
        <w:rPr>
          <w:rFonts w:hint="eastAsia" w:ascii="宋体" w:hAnsi="宋体" w:eastAsia="宋体" w:cs="宋体"/>
          <w:b/>
          <w:color w:val="auto"/>
          <w:highlight w:val="none"/>
        </w:rPr>
        <w:t>：</w:t>
      </w:r>
      <w:r>
        <w:rPr>
          <w:rFonts w:hint="eastAsia" w:ascii="宋体" w:hAnsi="宋体" w:eastAsia="宋体" w:cs="宋体"/>
          <w:b/>
          <w:color w:val="auto"/>
          <w:highlight w:val="none"/>
          <w:lang w:val="en-US" w:eastAsia="zh-CN"/>
        </w:rPr>
        <w:t>商务</w:t>
      </w:r>
      <w:r>
        <w:rPr>
          <w:rFonts w:hint="eastAsia" w:ascii="宋体" w:hAnsi="宋体" w:eastAsia="宋体" w:cs="宋体"/>
          <w:b/>
          <w:color w:val="auto"/>
          <w:highlight w:val="none"/>
        </w:rPr>
        <w:t>评分表</w:t>
      </w:r>
    </w:p>
    <w:p>
      <w:pPr>
        <w:jc w:val="center"/>
        <w:rPr>
          <w:rFonts w:ascii="宋体" w:hAnsi="宋体" w:cs="宋体"/>
          <w:b/>
          <w:color w:val="auto"/>
          <w:sz w:val="28"/>
          <w:szCs w:val="28"/>
          <w:highlight w:val="none"/>
        </w:rPr>
      </w:pPr>
      <w:r>
        <w:rPr>
          <w:rFonts w:hint="eastAsia" w:ascii="宋体" w:hAnsi="宋体" w:cs="宋体"/>
          <w:b/>
          <w:color w:val="auto"/>
          <w:sz w:val="28"/>
          <w:szCs w:val="28"/>
          <w:highlight w:val="none"/>
        </w:rPr>
        <w:t>商务评分表</w:t>
      </w:r>
    </w:p>
    <w:tbl>
      <w:tblPr>
        <w:tblStyle w:val="54"/>
        <w:tblW w:w="9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274"/>
        <w:gridCol w:w="7088"/>
        <w:gridCol w:w="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1" w:type="dxa"/>
            <w:vAlign w:val="center"/>
          </w:tcPr>
          <w:p>
            <w:pPr>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274" w:type="dxa"/>
            <w:vAlign w:val="center"/>
          </w:tcPr>
          <w:p>
            <w:pPr>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评审项目</w:t>
            </w:r>
          </w:p>
        </w:tc>
        <w:tc>
          <w:tcPr>
            <w:tcW w:w="7088" w:type="dxa"/>
            <w:tcBorders>
              <w:bottom w:val="single" w:color="auto" w:sz="4" w:space="0"/>
            </w:tcBorders>
            <w:vAlign w:val="center"/>
          </w:tcPr>
          <w:p>
            <w:pPr>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评分细则</w:t>
            </w:r>
          </w:p>
        </w:tc>
        <w:tc>
          <w:tcPr>
            <w:tcW w:w="758" w:type="dxa"/>
            <w:vAlign w:val="center"/>
          </w:tcPr>
          <w:p>
            <w:pPr>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1" w:hRule="atLeast"/>
          <w:jc w:val="center"/>
        </w:trPr>
        <w:tc>
          <w:tcPr>
            <w:tcW w:w="621" w:type="dxa"/>
            <w:vAlign w:val="center"/>
          </w:tcPr>
          <w:p>
            <w:pPr>
              <w:adjustRightInd w:val="0"/>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274" w:type="dxa"/>
            <w:vAlign w:val="center"/>
          </w:tcPr>
          <w:p>
            <w:pPr>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投标人实力</w:t>
            </w:r>
          </w:p>
        </w:tc>
        <w:tc>
          <w:tcPr>
            <w:tcW w:w="7088" w:type="dxa"/>
            <w:tcBorders>
              <w:bottom w:val="single" w:color="auto" w:sz="4" w:space="0"/>
            </w:tcBorders>
            <w:vAlign w:val="center"/>
          </w:tcPr>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1.具有ISO9001质量管理体系认证、IS045001职业健康安全管理体系认证、ISO14001环境管理体系认证；</w:t>
            </w:r>
          </w:p>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2.具有ISO27001信息安全管理体系认证证书（认证范围须包含信息系统集成和运维服务及应用软件开发），ISO20000信息技术服务管理体系认证证书（认证范围须包含软、硬件运行维护服务）；</w:t>
            </w:r>
          </w:p>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3.具有信息系统建设和服务能力等级证书CS2及以上的；</w:t>
            </w:r>
          </w:p>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4.具有</w:t>
            </w:r>
            <w:r>
              <w:rPr>
                <w:rFonts w:hint="eastAsia" w:ascii="宋体" w:hAnsi="宋体" w:cs="宋体"/>
                <w:color w:val="auto"/>
                <w:kern w:val="0"/>
                <w:sz w:val="21"/>
                <w:szCs w:val="21"/>
                <w:highlight w:val="none"/>
                <w:lang w:val="en-US" w:eastAsia="zh-CN" w:bidi="ar"/>
              </w:rPr>
              <w:fldChar w:fldCharType="begin"/>
            </w:r>
            <w:r>
              <w:rPr>
                <w:rFonts w:hint="eastAsia" w:ascii="宋体" w:hAnsi="宋体" w:cs="宋体"/>
                <w:color w:val="auto"/>
                <w:kern w:val="0"/>
                <w:sz w:val="21"/>
                <w:szCs w:val="21"/>
                <w:highlight w:val="none"/>
                <w:lang w:val="en-US" w:eastAsia="zh-CN" w:bidi="ar"/>
              </w:rPr>
              <w:instrText xml:space="preserve"> HYPERLINK "http://www.baidu.com/link?url=uNUCJZGzVYjWIZVPCvOUSQ4KIN-hHjaQvIG-2tr_BbXEcAmJTYTFtwklq1ywrngOf5RsfdXkb1DkfsD4-H1aYY55rYCNKirlWGMcSRbWiWbjWe8wJiMu9l8xLN3ytboEF9i13ccUueTTIobaC2ooA_" \t "https://www.baidu.com/_blank" </w:instrText>
            </w:r>
            <w:r>
              <w:rPr>
                <w:rFonts w:hint="eastAsia" w:ascii="宋体" w:hAnsi="宋体" w:cs="宋体"/>
                <w:color w:val="auto"/>
                <w:kern w:val="0"/>
                <w:sz w:val="21"/>
                <w:szCs w:val="21"/>
                <w:highlight w:val="none"/>
                <w:lang w:val="en-US" w:eastAsia="zh-CN" w:bidi="ar"/>
              </w:rPr>
              <w:fldChar w:fldCharType="separate"/>
            </w:r>
            <w:r>
              <w:rPr>
                <w:rFonts w:hint="eastAsia" w:ascii="宋体" w:hAnsi="宋体" w:cs="宋体"/>
                <w:color w:val="auto"/>
                <w:kern w:val="0"/>
                <w:sz w:val="21"/>
                <w:szCs w:val="21"/>
                <w:highlight w:val="none"/>
                <w:lang w:val="en-US" w:eastAsia="zh-CN" w:bidi="ar"/>
              </w:rPr>
              <w:t>ITSS信息技术服务运行维护三级</w:t>
            </w:r>
            <w:r>
              <w:rPr>
                <w:rFonts w:hint="eastAsia" w:ascii="宋体" w:hAnsi="宋体" w:cs="宋体"/>
                <w:color w:val="auto"/>
                <w:kern w:val="0"/>
                <w:sz w:val="21"/>
                <w:szCs w:val="21"/>
                <w:highlight w:val="none"/>
                <w:lang w:val="en-US" w:eastAsia="zh-CN" w:bidi="ar"/>
              </w:rPr>
              <w:fldChar w:fldCharType="end"/>
            </w:r>
            <w:r>
              <w:rPr>
                <w:rFonts w:hint="eastAsia" w:ascii="宋体" w:hAnsi="宋体" w:cs="宋体"/>
                <w:color w:val="auto"/>
                <w:kern w:val="0"/>
                <w:sz w:val="21"/>
                <w:szCs w:val="21"/>
                <w:highlight w:val="none"/>
                <w:lang w:val="en-US" w:eastAsia="zh-CN" w:bidi="ar"/>
              </w:rPr>
              <w:t>及以上认证证书；</w:t>
            </w:r>
          </w:p>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5.具有电子与智能化工程专业二级及以上证书；</w:t>
            </w:r>
          </w:p>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每提供一项证书并在有效期内的得1分，最高得5分。</w:t>
            </w:r>
          </w:p>
          <w:p>
            <w:pPr>
              <w:spacing w:line="360" w:lineRule="auto"/>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注：需提供相关证书复印件并加盖公章。</w:t>
            </w:r>
          </w:p>
        </w:tc>
        <w:tc>
          <w:tcPr>
            <w:tcW w:w="758" w:type="dxa"/>
            <w:vAlign w:val="center"/>
          </w:tcPr>
          <w:p>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vAlign w:val="center"/>
          </w:tcPr>
          <w:p>
            <w:pPr>
              <w:adjustRightInd w:val="0"/>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274"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资信状况</w:t>
            </w:r>
          </w:p>
        </w:tc>
        <w:tc>
          <w:tcPr>
            <w:tcW w:w="7088" w:type="dxa"/>
            <w:tcBorders>
              <w:bottom w:val="single" w:color="auto" w:sz="4" w:space="0"/>
            </w:tcBorders>
            <w:vAlign w:val="center"/>
          </w:tcPr>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银行或资信评级机构开具的A级或以上资信证明(注：A+、A-属于A级)，得2分；</w:t>
            </w:r>
          </w:p>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银行或资信评级机构开具的B级资信证明(注：B+B-属于B级)，得1分；</w:t>
            </w:r>
          </w:p>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其他情况不得分。</w:t>
            </w:r>
          </w:p>
          <w:p>
            <w:pPr>
              <w:spacing w:line="360" w:lineRule="auto"/>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注：提供相关证明材料复印件并加盖公章。</w:t>
            </w:r>
          </w:p>
        </w:tc>
        <w:tc>
          <w:tcPr>
            <w:tcW w:w="758" w:type="dxa"/>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vAlign w:val="center"/>
          </w:tcPr>
          <w:p>
            <w:pPr>
              <w:adjustRightInd w:val="0"/>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3</w:t>
            </w:r>
          </w:p>
        </w:tc>
        <w:tc>
          <w:tcPr>
            <w:tcW w:w="1274"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项目团队人员实力</w:t>
            </w:r>
          </w:p>
        </w:tc>
        <w:tc>
          <w:tcPr>
            <w:tcW w:w="7088" w:type="dxa"/>
            <w:tcBorders>
              <w:bottom w:val="single" w:color="auto" w:sz="4" w:space="0"/>
            </w:tcBorders>
            <w:vAlign w:val="center"/>
          </w:tcPr>
          <w:p>
            <w:pPr>
              <w:spacing w:line="360" w:lineRule="auto"/>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.网络工程师1名；</w:t>
            </w:r>
          </w:p>
          <w:p>
            <w:pPr>
              <w:spacing w:line="360" w:lineRule="auto"/>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.信息安全保障人员证书（CISAW）1名；</w:t>
            </w:r>
          </w:p>
          <w:p>
            <w:pPr>
              <w:spacing w:line="360" w:lineRule="auto"/>
              <w:rPr>
                <w:rFonts w:hint="eastAsia" w:ascii="宋体" w:hAnsi="宋体" w:eastAsia="宋体" w:cs="宋体"/>
                <w:color w:val="auto"/>
                <w:kern w:val="0"/>
                <w:sz w:val="21"/>
                <w:szCs w:val="21"/>
                <w:highlight w:val="none"/>
                <w:lang w:val="zh-CN" w:eastAsia="zh-CN" w:bidi="ar"/>
              </w:rPr>
            </w:pPr>
            <w:r>
              <w:rPr>
                <w:rFonts w:hint="eastAsia" w:ascii="宋体" w:hAnsi="宋体"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zh-CN" w:eastAsia="zh-CN" w:bidi="ar"/>
              </w:rPr>
              <w:t>系统集成项目管理工程师1名；</w:t>
            </w:r>
          </w:p>
          <w:p>
            <w:pPr>
              <w:spacing w:line="360" w:lineRule="auto"/>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.信息安全工程师1名；</w:t>
            </w:r>
          </w:p>
          <w:p>
            <w:pPr>
              <w:spacing w:line="360" w:lineRule="auto"/>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.特种作业操作证（电工）人员1名；</w:t>
            </w:r>
          </w:p>
          <w:p>
            <w:pPr>
              <w:spacing w:line="360" w:lineRule="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完全符合得</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分，有一人不符合扣1分。最低分0分。</w:t>
            </w:r>
          </w:p>
          <w:p>
            <w:pPr>
              <w:spacing w:line="360" w:lineRule="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注：同一人员持证不重复计分，</w:t>
            </w:r>
            <w:r>
              <w:rPr>
                <w:rFonts w:hint="eastAsia" w:ascii="宋体" w:hAnsi="宋体" w:eastAsia="宋体" w:cs="宋体"/>
                <w:color w:val="auto"/>
                <w:kern w:val="0"/>
                <w:sz w:val="21"/>
                <w:szCs w:val="21"/>
                <w:highlight w:val="none"/>
                <w:lang w:val="zh-CN" w:eastAsia="zh-CN" w:bidi="ar"/>
              </w:rPr>
              <w:t>须提供相关人员证书扫描件及</w:t>
            </w:r>
            <w:r>
              <w:rPr>
                <w:rFonts w:hint="eastAsia" w:ascii="宋体" w:hAnsi="宋体" w:eastAsia="宋体" w:cs="宋体"/>
                <w:color w:val="auto"/>
                <w:kern w:val="0"/>
                <w:sz w:val="21"/>
                <w:szCs w:val="21"/>
                <w:highlight w:val="none"/>
                <w:lang w:val="en-US" w:eastAsia="zh-CN" w:bidi="ar"/>
              </w:rPr>
              <w:t>投标截止前6个月内</w:t>
            </w:r>
            <w:r>
              <w:rPr>
                <w:rFonts w:hint="eastAsia" w:ascii="宋体" w:hAnsi="宋体" w:cs="宋体"/>
                <w:color w:val="auto"/>
                <w:kern w:val="0"/>
                <w:sz w:val="21"/>
                <w:szCs w:val="21"/>
                <w:highlight w:val="none"/>
                <w:lang w:val="en-US" w:eastAsia="zh-CN" w:bidi="ar"/>
              </w:rPr>
              <w:t>任意1</w:t>
            </w:r>
            <w:r>
              <w:rPr>
                <w:rFonts w:hint="eastAsia" w:ascii="宋体" w:hAnsi="宋体" w:eastAsia="宋体" w:cs="宋体"/>
                <w:color w:val="auto"/>
                <w:kern w:val="0"/>
                <w:sz w:val="21"/>
                <w:szCs w:val="21"/>
                <w:highlight w:val="none"/>
                <w:lang w:val="zh-CN" w:eastAsia="zh-CN" w:bidi="ar"/>
              </w:rPr>
              <w:t>个月由投标人为其缴纳社保证明并加盖投标人公章，否则不得分。</w:t>
            </w:r>
          </w:p>
        </w:tc>
        <w:tc>
          <w:tcPr>
            <w:tcW w:w="758" w:type="dxa"/>
            <w:vAlign w:val="center"/>
          </w:tcPr>
          <w:p>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621" w:type="dxa"/>
            <w:vAlign w:val="center"/>
          </w:tcPr>
          <w:p>
            <w:pPr>
              <w:adjustRightInd w:val="0"/>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4</w:t>
            </w:r>
          </w:p>
        </w:tc>
        <w:tc>
          <w:tcPr>
            <w:tcW w:w="1274"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项目负责人资质</w:t>
            </w:r>
          </w:p>
        </w:tc>
        <w:tc>
          <w:tcPr>
            <w:tcW w:w="7088" w:type="dxa"/>
            <w:tcBorders>
              <w:bottom w:val="single" w:color="auto" w:sz="4" w:space="0"/>
            </w:tcBorders>
            <w:vAlign w:val="center"/>
          </w:tcPr>
          <w:p>
            <w:pPr>
              <w:spacing w:line="360" w:lineRule="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zh-CN" w:eastAsia="zh-CN" w:bidi="ar"/>
              </w:rPr>
              <w:t>拟派项目负责人满足以下项得</w:t>
            </w:r>
            <w:r>
              <w:rPr>
                <w:rFonts w:hint="eastAsia" w:ascii="宋体" w:hAnsi="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zh-CN" w:eastAsia="zh-CN" w:bidi="ar"/>
              </w:rPr>
              <w:t>分</w:t>
            </w:r>
            <w:r>
              <w:rPr>
                <w:rFonts w:hint="eastAsia" w:ascii="宋体" w:hAnsi="宋体" w:eastAsia="宋体" w:cs="宋体"/>
                <w:color w:val="auto"/>
                <w:kern w:val="0"/>
                <w:sz w:val="21"/>
                <w:szCs w:val="21"/>
                <w:highlight w:val="none"/>
                <w:lang w:val="en-US" w:eastAsia="zh-CN" w:bidi="ar"/>
              </w:rPr>
              <w:t>。</w:t>
            </w:r>
          </w:p>
          <w:p>
            <w:pPr>
              <w:spacing w:line="360" w:lineRule="auto"/>
              <w:rPr>
                <w:rFonts w:hint="eastAsia" w:ascii="宋体" w:hAnsi="宋体" w:eastAsia="宋体" w:cs="宋体"/>
                <w:color w:val="auto"/>
                <w:kern w:val="0"/>
                <w:sz w:val="21"/>
                <w:szCs w:val="21"/>
                <w:highlight w:val="none"/>
                <w:lang w:val="zh-CN" w:eastAsia="zh-CN" w:bidi="ar"/>
              </w:rPr>
            </w:pPr>
            <w:r>
              <w:rPr>
                <w:rFonts w:hint="eastAsia" w:ascii="宋体" w:hAnsi="宋体" w:eastAsia="宋体" w:cs="宋体"/>
                <w:color w:val="auto"/>
                <w:kern w:val="0"/>
                <w:sz w:val="21"/>
                <w:szCs w:val="21"/>
                <w:highlight w:val="none"/>
                <w:lang w:val="zh-CN" w:eastAsia="zh-CN" w:bidi="ar"/>
              </w:rPr>
              <w:t>1</w:t>
            </w:r>
            <w:r>
              <w:rPr>
                <w:rFonts w:hint="eastAsia" w:ascii="宋体" w:hAnsi="宋体" w:eastAsia="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zh-CN" w:eastAsia="zh-CN" w:bidi="ar"/>
              </w:rPr>
              <w:t>具备信息系统项目管理师资质</w:t>
            </w:r>
            <w:r>
              <w:rPr>
                <w:rFonts w:hint="eastAsia" w:ascii="宋体" w:hAnsi="宋体" w:cs="宋体"/>
                <w:color w:val="auto"/>
                <w:kern w:val="0"/>
                <w:sz w:val="21"/>
                <w:szCs w:val="21"/>
                <w:highlight w:val="none"/>
                <w:lang w:val="en-US" w:eastAsia="zh-CN" w:bidi="ar"/>
              </w:rPr>
              <w:t>或PMP认证人员</w:t>
            </w:r>
            <w:r>
              <w:rPr>
                <w:rFonts w:hint="eastAsia" w:ascii="宋体" w:hAnsi="宋体" w:eastAsia="宋体" w:cs="宋体"/>
                <w:color w:val="auto"/>
                <w:kern w:val="0"/>
                <w:sz w:val="21"/>
                <w:szCs w:val="21"/>
                <w:highlight w:val="none"/>
                <w:lang w:val="en-US" w:eastAsia="zh-CN" w:bidi="ar"/>
              </w:rPr>
              <w:t>；</w:t>
            </w:r>
          </w:p>
          <w:p>
            <w:pPr>
              <w:spacing w:line="360" w:lineRule="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zh-CN" w:eastAsia="zh-CN" w:bidi="ar"/>
              </w:rPr>
              <w:t>注：须提供相关人员证书扫描件及</w:t>
            </w:r>
            <w:r>
              <w:rPr>
                <w:rFonts w:hint="eastAsia" w:ascii="宋体" w:hAnsi="宋体" w:eastAsia="宋体" w:cs="宋体"/>
                <w:color w:val="auto"/>
                <w:kern w:val="0"/>
                <w:sz w:val="21"/>
                <w:szCs w:val="21"/>
                <w:highlight w:val="none"/>
                <w:lang w:val="en-US" w:eastAsia="zh-CN" w:bidi="ar"/>
              </w:rPr>
              <w:t>投标截止前6个月内</w:t>
            </w:r>
            <w:r>
              <w:rPr>
                <w:rFonts w:hint="eastAsia" w:ascii="宋体" w:hAnsi="宋体" w:cs="宋体"/>
                <w:color w:val="auto"/>
                <w:kern w:val="0"/>
                <w:sz w:val="21"/>
                <w:szCs w:val="21"/>
                <w:highlight w:val="none"/>
                <w:lang w:val="en-US" w:eastAsia="zh-CN" w:bidi="ar"/>
              </w:rPr>
              <w:t>任意1</w:t>
            </w:r>
            <w:r>
              <w:rPr>
                <w:rFonts w:hint="eastAsia" w:ascii="宋体" w:hAnsi="宋体" w:eastAsia="宋体" w:cs="宋体"/>
                <w:color w:val="auto"/>
                <w:kern w:val="0"/>
                <w:sz w:val="21"/>
                <w:szCs w:val="21"/>
                <w:highlight w:val="none"/>
                <w:lang w:val="zh-CN" w:eastAsia="zh-CN" w:bidi="ar"/>
              </w:rPr>
              <w:t>个月由投标人为其缴纳社保证明并加盖投标人公章，否则不得分。</w:t>
            </w:r>
          </w:p>
        </w:tc>
        <w:tc>
          <w:tcPr>
            <w:tcW w:w="758" w:type="dxa"/>
            <w:vAlign w:val="center"/>
          </w:tcPr>
          <w:p>
            <w:pPr>
              <w:widowControl/>
              <w:spacing w:line="360" w:lineRule="auto"/>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vAlign w:val="center"/>
          </w:tcPr>
          <w:p>
            <w:pPr>
              <w:adjustRightInd w:val="0"/>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5</w:t>
            </w:r>
          </w:p>
        </w:tc>
        <w:tc>
          <w:tcPr>
            <w:tcW w:w="1274"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企业业绩</w:t>
            </w:r>
          </w:p>
        </w:tc>
        <w:tc>
          <w:tcPr>
            <w:tcW w:w="7088" w:type="dxa"/>
            <w:tcBorders>
              <w:bottom w:val="single" w:color="auto" w:sz="4" w:space="0"/>
            </w:tcBorders>
            <w:vAlign w:val="center"/>
          </w:tcPr>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2021年1月1日以来投标人承接过合同金额≥150万元的同类项目业绩（同类项目是指合同内容包括LED小间距大屏），每提供一份业绩证明材料得1分，最高得4分。</w:t>
            </w:r>
          </w:p>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注：须提供项目中标通知书、合同关键页复印件，合同关键页须体现项目名称、合同标的、项目金额及签订时间、双方落款盖章，如项目合同为框架合同或未能明确金额的，则需提供业主证明或发票复印件辅佐证明项目金额，不提供不得分。</w:t>
            </w:r>
          </w:p>
        </w:tc>
        <w:tc>
          <w:tcPr>
            <w:tcW w:w="758" w:type="dxa"/>
            <w:vAlign w:val="center"/>
          </w:tcPr>
          <w:p>
            <w:pPr>
              <w:pStyle w:val="24"/>
              <w:jc w:val="center"/>
              <w:rPr>
                <w:rFonts w:hint="default" w:eastAsia="宋体"/>
                <w:color w:val="auto"/>
                <w:szCs w:val="21"/>
                <w:highlight w:val="none"/>
                <w:lang w:val="en-US" w:eastAsia="zh-CN"/>
              </w:rPr>
            </w:pPr>
            <w:r>
              <w:rPr>
                <w:rFonts w:hint="eastAsia"/>
                <w:color w:val="auto"/>
                <w:szCs w:val="21"/>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21" w:type="dxa"/>
            <w:vAlign w:val="center"/>
          </w:tcPr>
          <w:p>
            <w:pPr>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6</w:t>
            </w:r>
          </w:p>
        </w:tc>
        <w:tc>
          <w:tcPr>
            <w:tcW w:w="1274" w:type="dxa"/>
            <w:vAlign w:val="center"/>
          </w:tcPr>
          <w:p>
            <w:pPr>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本地化服务</w:t>
            </w:r>
          </w:p>
        </w:tc>
        <w:tc>
          <w:tcPr>
            <w:tcW w:w="7088" w:type="dxa"/>
            <w:vAlign w:val="center"/>
          </w:tcPr>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eastAsia="宋体" w:cs="宋体"/>
                <w:color w:val="auto"/>
                <w:sz w:val="21"/>
                <w:szCs w:val="21"/>
                <w:highlight w:val="none"/>
                <w:lang w:val="en-US" w:eastAsia="zh-CN"/>
              </w:rPr>
              <w:t>投标人注册地在项目所在地或在项目所在地有分支机构的，或承诺中标后在项目所在地设立分支机构的</w:t>
            </w:r>
            <w:r>
              <w:rPr>
                <w:rFonts w:hint="eastAsia" w:ascii="宋体" w:hAnsi="宋体" w:cs="宋体"/>
                <w:color w:val="auto"/>
                <w:kern w:val="0"/>
                <w:sz w:val="21"/>
                <w:szCs w:val="21"/>
                <w:highlight w:val="none"/>
                <w:lang w:val="en-US" w:eastAsia="zh-CN" w:bidi="ar"/>
              </w:rPr>
              <w:t>，得2分；未提供证明材料则不得分。</w:t>
            </w:r>
          </w:p>
          <w:p>
            <w:pPr>
              <w:spacing w:line="360" w:lineRule="auto"/>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注：提供营业执照复印件，或有效期内的租赁合同复印件（租赁合同租赁方须为投标人或其分支机构），</w:t>
            </w:r>
            <w:r>
              <w:rPr>
                <w:rFonts w:hint="eastAsia" w:ascii="宋体" w:hAnsi="宋体" w:eastAsia="宋体" w:cs="宋体"/>
                <w:color w:val="auto"/>
                <w:sz w:val="21"/>
                <w:szCs w:val="21"/>
                <w:highlight w:val="none"/>
                <w:lang w:val="en-US" w:eastAsia="zh-CN"/>
              </w:rPr>
              <w:t>或承诺函（格式自拟）</w:t>
            </w:r>
            <w:r>
              <w:rPr>
                <w:rFonts w:hint="eastAsia" w:ascii="宋体" w:hAnsi="宋体" w:cs="宋体"/>
                <w:color w:val="auto"/>
                <w:kern w:val="0"/>
                <w:sz w:val="21"/>
                <w:szCs w:val="21"/>
                <w:highlight w:val="none"/>
                <w:lang w:val="en-US" w:eastAsia="zh-CN" w:bidi="ar"/>
              </w:rPr>
              <w:t>。</w:t>
            </w:r>
          </w:p>
        </w:tc>
        <w:tc>
          <w:tcPr>
            <w:tcW w:w="758" w:type="dxa"/>
            <w:vAlign w:val="center"/>
          </w:tcPr>
          <w:p>
            <w:pPr>
              <w:widowControl/>
              <w:adjustRightInd w:val="0"/>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lang w:eastAsia="zh-CN"/>
              </w:rPr>
              <w:t>2</w:t>
            </w:r>
            <w:r>
              <w:rPr>
                <w:rFonts w:hint="eastAsia" w:ascii="宋体" w:hAnsi="宋体" w:cs="宋体"/>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983" w:type="dxa"/>
            <w:gridSpan w:val="3"/>
            <w:vAlign w:val="center"/>
          </w:tcPr>
          <w:p>
            <w:pPr>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合计</w:t>
            </w:r>
          </w:p>
        </w:tc>
        <w:tc>
          <w:tcPr>
            <w:tcW w:w="758" w:type="dxa"/>
            <w:vAlign w:val="center"/>
          </w:tcPr>
          <w:p>
            <w:pPr>
              <w:widowControl/>
              <w:adjustRightInd w:val="0"/>
              <w:spacing w:after="120" w:line="360" w:lineRule="auto"/>
              <w:jc w:val="center"/>
              <w:rPr>
                <w:rFonts w:ascii="宋体" w:hAnsi="宋体" w:cs="宋体"/>
                <w:color w:val="auto"/>
                <w:szCs w:val="21"/>
                <w:highlight w:val="none"/>
              </w:rPr>
            </w:pPr>
            <w:r>
              <w:rPr>
                <w:rFonts w:hint="eastAsia" w:ascii="宋体" w:hAnsi="宋体" w:cs="宋体"/>
                <w:color w:val="auto"/>
                <w:szCs w:val="21"/>
                <w:highlight w:val="none"/>
              </w:rPr>
              <w:t>20分</w:t>
            </w:r>
          </w:p>
        </w:tc>
      </w:tr>
    </w:tbl>
    <w:p>
      <w:pPr>
        <w:pStyle w:val="28"/>
        <w:rPr>
          <w:rFonts w:hint="eastAsia" w:ascii="宋体" w:hAnsi="宋体" w:eastAsia="宋体" w:cs="宋体"/>
          <w:b/>
          <w:bCs/>
          <w:color w:val="auto"/>
          <w:highlight w:val="none"/>
        </w:rPr>
      </w:pPr>
      <w:r>
        <w:rPr>
          <w:rFonts w:hint="eastAsia" w:ascii="宋体" w:hAnsi="宋体" w:eastAsia="宋体" w:cs="宋体"/>
          <w:b/>
          <w:bCs/>
          <w:color w:val="auto"/>
          <w:highlight w:val="none"/>
        </w:rPr>
        <w:t>注：</w:t>
      </w:r>
      <w:r>
        <w:rPr>
          <w:rFonts w:hint="eastAsia" w:hAnsi="宋体" w:cs="宋体"/>
          <w:b/>
          <w:bCs/>
          <w:color w:val="auto"/>
          <w:highlight w:val="none"/>
          <w:lang w:val="en-US" w:eastAsia="zh-CN"/>
        </w:rPr>
        <w:t>1、</w:t>
      </w:r>
      <w:r>
        <w:rPr>
          <w:rFonts w:hint="eastAsia" w:ascii="宋体" w:hAnsi="宋体" w:eastAsia="宋体" w:cs="宋体"/>
          <w:b/>
          <w:bCs/>
          <w:color w:val="auto"/>
          <w:highlight w:val="none"/>
        </w:rPr>
        <w:t>评委对各投标文件进行评审，分数精确至小数点后2位。</w:t>
      </w:r>
    </w:p>
    <w:p>
      <w:pPr>
        <w:rPr>
          <w:rFonts w:hint="eastAsia" w:ascii="宋体" w:hAnsi="宋体"/>
          <w:b/>
          <w:bCs/>
          <w:color w:val="auto"/>
          <w:highlight w:val="none"/>
          <w:lang w:val="en-US" w:eastAsia="zh-CN"/>
        </w:rPr>
      </w:pPr>
      <w:r>
        <w:rPr>
          <w:rFonts w:hint="eastAsia" w:ascii="宋体" w:hAnsi="宋体"/>
          <w:b/>
          <w:bCs/>
          <w:color w:val="auto"/>
          <w:highlight w:val="none"/>
          <w:lang w:val="en-US" w:eastAsia="zh-CN"/>
        </w:rPr>
        <w:t>2、若投标人出现商务评分低于商务得分的60%，评标委员会将否决该投标人的所有投标文件，该投标人也不再进入价格详细评审环节。</w:t>
      </w:r>
    </w:p>
    <w:p>
      <w:pPr>
        <w:pStyle w:val="24"/>
        <w:rPr>
          <w:rFonts w:hint="eastAsia" w:ascii="宋体" w:hAnsi="宋体"/>
          <w:b/>
          <w:bCs/>
          <w:color w:val="auto"/>
          <w:highlight w:val="none"/>
          <w:lang w:val="en-US" w:eastAsia="zh-CN"/>
        </w:rPr>
      </w:pPr>
    </w:p>
    <w:p>
      <w:pPr>
        <w:pStyle w:val="8"/>
        <w:rPr>
          <w:rFonts w:hint="eastAsia" w:ascii="宋体" w:hAnsi="宋体"/>
          <w:b/>
          <w:bCs/>
          <w:color w:val="auto"/>
          <w:highlight w:val="none"/>
          <w:lang w:val="en-US" w:eastAsia="zh-CN"/>
        </w:rPr>
      </w:pPr>
    </w:p>
    <w:p>
      <w:pPr>
        <w:rPr>
          <w:rFonts w:hint="eastAsia" w:ascii="宋体" w:hAnsi="宋体"/>
          <w:b/>
          <w:bCs/>
          <w:color w:val="auto"/>
          <w:highlight w:val="none"/>
          <w:lang w:val="en-US" w:eastAsia="zh-CN"/>
        </w:rPr>
      </w:pPr>
    </w:p>
    <w:p>
      <w:pPr>
        <w:pStyle w:val="24"/>
        <w:rPr>
          <w:rFonts w:hint="eastAsia" w:ascii="宋体" w:hAnsi="宋体"/>
          <w:b/>
          <w:bCs/>
          <w:color w:val="auto"/>
          <w:highlight w:val="none"/>
          <w:lang w:val="en-US" w:eastAsia="zh-CN"/>
        </w:rPr>
      </w:pPr>
    </w:p>
    <w:p>
      <w:pPr>
        <w:pStyle w:val="8"/>
        <w:rPr>
          <w:rFonts w:hint="eastAsia" w:ascii="宋体" w:hAnsi="宋体"/>
          <w:b/>
          <w:bCs/>
          <w:color w:val="auto"/>
          <w:highlight w:val="none"/>
          <w:lang w:val="en-US" w:eastAsia="zh-CN"/>
        </w:rPr>
      </w:pPr>
    </w:p>
    <w:p>
      <w:pPr>
        <w:rPr>
          <w:rFonts w:hint="eastAsia" w:ascii="宋体" w:hAnsi="宋体"/>
          <w:b/>
          <w:bCs/>
          <w:color w:val="auto"/>
          <w:highlight w:val="none"/>
          <w:lang w:val="en-US" w:eastAsia="zh-CN"/>
        </w:rPr>
      </w:pPr>
    </w:p>
    <w:p>
      <w:pPr>
        <w:pStyle w:val="24"/>
        <w:rPr>
          <w:rFonts w:hint="eastAsia" w:ascii="宋体" w:hAnsi="宋体"/>
          <w:b/>
          <w:bCs/>
          <w:color w:val="auto"/>
          <w:highlight w:val="none"/>
          <w:lang w:val="en-US" w:eastAsia="zh-CN"/>
        </w:rPr>
      </w:pPr>
    </w:p>
    <w:p>
      <w:pPr>
        <w:pStyle w:val="24"/>
        <w:rPr>
          <w:rFonts w:hint="eastAsia" w:ascii="宋体" w:hAnsi="宋体"/>
          <w:b/>
          <w:color w:val="auto"/>
          <w:szCs w:val="24"/>
          <w:highlight w:val="none"/>
        </w:rPr>
      </w:pPr>
    </w:p>
    <w:p>
      <w:pPr>
        <w:pStyle w:val="24"/>
        <w:rPr>
          <w:rFonts w:hint="eastAsia" w:ascii="宋体" w:hAnsi="宋体"/>
          <w:b/>
          <w:color w:val="auto"/>
          <w:szCs w:val="24"/>
          <w:highlight w:val="none"/>
        </w:rPr>
      </w:pPr>
    </w:p>
    <w:p>
      <w:pPr>
        <w:pStyle w:val="24"/>
        <w:rPr>
          <w:rFonts w:hint="eastAsia" w:ascii="宋体" w:hAnsi="宋体"/>
          <w:b/>
          <w:color w:val="auto"/>
          <w:szCs w:val="24"/>
          <w:highlight w:val="none"/>
        </w:rPr>
      </w:pPr>
    </w:p>
    <w:p>
      <w:pPr>
        <w:pStyle w:val="8"/>
        <w:rPr>
          <w:rFonts w:hint="eastAsia"/>
          <w:color w:val="auto"/>
          <w:highlight w:val="none"/>
        </w:rPr>
      </w:pPr>
    </w:p>
    <w:p>
      <w:pPr>
        <w:pStyle w:val="24"/>
        <w:rPr>
          <w:rFonts w:hint="eastAsia" w:ascii="宋体" w:hAnsi="宋体"/>
          <w:b/>
          <w:color w:val="auto"/>
          <w:szCs w:val="24"/>
          <w:highlight w:val="none"/>
          <w:lang w:eastAsia="zh-CN"/>
        </w:rPr>
      </w:pPr>
      <w:r>
        <w:rPr>
          <w:rFonts w:hint="eastAsia" w:ascii="宋体" w:hAnsi="宋体"/>
          <w:b/>
          <w:color w:val="auto"/>
          <w:szCs w:val="24"/>
          <w:highlight w:val="none"/>
        </w:rPr>
        <w:t>附表</w:t>
      </w:r>
      <w:r>
        <w:rPr>
          <w:rFonts w:hint="eastAsia" w:ascii="宋体" w:hAnsi="宋体"/>
          <w:b/>
          <w:color w:val="auto"/>
          <w:szCs w:val="24"/>
          <w:highlight w:val="none"/>
          <w:lang w:val="en-US" w:eastAsia="zh-CN"/>
        </w:rPr>
        <w:t>4</w:t>
      </w:r>
      <w:r>
        <w:rPr>
          <w:rFonts w:hint="eastAsia" w:ascii="宋体" w:hAnsi="宋体"/>
          <w:b/>
          <w:color w:val="auto"/>
          <w:szCs w:val="24"/>
          <w:highlight w:val="none"/>
        </w:rPr>
        <w:t>：</w:t>
      </w:r>
      <w:r>
        <w:rPr>
          <w:rFonts w:hint="eastAsia" w:ascii="宋体" w:hAnsi="宋体"/>
          <w:b/>
          <w:color w:val="auto"/>
          <w:szCs w:val="24"/>
          <w:highlight w:val="none"/>
          <w:lang w:val="en-US" w:eastAsia="zh-CN"/>
        </w:rPr>
        <w:t>符合性</w:t>
      </w:r>
      <w:r>
        <w:rPr>
          <w:rFonts w:hint="eastAsia" w:ascii="宋体" w:hAnsi="宋体"/>
          <w:b/>
          <w:color w:val="auto"/>
          <w:szCs w:val="24"/>
          <w:highlight w:val="none"/>
        </w:rPr>
        <w:t>审查表</w:t>
      </w:r>
      <w:r>
        <w:rPr>
          <w:rFonts w:hint="eastAsia" w:ascii="宋体" w:hAnsi="宋体"/>
          <w:b/>
          <w:color w:val="auto"/>
          <w:szCs w:val="24"/>
          <w:highlight w:val="none"/>
          <w:lang w:eastAsia="zh-CN"/>
        </w:rPr>
        <w:t>（</w:t>
      </w:r>
      <w:r>
        <w:rPr>
          <w:rFonts w:hint="eastAsia" w:ascii="宋体" w:hAnsi="宋体"/>
          <w:b/>
          <w:color w:val="auto"/>
          <w:szCs w:val="24"/>
          <w:highlight w:val="none"/>
          <w:lang w:val="en-US" w:eastAsia="zh-CN"/>
        </w:rPr>
        <w:t>阶段二</w:t>
      </w:r>
      <w:r>
        <w:rPr>
          <w:rFonts w:hint="eastAsia" w:ascii="宋体" w:hAnsi="宋体"/>
          <w:b/>
          <w:color w:val="auto"/>
          <w:szCs w:val="24"/>
          <w:highlight w:val="none"/>
          <w:lang w:eastAsia="zh-CN"/>
        </w:rPr>
        <w:t>）</w:t>
      </w:r>
    </w:p>
    <w:p>
      <w:pPr>
        <w:pStyle w:val="8"/>
        <w:ind w:left="0" w:firstLine="0"/>
        <w:jc w:val="center"/>
        <w:rPr>
          <w:rFonts w:hint="eastAsia" w:ascii="宋体" w:hAnsi="宋体"/>
          <w:b/>
          <w:color w:val="auto"/>
          <w:sz w:val="28"/>
          <w:szCs w:val="28"/>
          <w:highlight w:val="none"/>
          <w:lang w:eastAsia="zh-CN"/>
        </w:rPr>
      </w:pPr>
      <w:r>
        <w:rPr>
          <w:rFonts w:hint="eastAsia" w:ascii="宋体" w:hAnsi="宋体"/>
          <w:b/>
          <w:color w:val="auto"/>
          <w:sz w:val="28"/>
          <w:szCs w:val="28"/>
          <w:highlight w:val="none"/>
          <w:lang w:val="en-US" w:eastAsia="zh-CN"/>
        </w:rPr>
        <w:t>符合性</w:t>
      </w:r>
      <w:r>
        <w:rPr>
          <w:rFonts w:hint="eastAsia" w:ascii="宋体" w:hAnsi="宋体"/>
          <w:b/>
          <w:color w:val="auto"/>
          <w:sz w:val="28"/>
          <w:szCs w:val="28"/>
          <w:highlight w:val="none"/>
        </w:rPr>
        <w:t>审查表</w:t>
      </w:r>
      <w:r>
        <w:rPr>
          <w:rFonts w:hint="eastAsia" w:ascii="宋体" w:hAnsi="宋体"/>
          <w:b/>
          <w:color w:val="auto"/>
          <w:sz w:val="28"/>
          <w:szCs w:val="28"/>
          <w:highlight w:val="none"/>
          <w:lang w:eastAsia="zh-CN"/>
        </w:rPr>
        <w:t>（</w:t>
      </w:r>
      <w:r>
        <w:rPr>
          <w:rFonts w:hint="eastAsia" w:ascii="宋体" w:hAnsi="宋体"/>
          <w:b/>
          <w:color w:val="auto"/>
          <w:sz w:val="28"/>
          <w:szCs w:val="28"/>
          <w:highlight w:val="none"/>
          <w:lang w:val="en-US" w:eastAsia="zh-CN"/>
        </w:rPr>
        <w:t>阶段二</w:t>
      </w:r>
      <w:r>
        <w:rPr>
          <w:rFonts w:hint="eastAsia" w:ascii="宋体" w:hAnsi="宋体"/>
          <w:b/>
          <w:color w:val="auto"/>
          <w:sz w:val="28"/>
          <w:szCs w:val="28"/>
          <w:highlight w:val="none"/>
          <w:lang w:eastAsia="zh-CN"/>
        </w:rPr>
        <w:t>）</w:t>
      </w:r>
    </w:p>
    <w:tbl>
      <w:tblPr>
        <w:tblStyle w:val="54"/>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投标人</w:t>
            </w:r>
          </w:p>
        </w:tc>
      </w:tr>
      <w:tr>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D</w:t>
            </w: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E</w:t>
            </w: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color w:val="auto"/>
                <w:szCs w:val="21"/>
                <w:highlight w:val="none"/>
                <w:lang w:val="en-US" w:eastAsia="zh-CN"/>
              </w:rPr>
            </w:pPr>
            <w:r>
              <w:rPr>
                <w:rFonts w:hint="eastAsia" w:ascii="宋体" w:hAnsi="宋体" w:eastAsia="宋体" w:cs="宋体"/>
                <w:bCs/>
                <w:color w:val="auto"/>
                <w:kern w:val="0"/>
                <w:sz w:val="21"/>
                <w:szCs w:val="21"/>
                <w:highlight w:val="none"/>
                <w:lang w:val="en-US" w:eastAsia="zh-CN"/>
              </w:rPr>
              <w:t>...</w:t>
            </w: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投标人的商务评分未低于招标文件规定的商务得分比例</w:t>
            </w:r>
            <w:r>
              <w:rPr>
                <w:rFonts w:hint="eastAsia" w:ascii="宋体" w:hAnsi="宋体" w:eastAsia="宋体" w:cs="宋体"/>
                <w:i w:val="0"/>
                <w:iCs w:val="0"/>
                <w:color w:val="auto"/>
                <w:kern w:val="0"/>
                <w:sz w:val="21"/>
                <w:szCs w:val="21"/>
                <w:highlight w:val="none"/>
                <w:u w:val="none"/>
                <w:lang w:val="en-US" w:eastAsia="zh-CN" w:bidi="ar"/>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2</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投标人的投标</w:t>
            </w:r>
            <w:r>
              <w:rPr>
                <w:rFonts w:hint="eastAsia" w:ascii="宋体" w:hAnsi="宋体" w:eastAsia="宋体" w:cs="宋体"/>
                <w:color w:val="auto"/>
                <w:szCs w:val="21"/>
                <w:highlight w:val="none"/>
                <w:lang w:val="en-US" w:eastAsia="zh-CN"/>
              </w:rPr>
              <w:t>报</w:t>
            </w:r>
            <w:r>
              <w:rPr>
                <w:rFonts w:hint="eastAsia" w:ascii="宋体" w:hAnsi="宋体" w:eastAsia="宋体" w:cs="宋体"/>
                <w:color w:val="auto"/>
                <w:szCs w:val="21"/>
                <w:highlight w:val="none"/>
              </w:rPr>
              <w:t>价没有超过本项目的最高限价；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投标人不得递交两份或多份内容不同的投标文件，在一份投标文件中对同一招标货物报有两个或多个报价时必须声明哪一个为最终报价；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eastAsia="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无招标文件中规定的其他无效投标的内容。</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color w:val="auto"/>
                <w:sz w:val="21"/>
                <w:szCs w:val="21"/>
                <w:highlight w:val="none"/>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color w:val="auto"/>
                <w:sz w:val="21"/>
                <w:szCs w:val="21"/>
                <w:highlight w:val="none"/>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 w:val="21"/>
                <w:szCs w:val="21"/>
                <w:highlight w:val="none"/>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b/>
                <w:bCs/>
                <w:color w:val="auto"/>
                <w:sz w:val="21"/>
                <w:szCs w:val="21"/>
                <w:highlight w:val="none"/>
              </w:rPr>
            </w:pP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21"/>
                <w:szCs w:val="21"/>
                <w:highlight w:val="none"/>
              </w:rPr>
            </w:pP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21"/>
                <w:szCs w:val="21"/>
                <w:highlight w:val="none"/>
              </w:rPr>
            </w:pPr>
          </w:p>
        </w:tc>
      </w:tr>
    </w:tbl>
    <w:p>
      <w:pPr>
        <w:spacing w:line="360" w:lineRule="auto"/>
        <w:rPr>
          <w:rFonts w:hint="eastAsia" w:ascii="宋体" w:hAnsi="宋体"/>
          <w:b/>
          <w:bCs/>
          <w:color w:val="auto"/>
          <w:highlight w:val="none"/>
        </w:rPr>
      </w:pPr>
    </w:p>
    <w:p>
      <w:pPr>
        <w:spacing w:line="360" w:lineRule="auto"/>
        <w:rPr>
          <w:rFonts w:hint="eastAsia" w:ascii="宋体" w:hAnsi="宋体"/>
          <w:b/>
          <w:bCs/>
          <w:color w:val="auto"/>
          <w:highlight w:val="none"/>
        </w:rPr>
      </w:pPr>
      <w:r>
        <w:rPr>
          <w:rFonts w:hint="eastAsia" w:ascii="宋体" w:hAnsi="宋体"/>
          <w:b/>
          <w:bCs/>
          <w:color w:val="auto"/>
          <w:highlight w:val="none"/>
        </w:rPr>
        <w:t>备注：1、每一项目符合的打“○”，不符合的打“×”；出现一个“×”的结论为不通过。</w:t>
      </w:r>
    </w:p>
    <w:p>
      <w:pPr>
        <w:spacing w:line="360" w:lineRule="auto"/>
        <w:rPr>
          <w:rFonts w:hint="eastAsia" w:ascii="宋体" w:hAnsi="宋体" w:eastAsia="宋体" w:cs="Times New Roman"/>
          <w:b/>
          <w:bCs/>
          <w:color w:val="auto"/>
          <w:sz w:val="21"/>
          <w:szCs w:val="20"/>
          <w:highlight w:val="none"/>
          <w:lang w:eastAsia="zh-CN"/>
        </w:rPr>
      </w:pPr>
      <w:r>
        <w:rPr>
          <w:rFonts w:hint="eastAsia" w:ascii="宋体" w:hAnsi="宋体" w:eastAsia="宋体" w:cs="Times New Roman"/>
          <w:b/>
          <w:bCs/>
          <w:color w:val="auto"/>
          <w:highlight w:val="none"/>
        </w:rPr>
        <w:t>2、表中全部条件满足的结论为通过， 同意进入下一阶段评议</w:t>
      </w:r>
      <w:r>
        <w:rPr>
          <w:rFonts w:hint="eastAsia" w:ascii="宋体" w:hAnsi="宋体" w:eastAsia="宋体" w:cs="Times New Roman"/>
          <w:b/>
          <w:bCs/>
          <w:color w:val="auto"/>
          <w:highlight w:val="none"/>
          <w:lang w:eastAsia="zh-CN"/>
        </w:rPr>
        <w:t>。</w:t>
      </w:r>
    </w:p>
    <w:p>
      <w:pPr>
        <w:jc w:val="center"/>
        <w:rPr>
          <w:rFonts w:hint="eastAsia" w:ascii="宋体" w:hAnsi="宋体" w:cs="宋体"/>
          <w:b/>
          <w:color w:val="auto"/>
          <w:sz w:val="28"/>
          <w:szCs w:val="28"/>
          <w:highlight w:val="none"/>
        </w:rPr>
      </w:pPr>
    </w:p>
    <w:p>
      <w:pPr>
        <w:jc w:val="center"/>
        <w:rPr>
          <w:rFonts w:hint="eastAsia" w:ascii="宋体" w:hAnsi="宋体" w:cs="宋体"/>
          <w:b/>
          <w:color w:val="auto"/>
          <w:sz w:val="28"/>
          <w:szCs w:val="28"/>
          <w:highlight w:val="none"/>
        </w:rPr>
      </w:pPr>
    </w:p>
    <w:p>
      <w:pPr>
        <w:jc w:val="center"/>
        <w:rPr>
          <w:rFonts w:hint="eastAsia" w:ascii="宋体" w:hAnsi="宋体" w:cs="宋体"/>
          <w:b/>
          <w:color w:val="auto"/>
          <w:sz w:val="28"/>
          <w:szCs w:val="28"/>
          <w:highlight w:val="none"/>
        </w:rPr>
      </w:pPr>
    </w:p>
    <w:p>
      <w:pPr>
        <w:jc w:val="center"/>
        <w:rPr>
          <w:rFonts w:hint="eastAsia" w:ascii="宋体" w:hAnsi="宋体" w:cs="宋体"/>
          <w:b/>
          <w:color w:val="auto"/>
          <w:sz w:val="28"/>
          <w:szCs w:val="28"/>
          <w:highlight w:val="none"/>
        </w:rPr>
      </w:pPr>
    </w:p>
    <w:p>
      <w:pPr>
        <w:jc w:val="center"/>
        <w:rPr>
          <w:rFonts w:hint="eastAsia" w:ascii="宋体" w:hAnsi="宋体" w:cs="宋体"/>
          <w:b/>
          <w:color w:val="auto"/>
          <w:sz w:val="28"/>
          <w:szCs w:val="28"/>
          <w:highlight w:val="none"/>
        </w:rPr>
      </w:pPr>
    </w:p>
    <w:p>
      <w:pPr>
        <w:jc w:val="center"/>
        <w:rPr>
          <w:rFonts w:hint="eastAsia" w:ascii="宋体" w:hAnsi="宋体" w:cs="宋体"/>
          <w:b/>
          <w:color w:val="auto"/>
          <w:sz w:val="28"/>
          <w:szCs w:val="28"/>
          <w:highlight w:val="none"/>
        </w:rPr>
      </w:pPr>
    </w:p>
    <w:p>
      <w:pPr>
        <w:rPr>
          <w:rFonts w:hint="eastAsia"/>
          <w:color w:val="auto"/>
          <w:highlight w:val="none"/>
        </w:rPr>
      </w:pPr>
    </w:p>
    <w:sectPr>
      <w:pgSz w:w="11907" w:h="16840"/>
      <w:pgMar w:top="1418" w:right="1304"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体">
    <w:altName w:val="仿宋"/>
    <w:panose1 w:val="00000000000000000000"/>
    <w:charset w:val="86"/>
    <w:family w:val="roma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828800"/>
              <wp:effectExtent l="0" t="0" r="0" b="0"/>
              <wp:wrapNone/>
              <wp:docPr id="6" name="文本框 1046"/>
              <wp:cNvGraphicFramePr/>
              <a:graphic xmlns:a="http://schemas.openxmlformats.org/drawingml/2006/main">
                <a:graphicData uri="http://schemas.microsoft.com/office/word/2010/wordprocessingShape">
                  <wps:wsp>
                    <wps:cNvSpPr txBox="1"/>
                    <wps:spPr>
                      <a:xfrm>
                        <a:off x="0" y="0"/>
                        <a:ext cx="1028700" cy="1828800"/>
                      </a:xfrm>
                      <a:prstGeom prst="rect">
                        <a:avLst/>
                      </a:prstGeom>
                      <a:noFill/>
                      <a:ln w="15875">
                        <a:noFill/>
                      </a:ln>
                    </wps:spPr>
                    <wps:txbx>
                      <w:txbxContent>
                        <w:p>
                          <w:pPr>
                            <w:pStyle w:val="33"/>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wrap="square" lIns="0" tIns="0" rIns="0" bIns="0" upright="0">
                      <a:spAutoFit/>
                    </wps:bodyPr>
                  </wps:wsp>
                </a:graphicData>
              </a:graphic>
            </wp:anchor>
          </w:drawing>
        </mc:Choice>
        <mc:Fallback>
          <w:pict>
            <v:shape id="文本框 1046" o:spid="_x0000_s1026" o:spt="202" type="#_x0000_t202" style="position:absolute;left:0pt;margin-top:0pt;height:144pt;width:81pt;mso-position-horizontal:center;mso-position-horizontal-relative:margin;z-index:251661312;mso-width-relative:page;mso-height-relative:page;" filled="f" stroked="f" coordsize="21600,21600" o:gfxdata="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NLxYh1AAAAAUBAAAPAAAAAAAAAAEA&#10;IAAAACIAAABkcnMvZG93bnJldi54bWxQSwECFAAUAAAACACHTuJAHb05w9oBAACoAwAADgAAAAAA&#10;AAABACAAAAAjAQAAZHJzL2Uyb0RvYy54bWxQSwUGAAAAAAYABgBZAQAAbwUAAAAA&#10;">
              <v:fill on="f" focussize="0,0"/>
              <v:stroke on="f" weight="1.25pt"/>
              <v:imagedata o:title=""/>
              <o:lock v:ext="edit" aspectratio="f"/>
              <v:textbox inset="0mm,0mm,0mm,0mm" style="mso-fit-shape-to-text:t;">
                <w:txbxContent>
                  <w:p>
                    <w:pPr>
                      <w:pStyle w:val="33"/>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p>
  <w:p>
    <w:pPr>
      <w:pStyle w:val="3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3"/>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ObPE+fTAQAApgMAAA4AAAAAAAAAAQAgAAAA&#10;IgEAAGRycy9lMm9Eb2MueG1sUEsFBgAAAAAGAAYAWQEAAGcFAAAAAA==&#10;">
              <v:fill on="f" focussize="0,0"/>
              <v:stroke on="f" weight="1.25pt"/>
              <v:imagedata o:title=""/>
              <o:lock v:ext="edit" aspectratio="f"/>
              <v:textbox inset="0mm,0mm,0mm,0mm" style="mso-fit-shape-to-text:t;">
                <w:txbxContent>
                  <w:p>
                    <w:pPr>
                      <w:pStyle w:val="33"/>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v:textbox>
            </v:shape>
          </w:pict>
        </mc:Fallback>
      </mc:AlternateContent>
    </w:r>
  </w:p>
  <w:p>
    <w:pPr>
      <w:pStyle w:val="3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3"/>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CGaw101AEAAKYDAAAOAAAAAAAAAAEAIAAA&#10;ACIBAABkcnMvZTJvRG9jLnhtbFBLBQYAAAAABgAGAFkBAABoBQAAAAA=&#10;">
              <v:fill on="f" focussize="0,0"/>
              <v:stroke on="f" weight="1.25pt"/>
              <v:imagedata o:title=""/>
              <o:lock v:ext="edit" aspectratio="f"/>
              <v:textbox inset="0mm,0mm,0mm,0mm" style="mso-fit-shape-to-text:t;">
                <w:txbxContent>
                  <w:p>
                    <w:pPr>
                      <w:pStyle w:val="33"/>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v:textbox>
            </v:shape>
          </w:pict>
        </mc:Fallback>
      </mc:AlternateContent>
    </w:r>
  </w:p>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eastAsia="宋体"/>
        <w:lang w:val="en-US" w:eastAsia="zh-CN"/>
      </w:rPr>
    </w:pPr>
    <w:r>
      <w:rPr>
        <w:rFonts w:hint="eastAsia"/>
        <w:u w:val="single"/>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5AFCF3"/>
    <w:multiLevelType w:val="singleLevel"/>
    <w:tmpl w:val="E95AFCF3"/>
    <w:lvl w:ilvl="0" w:tentative="0">
      <w:start w:val="3"/>
      <w:numFmt w:val="chineseCounting"/>
      <w:suff w:val="space"/>
      <w:lvlText w:val="第%1章"/>
      <w:lvlJc w:val="left"/>
      <w:rPr>
        <w:rFonts w:hint="eastAsia"/>
      </w:rPr>
    </w:lvl>
  </w:abstractNum>
  <w:abstractNum w:abstractNumId="1">
    <w:nsid w:val="00000001"/>
    <w:multiLevelType w:val="multilevel"/>
    <w:tmpl w:val="00000001"/>
    <w:lvl w:ilvl="0" w:tentative="0">
      <w:start w:val="1"/>
      <w:numFmt w:val="lowerLetter"/>
      <w:lvlText w:val="(%1)"/>
      <w:lvlJc w:val="left"/>
      <w:pPr>
        <w:ind w:left="2548" w:hanging="420"/>
      </w:pPr>
      <w:rPr>
        <w:rFonts w:hint="default"/>
      </w:rPr>
    </w:lvl>
    <w:lvl w:ilvl="1" w:tentative="0">
      <w:start w:val="1"/>
      <w:numFmt w:val="lowerLetter"/>
      <w:lvlText w:val="%2)"/>
      <w:lvlJc w:val="left"/>
      <w:pPr>
        <w:ind w:left="2117" w:hanging="420"/>
      </w:pPr>
    </w:lvl>
    <w:lvl w:ilvl="2" w:tentative="0">
      <w:start w:val="1"/>
      <w:numFmt w:val="lowerRoman"/>
      <w:lvlText w:val="%3."/>
      <w:lvlJc w:val="right"/>
      <w:pPr>
        <w:ind w:left="2537" w:hanging="420"/>
      </w:pPr>
    </w:lvl>
    <w:lvl w:ilvl="3" w:tentative="0">
      <w:start w:val="1"/>
      <w:numFmt w:val="decimal"/>
      <w:lvlText w:val="%4."/>
      <w:lvlJc w:val="left"/>
      <w:pPr>
        <w:ind w:left="2957" w:hanging="420"/>
      </w:pPr>
    </w:lvl>
    <w:lvl w:ilvl="4" w:tentative="0">
      <w:start w:val="1"/>
      <w:numFmt w:val="lowerLetter"/>
      <w:lvlText w:val="%5)"/>
      <w:lvlJc w:val="left"/>
      <w:pPr>
        <w:ind w:left="3377" w:hanging="420"/>
      </w:pPr>
    </w:lvl>
    <w:lvl w:ilvl="5" w:tentative="0">
      <w:start w:val="1"/>
      <w:numFmt w:val="lowerRoman"/>
      <w:lvlText w:val="%6."/>
      <w:lvlJc w:val="right"/>
      <w:pPr>
        <w:ind w:left="3797" w:hanging="420"/>
      </w:pPr>
    </w:lvl>
    <w:lvl w:ilvl="6" w:tentative="0">
      <w:start w:val="1"/>
      <w:numFmt w:val="decimal"/>
      <w:lvlText w:val="%7."/>
      <w:lvlJc w:val="left"/>
      <w:pPr>
        <w:ind w:left="4217" w:hanging="420"/>
      </w:pPr>
    </w:lvl>
    <w:lvl w:ilvl="7" w:tentative="0">
      <w:start w:val="1"/>
      <w:numFmt w:val="lowerLetter"/>
      <w:lvlText w:val="%8)"/>
      <w:lvlJc w:val="left"/>
      <w:pPr>
        <w:ind w:left="4637" w:hanging="420"/>
      </w:pPr>
    </w:lvl>
    <w:lvl w:ilvl="8" w:tentative="0">
      <w:start w:val="1"/>
      <w:numFmt w:val="lowerRoman"/>
      <w:lvlText w:val="%9."/>
      <w:lvlJc w:val="right"/>
      <w:pPr>
        <w:ind w:left="5057" w:hanging="420"/>
      </w:pPr>
    </w:lvl>
  </w:abstractNum>
  <w:abstractNum w:abstractNumId="2">
    <w:nsid w:val="00000005"/>
    <w:multiLevelType w:val="multilevel"/>
    <w:tmpl w:val="00000005"/>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0000000A"/>
    <w:multiLevelType w:val="multilevel"/>
    <w:tmpl w:val="0000000A"/>
    <w:lvl w:ilvl="0" w:tentative="0">
      <w:start w:val="1"/>
      <w:numFmt w:val="japaneseCounting"/>
      <w:pStyle w:val="6"/>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4">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1710D94"/>
    <w:multiLevelType w:val="singleLevel"/>
    <w:tmpl w:val="01710D94"/>
    <w:lvl w:ilvl="0" w:tentative="0">
      <w:start w:val="1"/>
      <w:numFmt w:val="bullet"/>
      <w:pStyle w:val="233"/>
      <w:lvlText w:val=""/>
      <w:lvlJc w:val="left"/>
      <w:pPr>
        <w:tabs>
          <w:tab w:val="left" w:pos="425"/>
        </w:tabs>
        <w:ind w:left="425" w:hanging="425"/>
      </w:pPr>
      <w:rPr>
        <w:rFonts w:hint="default" w:ascii="Wingdings" w:hAnsi="Wingdings"/>
      </w:rPr>
    </w:lvl>
  </w:abstractNum>
  <w:abstractNum w:abstractNumId="7">
    <w:nsid w:val="09E36DB0"/>
    <w:multiLevelType w:val="multilevel"/>
    <w:tmpl w:val="09E36DB0"/>
    <w:lvl w:ilvl="0" w:tentative="0">
      <w:start w:val="1"/>
      <w:numFmt w:val="decimal"/>
      <w:lvlText w:val="%1."/>
      <w:lvlJc w:val="left"/>
      <w:pPr>
        <w:tabs>
          <w:tab w:val="left" w:pos="420"/>
        </w:tabs>
        <w:ind w:left="420" w:hanging="420"/>
      </w:pPr>
      <w:rPr>
        <w:rFonts w:hint="eastAsia"/>
        <w:b/>
      </w:rPr>
    </w:lvl>
    <w:lvl w:ilvl="1" w:tentative="0">
      <w:start w:val="1"/>
      <w:numFmt w:val="lowerLetter"/>
      <w:lvlText w:val="%2)"/>
      <w:lvlJc w:val="left"/>
      <w:pPr>
        <w:tabs>
          <w:tab w:val="left" w:pos="0"/>
        </w:tabs>
        <w:ind w:left="0" w:hanging="420"/>
      </w:pPr>
    </w:lvl>
    <w:lvl w:ilvl="2" w:tentative="0">
      <w:start w:val="1"/>
      <w:numFmt w:val="lowerRoman"/>
      <w:lvlText w:val="%3."/>
      <w:lvlJc w:val="right"/>
      <w:pPr>
        <w:tabs>
          <w:tab w:val="left" w:pos="420"/>
        </w:tabs>
        <w:ind w:left="420" w:hanging="420"/>
      </w:pPr>
    </w:lvl>
    <w:lvl w:ilvl="3" w:tentative="0">
      <w:start w:val="1"/>
      <w:numFmt w:val="decimal"/>
      <w:lvlText w:val="%4."/>
      <w:lvlJc w:val="left"/>
      <w:pPr>
        <w:tabs>
          <w:tab w:val="left" w:pos="840"/>
        </w:tabs>
        <w:ind w:left="840" w:hanging="420"/>
      </w:pPr>
    </w:lvl>
    <w:lvl w:ilvl="4" w:tentative="0">
      <w:start w:val="1"/>
      <w:numFmt w:val="lowerLetter"/>
      <w:lvlText w:val="%5)"/>
      <w:lvlJc w:val="left"/>
      <w:pPr>
        <w:tabs>
          <w:tab w:val="left" w:pos="1260"/>
        </w:tabs>
        <w:ind w:left="1260" w:hanging="420"/>
      </w:pPr>
    </w:lvl>
    <w:lvl w:ilvl="5" w:tentative="0">
      <w:start w:val="1"/>
      <w:numFmt w:val="lowerRoman"/>
      <w:lvlText w:val="%6."/>
      <w:lvlJc w:val="right"/>
      <w:pPr>
        <w:tabs>
          <w:tab w:val="left" w:pos="1680"/>
        </w:tabs>
        <w:ind w:left="1680" w:hanging="420"/>
      </w:pPr>
    </w:lvl>
    <w:lvl w:ilvl="6" w:tentative="0">
      <w:start w:val="1"/>
      <w:numFmt w:val="decimal"/>
      <w:lvlText w:val="%7."/>
      <w:lvlJc w:val="left"/>
      <w:pPr>
        <w:tabs>
          <w:tab w:val="left" w:pos="2100"/>
        </w:tabs>
        <w:ind w:left="2100" w:hanging="420"/>
      </w:pPr>
    </w:lvl>
    <w:lvl w:ilvl="7" w:tentative="0">
      <w:start w:val="1"/>
      <w:numFmt w:val="lowerLetter"/>
      <w:lvlText w:val="%8)"/>
      <w:lvlJc w:val="left"/>
      <w:pPr>
        <w:tabs>
          <w:tab w:val="left" w:pos="2520"/>
        </w:tabs>
        <w:ind w:left="2520" w:hanging="420"/>
      </w:pPr>
    </w:lvl>
    <w:lvl w:ilvl="8" w:tentative="0">
      <w:start w:val="1"/>
      <w:numFmt w:val="lowerRoman"/>
      <w:lvlText w:val="%9."/>
      <w:lvlJc w:val="right"/>
      <w:pPr>
        <w:tabs>
          <w:tab w:val="left" w:pos="2940"/>
        </w:tabs>
        <w:ind w:left="2940" w:hanging="420"/>
      </w:pPr>
    </w:lvl>
  </w:abstractNum>
  <w:abstractNum w:abstractNumId="8">
    <w:nsid w:val="0FD20AFE"/>
    <w:multiLevelType w:val="singleLevel"/>
    <w:tmpl w:val="0FD20AFE"/>
    <w:lvl w:ilvl="0" w:tentative="0">
      <w:start w:val="1"/>
      <w:numFmt w:val="decimal"/>
      <w:suff w:val="space"/>
      <w:lvlText w:val="（%1）"/>
      <w:lvlJc w:val="left"/>
    </w:lvl>
  </w:abstractNum>
  <w:abstractNum w:abstractNumId="9">
    <w:nsid w:val="24B01E19"/>
    <w:multiLevelType w:val="multilevel"/>
    <w:tmpl w:val="24B01E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10A1C68"/>
    <w:multiLevelType w:val="singleLevel"/>
    <w:tmpl w:val="410A1C68"/>
    <w:lvl w:ilvl="0" w:tentative="0">
      <w:start w:val="1"/>
      <w:numFmt w:val="decimal"/>
      <w:suff w:val="nothing"/>
      <w:lvlText w:val="%1、"/>
      <w:lvlJc w:val="left"/>
    </w:lvl>
  </w:abstractNum>
  <w:abstractNum w:abstractNumId="11">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77B0A88"/>
    <w:multiLevelType w:val="singleLevel"/>
    <w:tmpl w:val="577B0A88"/>
    <w:lvl w:ilvl="0" w:tentative="0">
      <w:start w:val="1"/>
      <w:numFmt w:val="decimal"/>
      <w:lvlText w:val="%1)"/>
      <w:lvlJc w:val="left"/>
      <w:pPr>
        <w:tabs>
          <w:tab w:val="left" w:pos="425"/>
        </w:tabs>
        <w:ind w:left="425" w:hanging="425"/>
      </w:pPr>
      <w:rPr>
        <w:rFonts w:hint="default"/>
      </w:rPr>
    </w:lvl>
  </w:abstractNum>
  <w:abstractNum w:abstractNumId="13">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3"/>
  </w:num>
  <w:num w:numId="2">
    <w:abstractNumId w:val="6"/>
  </w:num>
  <w:num w:numId="3">
    <w:abstractNumId w:val="12"/>
  </w:num>
  <w:num w:numId="4">
    <w:abstractNumId w:val="13"/>
  </w:num>
  <w:num w:numId="5">
    <w:abstractNumId w:val="1"/>
  </w:num>
  <w:num w:numId="6">
    <w:abstractNumId w:val="0"/>
  </w:num>
  <w:num w:numId="7">
    <w:abstractNumId w:val="9"/>
  </w:num>
  <w:num w:numId="8">
    <w:abstractNumId w:val="7"/>
  </w:num>
  <w:num w:numId="9">
    <w:abstractNumId w:val="2"/>
  </w:num>
  <w:num w:numId="10">
    <w:abstractNumId w:val="11"/>
  </w:num>
  <w:num w:numId="11">
    <w:abstractNumId w:val="10"/>
  </w:num>
  <w:num w:numId="12">
    <w:abstractNumId w:val="4"/>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4NmQ1MzI0MDBjODU0MWFjYzAwMDg5YzQ5YTYwMjYifQ=="/>
    <w:docVar w:name="KGWebUrl" w:val="http://oa.gdguangye.com:80/defaultroot/public/iWebOfficeSign/attachmentServer.jsp"/>
  </w:docVars>
  <w:rsids>
    <w:rsidRoot w:val="00172A27"/>
    <w:rsid w:val="00003913"/>
    <w:rsid w:val="000075B7"/>
    <w:rsid w:val="000107C4"/>
    <w:rsid w:val="000116B6"/>
    <w:rsid w:val="00014346"/>
    <w:rsid w:val="0001528B"/>
    <w:rsid w:val="00016D52"/>
    <w:rsid w:val="00020AD3"/>
    <w:rsid w:val="00021016"/>
    <w:rsid w:val="00025A6A"/>
    <w:rsid w:val="00025EFC"/>
    <w:rsid w:val="0003218D"/>
    <w:rsid w:val="000349D0"/>
    <w:rsid w:val="000372B1"/>
    <w:rsid w:val="0003785F"/>
    <w:rsid w:val="00040E61"/>
    <w:rsid w:val="00050466"/>
    <w:rsid w:val="000530BD"/>
    <w:rsid w:val="000546EB"/>
    <w:rsid w:val="000550D7"/>
    <w:rsid w:val="0005790C"/>
    <w:rsid w:val="00057AEA"/>
    <w:rsid w:val="00060F67"/>
    <w:rsid w:val="00061EF7"/>
    <w:rsid w:val="00062121"/>
    <w:rsid w:val="0006430F"/>
    <w:rsid w:val="000643D2"/>
    <w:rsid w:val="00067001"/>
    <w:rsid w:val="00067141"/>
    <w:rsid w:val="0006748E"/>
    <w:rsid w:val="000712DF"/>
    <w:rsid w:val="0007148C"/>
    <w:rsid w:val="00073FBA"/>
    <w:rsid w:val="00076E59"/>
    <w:rsid w:val="00081103"/>
    <w:rsid w:val="000814BB"/>
    <w:rsid w:val="000848A2"/>
    <w:rsid w:val="0008720C"/>
    <w:rsid w:val="00094802"/>
    <w:rsid w:val="000A090C"/>
    <w:rsid w:val="000A1681"/>
    <w:rsid w:val="000A28C3"/>
    <w:rsid w:val="000A3ECA"/>
    <w:rsid w:val="000A549A"/>
    <w:rsid w:val="000A6D66"/>
    <w:rsid w:val="000B0C53"/>
    <w:rsid w:val="000B1088"/>
    <w:rsid w:val="000B50DA"/>
    <w:rsid w:val="000B569F"/>
    <w:rsid w:val="000D0626"/>
    <w:rsid w:val="000D0F6B"/>
    <w:rsid w:val="000D1ABC"/>
    <w:rsid w:val="000D5145"/>
    <w:rsid w:val="000D7F22"/>
    <w:rsid w:val="000E09FF"/>
    <w:rsid w:val="000E1D9B"/>
    <w:rsid w:val="000E3F46"/>
    <w:rsid w:val="000F0856"/>
    <w:rsid w:val="000F5D5C"/>
    <w:rsid w:val="000F7BDC"/>
    <w:rsid w:val="00100205"/>
    <w:rsid w:val="00100D34"/>
    <w:rsid w:val="00100F66"/>
    <w:rsid w:val="00101CD3"/>
    <w:rsid w:val="0011281A"/>
    <w:rsid w:val="001138E4"/>
    <w:rsid w:val="00120B43"/>
    <w:rsid w:val="001219F8"/>
    <w:rsid w:val="001220CD"/>
    <w:rsid w:val="0012226C"/>
    <w:rsid w:val="00124339"/>
    <w:rsid w:val="00125198"/>
    <w:rsid w:val="00127EDA"/>
    <w:rsid w:val="00130A44"/>
    <w:rsid w:val="0013765B"/>
    <w:rsid w:val="00142167"/>
    <w:rsid w:val="0014452B"/>
    <w:rsid w:val="001447E2"/>
    <w:rsid w:val="00150FA0"/>
    <w:rsid w:val="00152591"/>
    <w:rsid w:val="00152972"/>
    <w:rsid w:val="00153CE9"/>
    <w:rsid w:val="001546DB"/>
    <w:rsid w:val="00154FD5"/>
    <w:rsid w:val="0015763C"/>
    <w:rsid w:val="001577B6"/>
    <w:rsid w:val="00160939"/>
    <w:rsid w:val="00164EC8"/>
    <w:rsid w:val="00165CBB"/>
    <w:rsid w:val="00172061"/>
    <w:rsid w:val="00174013"/>
    <w:rsid w:val="0017415F"/>
    <w:rsid w:val="00176D3E"/>
    <w:rsid w:val="00177951"/>
    <w:rsid w:val="00183430"/>
    <w:rsid w:val="00183FFE"/>
    <w:rsid w:val="00185517"/>
    <w:rsid w:val="001A018A"/>
    <w:rsid w:val="001A273E"/>
    <w:rsid w:val="001A3637"/>
    <w:rsid w:val="001A4D52"/>
    <w:rsid w:val="001A79A6"/>
    <w:rsid w:val="001B2C33"/>
    <w:rsid w:val="001B2E6A"/>
    <w:rsid w:val="001B30F1"/>
    <w:rsid w:val="001B31EF"/>
    <w:rsid w:val="001B3BA4"/>
    <w:rsid w:val="001B6912"/>
    <w:rsid w:val="001B7E60"/>
    <w:rsid w:val="001C1DEE"/>
    <w:rsid w:val="001C2333"/>
    <w:rsid w:val="001C4D8E"/>
    <w:rsid w:val="001D0200"/>
    <w:rsid w:val="001D0BCC"/>
    <w:rsid w:val="001D0D74"/>
    <w:rsid w:val="001D2F90"/>
    <w:rsid w:val="001D3B25"/>
    <w:rsid w:val="001D4EF4"/>
    <w:rsid w:val="001D7165"/>
    <w:rsid w:val="001E0571"/>
    <w:rsid w:val="001E5A3F"/>
    <w:rsid w:val="001E5D13"/>
    <w:rsid w:val="001E6A43"/>
    <w:rsid w:val="001F0235"/>
    <w:rsid w:val="001F030D"/>
    <w:rsid w:val="001F03C4"/>
    <w:rsid w:val="001F0AD7"/>
    <w:rsid w:val="001F602E"/>
    <w:rsid w:val="001F7237"/>
    <w:rsid w:val="0020153A"/>
    <w:rsid w:val="00207AF8"/>
    <w:rsid w:val="00210216"/>
    <w:rsid w:val="00212471"/>
    <w:rsid w:val="002127C4"/>
    <w:rsid w:val="00212B90"/>
    <w:rsid w:val="00212E1F"/>
    <w:rsid w:val="00214578"/>
    <w:rsid w:val="0021520F"/>
    <w:rsid w:val="002157D6"/>
    <w:rsid w:val="00215807"/>
    <w:rsid w:val="002170ED"/>
    <w:rsid w:val="00220D01"/>
    <w:rsid w:val="00225132"/>
    <w:rsid w:val="0022576F"/>
    <w:rsid w:val="002264DC"/>
    <w:rsid w:val="00241B3F"/>
    <w:rsid w:val="0024321B"/>
    <w:rsid w:val="00245BBB"/>
    <w:rsid w:val="002465C3"/>
    <w:rsid w:val="00247BBA"/>
    <w:rsid w:val="00250E8C"/>
    <w:rsid w:val="00252060"/>
    <w:rsid w:val="00252797"/>
    <w:rsid w:val="00253898"/>
    <w:rsid w:val="00253FC9"/>
    <w:rsid w:val="00254D74"/>
    <w:rsid w:val="0025562A"/>
    <w:rsid w:val="00256AE7"/>
    <w:rsid w:val="00257278"/>
    <w:rsid w:val="00266E70"/>
    <w:rsid w:val="00270C20"/>
    <w:rsid w:val="002710D3"/>
    <w:rsid w:val="0027235A"/>
    <w:rsid w:val="00272A50"/>
    <w:rsid w:val="00276DC1"/>
    <w:rsid w:val="002773EF"/>
    <w:rsid w:val="00277A98"/>
    <w:rsid w:val="00281676"/>
    <w:rsid w:val="00283650"/>
    <w:rsid w:val="00287120"/>
    <w:rsid w:val="00287309"/>
    <w:rsid w:val="00290584"/>
    <w:rsid w:val="002918F7"/>
    <w:rsid w:val="00292AE9"/>
    <w:rsid w:val="00296C9E"/>
    <w:rsid w:val="00297ED6"/>
    <w:rsid w:val="002A0C37"/>
    <w:rsid w:val="002A1547"/>
    <w:rsid w:val="002A1593"/>
    <w:rsid w:val="002A3784"/>
    <w:rsid w:val="002A47DF"/>
    <w:rsid w:val="002A5322"/>
    <w:rsid w:val="002A5926"/>
    <w:rsid w:val="002A7602"/>
    <w:rsid w:val="002A7C96"/>
    <w:rsid w:val="002B0260"/>
    <w:rsid w:val="002B1157"/>
    <w:rsid w:val="002B14DF"/>
    <w:rsid w:val="002B1F66"/>
    <w:rsid w:val="002C06EF"/>
    <w:rsid w:val="002C4D30"/>
    <w:rsid w:val="002C4E9B"/>
    <w:rsid w:val="002D0C81"/>
    <w:rsid w:val="002D20B5"/>
    <w:rsid w:val="002D67A8"/>
    <w:rsid w:val="002E231B"/>
    <w:rsid w:val="002E260C"/>
    <w:rsid w:val="002E3CBC"/>
    <w:rsid w:val="002E4EED"/>
    <w:rsid w:val="002E5104"/>
    <w:rsid w:val="002E62D2"/>
    <w:rsid w:val="002F08DC"/>
    <w:rsid w:val="002F1216"/>
    <w:rsid w:val="002F1764"/>
    <w:rsid w:val="002F1A97"/>
    <w:rsid w:val="002F1F0D"/>
    <w:rsid w:val="002F4BE7"/>
    <w:rsid w:val="002F648B"/>
    <w:rsid w:val="00301599"/>
    <w:rsid w:val="00304A03"/>
    <w:rsid w:val="00307C56"/>
    <w:rsid w:val="00311535"/>
    <w:rsid w:val="00312B59"/>
    <w:rsid w:val="003153F0"/>
    <w:rsid w:val="0031548F"/>
    <w:rsid w:val="003165FA"/>
    <w:rsid w:val="00320B15"/>
    <w:rsid w:val="00321F20"/>
    <w:rsid w:val="003227B9"/>
    <w:rsid w:val="00326A9C"/>
    <w:rsid w:val="0033182F"/>
    <w:rsid w:val="003331E1"/>
    <w:rsid w:val="00333EC9"/>
    <w:rsid w:val="00334AB3"/>
    <w:rsid w:val="00336101"/>
    <w:rsid w:val="00340CCD"/>
    <w:rsid w:val="00342769"/>
    <w:rsid w:val="00342A27"/>
    <w:rsid w:val="00342CF8"/>
    <w:rsid w:val="003461DB"/>
    <w:rsid w:val="003464D1"/>
    <w:rsid w:val="00351AFE"/>
    <w:rsid w:val="0035334C"/>
    <w:rsid w:val="00353946"/>
    <w:rsid w:val="00354147"/>
    <w:rsid w:val="0035653E"/>
    <w:rsid w:val="00360C83"/>
    <w:rsid w:val="003611F5"/>
    <w:rsid w:val="0036232F"/>
    <w:rsid w:val="00365CEA"/>
    <w:rsid w:val="0036682C"/>
    <w:rsid w:val="00370688"/>
    <w:rsid w:val="00376060"/>
    <w:rsid w:val="00381282"/>
    <w:rsid w:val="00381A2A"/>
    <w:rsid w:val="00382E9F"/>
    <w:rsid w:val="003872BA"/>
    <w:rsid w:val="003908DA"/>
    <w:rsid w:val="003925F0"/>
    <w:rsid w:val="003935E9"/>
    <w:rsid w:val="00395960"/>
    <w:rsid w:val="0039638A"/>
    <w:rsid w:val="003A05E2"/>
    <w:rsid w:val="003A157B"/>
    <w:rsid w:val="003A1886"/>
    <w:rsid w:val="003A37A9"/>
    <w:rsid w:val="003A4D5E"/>
    <w:rsid w:val="003A7511"/>
    <w:rsid w:val="003B1E2B"/>
    <w:rsid w:val="003B3A9F"/>
    <w:rsid w:val="003B520C"/>
    <w:rsid w:val="003C01DE"/>
    <w:rsid w:val="003C0254"/>
    <w:rsid w:val="003C0C2F"/>
    <w:rsid w:val="003C260F"/>
    <w:rsid w:val="003C2A4A"/>
    <w:rsid w:val="003D0D9C"/>
    <w:rsid w:val="003D4230"/>
    <w:rsid w:val="003E03FD"/>
    <w:rsid w:val="003E05BF"/>
    <w:rsid w:val="003E0D62"/>
    <w:rsid w:val="003E1734"/>
    <w:rsid w:val="003E1B79"/>
    <w:rsid w:val="003E2419"/>
    <w:rsid w:val="003E25F4"/>
    <w:rsid w:val="003E3060"/>
    <w:rsid w:val="003E319A"/>
    <w:rsid w:val="003E3CC6"/>
    <w:rsid w:val="003E46E8"/>
    <w:rsid w:val="003E5AD5"/>
    <w:rsid w:val="00400053"/>
    <w:rsid w:val="00405079"/>
    <w:rsid w:val="00405CD1"/>
    <w:rsid w:val="00410E38"/>
    <w:rsid w:val="0041415D"/>
    <w:rsid w:val="004201EB"/>
    <w:rsid w:val="00422208"/>
    <w:rsid w:val="00423EE3"/>
    <w:rsid w:val="00424506"/>
    <w:rsid w:val="004259A1"/>
    <w:rsid w:val="00425E9F"/>
    <w:rsid w:val="00425F65"/>
    <w:rsid w:val="004277C6"/>
    <w:rsid w:val="00433C67"/>
    <w:rsid w:val="00433F97"/>
    <w:rsid w:val="00434C07"/>
    <w:rsid w:val="00436BCB"/>
    <w:rsid w:val="004376AD"/>
    <w:rsid w:val="00440576"/>
    <w:rsid w:val="00440A77"/>
    <w:rsid w:val="00440A80"/>
    <w:rsid w:val="00444A23"/>
    <w:rsid w:val="00444AF8"/>
    <w:rsid w:val="0044570A"/>
    <w:rsid w:val="00447400"/>
    <w:rsid w:val="00453AEE"/>
    <w:rsid w:val="00453CE1"/>
    <w:rsid w:val="00455B00"/>
    <w:rsid w:val="004601A3"/>
    <w:rsid w:val="004607AE"/>
    <w:rsid w:val="00461530"/>
    <w:rsid w:val="00461E58"/>
    <w:rsid w:val="004652EC"/>
    <w:rsid w:val="004659DE"/>
    <w:rsid w:val="00466652"/>
    <w:rsid w:val="00474C98"/>
    <w:rsid w:val="00474D67"/>
    <w:rsid w:val="004806BB"/>
    <w:rsid w:val="00480737"/>
    <w:rsid w:val="0048106C"/>
    <w:rsid w:val="004818B4"/>
    <w:rsid w:val="00483BE5"/>
    <w:rsid w:val="004842D4"/>
    <w:rsid w:val="00484BCA"/>
    <w:rsid w:val="00487B62"/>
    <w:rsid w:val="0049058B"/>
    <w:rsid w:val="00494191"/>
    <w:rsid w:val="004958EA"/>
    <w:rsid w:val="004A0460"/>
    <w:rsid w:val="004A05E7"/>
    <w:rsid w:val="004A40CD"/>
    <w:rsid w:val="004A658D"/>
    <w:rsid w:val="004B0914"/>
    <w:rsid w:val="004B48CF"/>
    <w:rsid w:val="004C0751"/>
    <w:rsid w:val="004C4D7B"/>
    <w:rsid w:val="004C610A"/>
    <w:rsid w:val="004D1702"/>
    <w:rsid w:val="004D67CE"/>
    <w:rsid w:val="004E241C"/>
    <w:rsid w:val="004E2468"/>
    <w:rsid w:val="004E3D29"/>
    <w:rsid w:val="004E4920"/>
    <w:rsid w:val="004F079D"/>
    <w:rsid w:val="004F16DC"/>
    <w:rsid w:val="004F2E25"/>
    <w:rsid w:val="004F47D8"/>
    <w:rsid w:val="004F50C8"/>
    <w:rsid w:val="004F7A0C"/>
    <w:rsid w:val="004F7B15"/>
    <w:rsid w:val="005030C9"/>
    <w:rsid w:val="00505597"/>
    <w:rsid w:val="00511A83"/>
    <w:rsid w:val="0051419C"/>
    <w:rsid w:val="005149B9"/>
    <w:rsid w:val="00516529"/>
    <w:rsid w:val="005173A2"/>
    <w:rsid w:val="00517B98"/>
    <w:rsid w:val="00521E65"/>
    <w:rsid w:val="005229F8"/>
    <w:rsid w:val="00522F74"/>
    <w:rsid w:val="0052325B"/>
    <w:rsid w:val="0052385E"/>
    <w:rsid w:val="00526322"/>
    <w:rsid w:val="00533BF0"/>
    <w:rsid w:val="005358F0"/>
    <w:rsid w:val="005378A4"/>
    <w:rsid w:val="00537DCD"/>
    <w:rsid w:val="00540F71"/>
    <w:rsid w:val="00541A9E"/>
    <w:rsid w:val="00547283"/>
    <w:rsid w:val="00547F21"/>
    <w:rsid w:val="0055028E"/>
    <w:rsid w:val="0055447C"/>
    <w:rsid w:val="00554F1F"/>
    <w:rsid w:val="00556B3C"/>
    <w:rsid w:val="00561ABA"/>
    <w:rsid w:val="00564861"/>
    <w:rsid w:val="00564B8E"/>
    <w:rsid w:val="005650FA"/>
    <w:rsid w:val="005741E9"/>
    <w:rsid w:val="00577BDC"/>
    <w:rsid w:val="0058110F"/>
    <w:rsid w:val="005838C3"/>
    <w:rsid w:val="00584E59"/>
    <w:rsid w:val="005860CA"/>
    <w:rsid w:val="00586EB7"/>
    <w:rsid w:val="005872E8"/>
    <w:rsid w:val="005907E5"/>
    <w:rsid w:val="0059314F"/>
    <w:rsid w:val="00593660"/>
    <w:rsid w:val="00594BD5"/>
    <w:rsid w:val="005950DB"/>
    <w:rsid w:val="00596788"/>
    <w:rsid w:val="005A13E5"/>
    <w:rsid w:val="005A2443"/>
    <w:rsid w:val="005A7DE6"/>
    <w:rsid w:val="005B0C86"/>
    <w:rsid w:val="005B529D"/>
    <w:rsid w:val="005C2A09"/>
    <w:rsid w:val="005C4CF7"/>
    <w:rsid w:val="005C5A73"/>
    <w:rsid w:val="005C62CA"/>
    <w:rsid w:val="005D119C"/>
    <w:rsid w:val="005D2613"/>
    <w:rsid w:val="005D31CE"/>
    <w:rsid w:val="005D34AE"/>
    <w:rsid w:val="005E06EF"/>
    <w:rsid w:val="005E290F"/>
    <w:rsid w:val="005E2A4E"/>
    <w:rsid w:val="005E3011"/>
    <w:rsid w:val="005E3A42"/>
    <w:rsid w:val="005E3DFA"/>
    <w:rsid w:val="005E4FA6"/>
    <w:rsid w:val="005F1E1A"/>
    <w:rsid w:val="005F2B9B"/>
    <w:rsid w:val="005F52BF"/>
    <w:rsid w:val="00604135"/>
    <w:rsid w:val="006053B2"/>
    <w:rsid w:val="0060568C"/>
    <w:rsid w:val="0061196E"/>
    <w:rsid w:val="00613954"/>
    <w:rsid w:val="00615F8C"/>
    <w:rsid w:val="0061729D"/>
    <w:rsid w:val="006173F0"/>
    <w:rsid w:val="00617BB1"/>
    <w:rsid w:val="006207F3"/>
    <w:rsid w:val="006207F9"/>
    <w:rsid w:val="0062277D"/>
    <w:rsid w:val="00624211"/>
    <w:rsid w:val="006242EB"/>
    <w:rsid w:val="00624B3B"/>
    <w:rsid w:val="00625214"/>
    <w:rsid w:val="00625D7A"/>
    <w:rsid w:val="0062611C"/>
    <w:rsid w:val="00626E01"/>
    <w:rsid w:val="00632028"/>
    <w:rsid w:val="00633ECD"/>
    <w:rsid w:val="0063571E"/>
    <w:rsid w:val="006403E2"/>
    <w:rsid w:val="00641FB8"/>
    <w:rsid w:val="00642BA0"/>
    <w:rsid w:val="00645DB8"/>
    <w:rsid w:val="00647EE9"/>
    <w:rsid w:val="00654513"/>
    <w:rsid w:val="00654E38"/>
    <w:rsid w:val="00654F07"/>
    <w:rsid w:val="00655D04"/>
    <w:rsid w:val="00656137"/>
    <w:rsid w:val="00661FBD"/>
    <w:rsid w:val="00662DCA"/>
    <w:rsid w:val="00663858"/>
    <w:rsid w:val="00663BCF"/>
    <w:rsid w:val="006643C9"/>
    <w:rsid w:val="006650E7"/>
    <w:rsid w:val="00665A52"/>
    <w:rsid w:val="00670C44"/>
    <w:rsid w:val="00670F22"/>
    <w:rsid w:val="0067251A"/>
    <w:rsid w:val="00675091"/>
    <w:rsid w:val="00680A8B"/>
    <w:rsid w:val="00681896"/>
    <w:rsid w:val="006825FD"/>
    <w:rsid w:val="00683882"/>
    <w:rsid w:val="006904B0"/>
    <w:rsid w:val="006931AD"/>
    <w:rsid w:val="006947CB"/>
    <w:rsid w:val="006970F0"/>
    <w:rsid w:val="00697472"/>
    <w:rsid w:val="00697BAF"/>
    <w:rsid w:val="00697E38"/>
    <w:rsid w:val="006A0010"/>
    <w:rsid w:val="006A5541"/>
    <w:rsid w:val="006A720D"/>
    <w:rsid w:val="006A7C7E"/>
    <w:rsid w:val="006B1593"/>
    <w:rsid w:val="006B2C98"/>
    <w:rsid w:val="006B2EB2"/>
    <w:rsid w:val="006B782B"/>
    <w:rsid w:val="006C1649"/>
    <w:rsid w:val="006D35F1"/>
    <w:rsid w:val="006D3EBE"/>
    <w:rsid w:val="006D7A28"/>
    <w:rsid w:val="006E01D2"/>
    <w:rsid w:val="006E0483"/>
    <w:rsid w:val="006E0A09"/>
    <w:rsid w:val="006E150E"/>
    <w:rsid w:val="006E2343"/>
    <w:rsid w:val="006F0329"/>
    <w:rsid w:val="006F0F4E"/>
    <w:rsid w:val="006F1EBB"/>
    <w:rsid w:val="006F1F52"/>
    <w:rsid w:val="006F464C"/>
    <w:rsid w:val="006F49B5"/>
    <w:rsid w:val="006F58AA"/>
    <w:rsid w:val="006F648A"/>
    <w:rsid w:val="00700F64"/>
    <w:rsid w:val="00700FF6"/>
    <w:rsid w:val="00704D53"/>
    <w:rsid w:val="007055A9"/>
    <w:rsid w:val="007144BF"/>
    <w:rsid w:val="00714EEF"/>
    <w:rsid w:val="00715A8F"/>
    <w:rsid w:val="00725812"/>
    <w:rsid w:val="00732C4A"/>
    <w:rsid w:val="007339A7"/>
    <w:rsid w:val="00740CC6"/>
    <w:rsid w:val="00740E64"/>
    <w:rsid w:val="00741571"/>
    <w:rsid w:val="00741D30"/>
    <w:rsid w:val="00742BDF"/>
    <w:rsid w:val="00743D76"/>
    <w:rsid w:val="00746B01"/>
    <w:rsid w:val="00751279"/>
    <w:rsid w:val="007516B7"/>
    <w:rsid w:val="007519F3"/>
    <w:rsid w:val="00754730"/>
    <w:rsid w:val="0075539A"/>
    <w:rsid w:val="007561BA"/>
    <w:rsid w:val="00760FF6"/>
    <w:rsid w:val="0076139E"/>
    <w:rsid w:val="00761693"/>
    <w:rsid w:val="0076562B"/>
    <w:rsid w:val="007672EB"/>
    <w:rsid w:val="0077417A"/>
    <w:rsid w:val="007763D9"/>
    <w:rsid w:val="00783599"/>
    <w:rsid w:val="007845DD"/>
    <w:rsid w:val="007862AD"/>
    <w:rsid w:val="007863A4"/>
    <w:rsid w:val="007974F6"/>
    <w:rsid w:val="00797B6F"/>
    <w:rsid w:val="007A0496"/>
    <w:rsid w:val="007A0835"/>
    <w:rsid w:val="007A17C3"/>
    <w:rsid w:val="007A2F72"/>
    <w:rsid w:val="007A34F7"/>
    <w:rsid w:val="007A40A1"/>
    <w:rsid w:val="007A40D2"/>
    <w:rsid w:val="007A72BB"/>
    <w:rsid w:val="007B1612"/>
    <w:rsid w:val="007B2CF1"/>
    <w:rsid w:val="007C63B1"/>
    <w:rsid w:val="007C7AA8"/>
    <w:rsid w:val="007D0624"/>
    <w:rsid w:val="007D0C35"/>
    <w:rsid w:val="007D4105"/>
    <w:rsid w:val="007D54BB"/>
    <w:rsid w:val="007E3C70"/>
    <w:rsid w:val="007E4C39"/>
    <w:rsid w:val="007E564C"/>
    <w:rsid w:val="007F0147"/>
    <w:rsid w:val="007F2B70"/>
    <w:rsid w:val="007F2E21"/>
    <w:rsid w:val="007F31CF"/>
    <w:rsid w:val="007F557E"/>
    <w:rsid w:val="007F5EC0"/>
    <w:rsid w:val="008010C9"/>
    <w:rsid w:val="0080126B"/>
    <w:rsid w:val="00801617"/>
    <w:rsid w:val="00803A77"/>
    <w:rsid w:val="00803AE0"/>
    <w:rsid w:val="00803D84"/>
    <w:rsid w:val="008059F4"/>
    <w:rsid w:val="008067B7"/>
    <w:rsid w:val="00806F0F"/>
    <w:rsid w:val="008071D0"/>
    <w:rsid w:val="00810A06"/>
    <w:rsid w:val="0081532B"/>
    <w:rsid w:val="008168BF"/>
    <w:rsid w:val="008179C1"/>
    <w:rsid w:val="00820A2E"/>
    <w:rsid w:val="00821AB3"/>
    <w:rsid w:val="0082304A"/>
    <w:rsid w:val="008272C9"/>
    <w:rsid w:val="00827D20"/>
    <w:rsid w:val="00832F9F"/>
    <w:rsid w:val="008331E4"/>
    <w:rsid w:val="00833B84"/>
    <w:rsid w:val="0083550D"/>
    <w:rsid w:val="00840BCE"/>
    <w:rsid w:val="008442B7"/>
    <w:rsid w:val="0084583C"/>
    <w:rsid w:val="00846283"/>
    <w:rsid w:val="00851192"/>
    <w:rsid w:val="00853182"/>
    <w:rsid w:val="00853C0D"/>
    <w:rsid w:val="00854CF1"/>
    <w:rsid w:val="00855E66"/>
    <w:rsid w:val="0085604C"/>
    <w:rsid w:val="00860738"/>
    <w:rsid w:val="00860E0D"/>
    <w:rsid w:val="00861638"/>
    <w:rsid w:val="0086490E"/>
    <w:rsid w:val="00866457"/>
    <w:rsid w:val="00874658"/>
    <w:rsid w:val="00876297"/>
    <w:rsid w:val="00880DBC"/>
    <w:rsid w:val="00892CC9"/>
    <w:rsid w:val="008935DC"/>
    <w:rsid w:val="00896EA2"/>
    <w:rsid w:val="008A52C2"/>
    <w:rsid w:val="008A7212"/>
    <w:rsid w:val="008A7683"/>
    <w:rsid w:val="008B25CF"/>
    <w:rsid w:val="008B3C2D"/>
    <w:rsid w:val="008B4711"/>
    <w:rsid w:val="008B67DB"/>
    <w:rsid w:val="008C0028"/>
    <w:rsid w:val="008C139B"/>
    <w:rsid w:val="008C579A"/>
    <w:rsid w:val="008C79AE"/>
    <w:rsid w:val="008D39AD"/>
    <w:rsid w:val="008D536C"/>
    <w:rsid w:val="008E42AA"/>
    <w:rsid w:val="008E523A"/>
    <w:rsid w:val="008E5CC1"/>
    <w:rsid w:val="008E6762"/>
    <w:rsid w:val="008E71F0"/>
    <w:rsid w:val="008F0AD8"/>
    <w:rsid w:val="008F4028"/>
    <w:rsid w:val="008F53A1"/>
    <w:rsid w:val="008F7B61"/>
    <w:rsid w:val="00902584"/>
    <w:rsid w:val="00902D1D"/>
    <w:rsid w:val="00903197"/>
    <w:rsid w:val="00904594"/>
    <w:rsid w:val="0090711D"/>
    <w:rsid w:val="009138D0"/>
    <w:rsid w:val="00916935"/>
    <w:rsid w:val="009222A3"/>
    <w:rsid w:val="00924C1E"/>
    <w:rsid w:val="009251D1"/>
    <w:rsid w:val="00925410"/>
    <w:rsid w:val="00926B2D"/>
    <w:rsid w:val="00934277"/>
    <w:rsid w:val="00936147"/>
    <w:rsid w:val="009378EB"/>
    <w:rsid w:val="009407FF"/>
    <w:rsid w:val="00940DF5"/>
    <w:rsid w:val="00942926"/>
    <w:rsid w:val="00944F72"/>
    <w:rsid w:val="0094523E"/>
    <w:rsid w:val="00945D7E"/>
    <w:rsid w:val="0094670B"/>
    <w:rsid w:val="00950B21"/>
    <w:rsid w:val="00951BED"/>
    <w:rsid w:val="009573AA"/>
    <w:rsid w:val="00957ED4"/>
    <w:rsid w:val="00961BDE"/>
    <w:rsid w:val="00962DA3"/>
    <w:rsid w:val="009654DC"/>
    <w:rsid w:val="00965D27"/>
    <w:rsid w:val="00971EA1"/>
    <w:rsid w:val="009832D8"/>
    <w:rsid w:val="009833EE"/>
    <w:rsid w:val="00985B6D"/>
    <w:rsid w:val="009A2C59"/>
    <w:rsid w:val="009B0815"/>
    <w:rsid w:val="009B0E8B"/>
    <w:rsid w:val="009B23E6"/>
    <w:rsid w:val="009B256C"/>
    <w:rsid w:val="009B650F"/>
    <w:rsid w:val="009C3E9E"/>
    <w:rsid w:val="009C4206"/>
    <w:rsid w:val="009C72A9"/>
    <w:rsid w:val="009C7AD2"/>
    <w:rsid w:val="009D2DD5"/>
    <w:rsid w:val="009D391C"/>
    <w:rsid w:val="009D756A"/>
    <w:rsid w:val="009D7E04"/>
    <w:rsid w:val="009E20E0"/>
    <w:rsid w:val="009E43D4"/>
    <w:rsid w:val="009E515C"/>
    <w:rsid w:val="009E6A17"/>
    <w:rsid w:val="009F2237"/>
    <w:rsid w:val="009F4C69"/>
    <w:rsid w:val="009F5CBF"/>
    <w:rsid w:val="00A00E27"/>
    <w:rsid w:val="00A01EE7"/>
    <w:rsid w:val="00A02552"/>
    <w:rsid w:val="00A06B41"/>
    <w:rsid w:val="00A0767B"/>
    <w:rsid w:val="00A07B40"/>
    <w:rsid w:val="00A10D69"/>
    <w:rsid w:val="00A111F2"/>
    <w:rsid w:val="00A14A15"/>
    <w:rsid w:val="00A17C1D"/>
    <w:rsid w:val="00A22FD3"/>
    <w:rsid w:val="00A26665"/>
    <w:rsid w:val="00A267F3"/>
    <w:rsid w:val="00A27AE5"/>
    <w:rsid w:val="00A27ED9"/>
    <w:rsid w:val="00A362FD"/>
    <w:rsid w:val="00A37CFA"/>
    <w:rsid w:val="00A4159E"/>
    <w:rsid w:val="00A43B0E"/>
    <w:rsid w:val="00A445C2"/>
    <w:rsid w:val="00A44EB4"/>
    <w:rsid w:val="00A45FFF"/>
    <w:rsid w:val="00A47629"/>
    <w:rsid w:val="00A6293A"/>
    <w:rsid w:val="00A66B83"/>
    <w:rsid w:val="00A67A92"/>
    <w:rsid w:val="00A67AF2"/>
    <w:rsid w:val="00A72708"/>
    <w:rsid w:val="00A753B4"/>
    <w:rsid w:val="00A75E6A"/>
    <w:rsid w:val="00A76077"/>
    <w:rsid w:val="00A82D9A"/>
    <w:rsid w:val="00A83DED"/>
    <w:rsid w:val="00A849D9"/>
    <w:rsid w:val="00A85626"/>
    <w:rsid w:val="00A87CAC"/>
    <w:rsid w:val="00A90E34"/>
    <w:rsid w:val="00A91F50"/>
    <w:rsid w:val="00AA2249"/>
    <w:rsid w:val="00AA259E"/>
    <w:rsid w:val="00AA44AB"/>
    <w:rsid w:val="00AB1942"/>
    <w:rsid w:val="00AB54BE"/>
    <w:rsid w:val="00AC58FC"/>
    <w:rsid w:val="00AD38DC"/>
    <w:rsid w:val="00AD42BB"/>
    <w:rsid w:val="00AE38F9"/>
    <w:rsid w:val="00AE630A"/>
    <w:rsid w:val="00AE6765"/>
    <w:rsid w:val="00AE7D0C"/>
    <w:rsid w:val="00AF085C"/>
    <w:rsid w:val="00AF4C80"/>
    <w:rsid w:val="00B04745"/>
    <w:rsid w:val="00B0585B"/>
    <w:rsid w:val="00B06C72"/>
    <w:rsid w:val="00B07532"/>
    <w:rsid w:val="00B16303"/>
    <w:rsid w:val="00B17AB7"/>
    <w:rsid w:val="00B2454A"/>
    <w:rsid w:val="00B31FA7"/>
    <w:rsid w:val="00B37258"/>
    <w:rsid w:val="00B37826"/>
    <w:rsid w:val="00B37F6C"/>
    <w:rsid w:val="00B42184"/>
    <w:rsid w:val="00B43A5B"/>
    <w:rsid w:val="00B44643"/>
    <w:rsid w:val="00B4543D"/>
    <w:rsid w:val="00B47A21"/>
    <w:rsid w:val="00B502E1"/>
    <w:rsid w:val="00B514DC"/>
    <w:rsid w:val="00B52BFA"/>
    <w:rsid w:val="00B54207"/>
    <w:rsid w:val="00B5420B"/>
    <w:rsid w:val="00B5446D"/>
    <w:rsid w:val="00B56251"/>
    <w:rsid w:val="00B56560"/>
    <w:rsid w:val="00B57E07"/>
    <w:rsid w:val="00B57E61"/>
    <w:rsid w:val="00B609F1"/>
    <w:rsid w:val="00B6111B"/>
    <w:rsid w:val="00B61A2A"/>
    <w:rsid w:val="00B625DD"/>
    <w:rsid w:val="00B62842"/>
    <w:rsid w:val="00B640DA"/>
    <w:rsid w:val="00B65C0F"/>
    <w:rsid w:val="00B722CF"/>
    <w:rsid w:val="00B72EB4"/>
    <w:rsid w:val="00B80C0D"/>
    <w:rsid w:val="00B817EE"/>
    <w:rsid w:val="00B8274D"/>
    <w:rsid w:val="00B829F0"/>
    <w:rsid w:val="00B9522F"/>
    <w:rsid w:val="00BA02BC"/>
    <w:rsid w:val="00BA2825"/>
    <w:rsid w:val="00BA5373"/>
    <w:rsid w:val="00BA6898"/>
    <w:rsid w:val="00BA68C6"/>
    <w:rsid w:val="00BB0D94"/>
    <w:rsid w:val="00BB2071"/>
    <w:rsid w:val="00BB2358"/>
    <w:rsid w:val="00BB533A"/>
    <w:rsid w:val="00BB7A33"/>
    <w:rsid w:val="00BC137F"/>
    <w:rsid w:val="00BC1774"/>
    <w:rsid w:val="00BC2F92"/>
    <w:rsid w:val="00BC4773"/>
    <w:rsid w:val="00BC6A0B"/>
    <w:rsid w:val="00BD0DC0"/>
    <w:rsid w:val="00BD109B"/>
    <w:rsid w:val="00BD1307"/>
    <w:rsid w:val="00BD1847"/>
    <w:rsid w:val="00BD4E3C"/>
    <w:rsid w:val="00BD5167"/>
    <w:rsid w:val="00BD5CD9"/>
    <w:rsid w:val="00BE0E41"/>
    <w:rsid w:val="00BE2753"/>
    <w:rsid w:val="00BE474E"/>
    <w:rsid w:val="00BF193F"/>
    <w:rsid w:val="00BF1C08"/>
    <w:rsid w:val="00BF3E59"/>
    <w:rsid w:val="00C00ED0"/>
    <w:rsid w:val="00C014EF"/>
    <w:rsid w:val="00C02458"/>
    <w:rsid w:val="00C02796"/>
    <w:rsid w:val="00C05483"/>
    <w:rsid w:val="00C11D35"/>
    <w:rsid w:val="00C123AF"/>
    <w:rsid w:val="00C136F7"/>
    <w:rsid w:val="00C14B6E"/>
    <w:rsid w:val="00C153AC"/>
    <w:rsid w:val="00C15623"/>
    <w:rsid w:val="00C22E94"/>
    <w:rsid w:val="00C23C19"/>
    <w:rsid w:val="00C24ED4"/>
    <w:rsid w:val="00C2793E"/>
    <w:rsid w:val="00C2795C"/>
    <w:rsid w:val="00C303ED"/>
    <w:rsid w:val="00C316E3"/>
    <w:rsid w:val="00C31D81"/>
    <w:rsid w:val="00C339EC"/>
    <w:rsid w:val="00C34AE8"/>
    <w:rsid w:val="00C34C65"/>
    <w:rsid w:val="00C34C72"/>
    <w:rsid w:val="00C36352"/>
    <w:rsid w:val="00C36A40"/>
    <w:rsid w:val="00C40191"/>
    <w:rsid w:val="00C40BB2"/>
    <w:rsid w:val="00C41FF3"/>
    <w:rsid w:val="00C439F8"/>
    <w:rsid w:val="00C43A32"/>
    <w:rsid w:val="00C44931"/>
    <w:rsid w:val="00C47E96"/>
    <w:rsid w:val="00C50635"/>
    <w:rsid w:val="00C5094F"/>
    <w:rsid w:val="00C54339"/>
    <w:rsid w:val="00C57DC2"/>
    <w:rsid w:val="00C6028A"/>
    <w:rsid w:val="00C6238E"/>
    <w:rsid w:val="00C629B0"/>
    <w:rsid w:val="00C6428C"/>
    <w:rsid w:val="00C651C8"/>
    <w:rsid w:val="00C66AFB"/>
    <w:rsid w:val="00C66D2D"/>
    <w:rsid w:val="00C70066"/>
    <w:rsid w:val="00C709B2"/>
    <w:rsid w:val="00C710EF"/>
    <w:rsid w:val="00C71610"/>
    <w:rsid w:val="00C76C66"/>
    <w:rsid w:val="00C816D7"/>
    <w:rsid w:val="00C817F1"/>
    <w:rsid w:val="00C81A8A"/>
    <w:rsid w:val="00C81B28"/>
    <w:rsid w:val="00C85C64"/>
    <w:rsid w:val="00C90629"/>
    <w:rsid w:val="00C91917"/>
    <w:rsid w:val="00C9451D"/>
    <w:rsid w:val="00CA25BD"/>
    <w:rsid w:val="00CA624B"/>
    <w:rsid w:val="00CA630E"/>
    <w:rsid w:val="00CB0193"/>
    <w:rsid w:val="00CB443C"/>
    <w:rsid w:val="00CB72F8"/>
    <w:rsid w:val="00CB731D"/>
    <w:rsid w:val="00CC29ED"/>
    <w:rsid w:val="00CC4462"/>
    <w:rsid w:val="00CC7FB3"/>
    <w:rsid w:val="00CD05D4"/>
    <w:rsid w:val="00CD1901"/>
    <w:rsid w:val="00CD43E9"/>
    <w:rsid w:val="00CD539A"/>
    <w:rsid w:val="00CD5CEC"/>
    <w:rsid w:val="00CD6FA0"/>
    <w:rsid w:val="00CD786E"/>
    <w:rsid w:val="00CE1DE7"/>
    <w:rsid w:val="00CE207F"/>
    <w:rsid w:val="00CE4924"/>
    <w:rsid w:val="00CE7BA1"/>
    <w:rsid w:val="00CF482B"/>
    <w:rsid w:val="00CF4C47"/>
    <w:rsid w:val="00CF4FD8"/>
    <w:rsid w:val="00CF715E"/>
    <w:rsid w:val="00D02295"/>
    <w:rsid w:val="00D02892"/>
    <w:rsid w:val="00D02E49"/>
    <w:rsid w:val="00D074CA"/>
    <w:rsid w:val="00D07B9B"/>
    <w:rsid w:val="00D10836"/>
    <w:rsid w:val="00D120B7"/>
    <w:rsid w:val="00D1227E"/>
    <w:rsid w:val="00D1283D"/>
    <w:rsid w:val="00D14DEA"/>
    <w:rsid w:val="00D16E9A"/>
    <w:rsid w:val="00D20013"/>
    <w:rsid w:val="00D21E18"/>
    <w:rsid w:val="00D24446"/>
    <w:rsid w:val="00D3351A"/>
    <w:rsid w:val="00D33FF6"/>
    <w:rsid w:val="00D4182B"/>
    <w:rsid w:val="00D422DD"/>
    <w:rsid w:val="00D468ED"/>
    <w:rsid w:val="00D475FA"/>
    <w:rsid w:val="00D55A76"/>
    <w:rsid w:val="00D56749"/>
    <w:rsid w:val="00D70136"/>
    <w:rsid w:val="00D71497"/>
    <w:rsid w:val="00D71E44"/>
    <w:rsid w:val="00D74053"/>
    <w:rsid w:val="00D746D1"/>
    <w:rsid w:val="00D74802"/>
    <w:rsid w:val="00D75F2C"/>
    <w:rsid w:val="00D82CA7"/>
    <w:rsid w:val="00D863A2"/>
    <w:rsid w:val="00D90381"/>
    <w:rsid w:val="00D91895"/>
    <w:rsid w:val="00D950C2"/>
    <w:rsid w:val="00D966F3"/>
    <w:rsid w:val="00DA0889"/>
    <w:rsid w:val="00DA294B"/>
    <w:rsid w:val="00DA3941"/>
    <w:rsid w:val="00DA79F2"/>
    <w:rsid w:val="00DB3B85"/>
    <w:rsid w:val="00DB4845"/>
    <w:rsid w:val="00DB67A3"/>
    <w:rsid w:val="00DC1649"/>
    <w:rsid w:val="00DC2516"/>
    <w:rsid w:val="00DC2E4E"/>
    <w:rsid w:val="00DC3F9F"/>
    <w:rsid w:val="00DC44B5"/>
    <w:rsid w:val="00DC5E95"/>
    <w:rsid w:val="00DC612F"/>
    <w:rsid w:val="00DC66A1"/>
    <w:rsid w:val="00DC73E0"/>
    <w:rsid w:val="00DD01C0"/>
    <w:rsid w:val="00DD1CBE"/>
    <w:rsid w:val="00DD35D2"/>
    <w:rsid w:val="00DD4178"/>
    <w:rsid w:val="00DD68D6"/>
    <w:rsid w:val="00DD7DAB"/>
    <w:rsid w:val="00DD7E54"/>
    <w:rsid w:val="00DE02A9"/>
    <w:rsid w:val="00DE0B5A"/>
    <w:rsid w:val="00DE0B90"/>
    <w:rsid w:val="00DE5D9D"/>
    <w:rsid w:val="00DF093E"/>
    <w:rsid w:val="00DF329C"/>
    <w:rsid w:val="00DF5199"/>
    <w:rsid w:val="00DF5700"/>
    <w:rsid w:val="00E010DB"/>
    <w:rsid w:val="00E012D1"/>
    <w:rsid w:val="00E0193A"/>
    <w:rsid w:val="00E0409D"/>
    <w:rsid w:val="00E04E99"/>
    <w:rsid w:val="00E0655C"/>
    <w:rsid w:val="00E07EA1"/>
    <w:rsid w:val="00E142F9"/>
    <w:rsid w:val="00E1441F"/>
    <w:rsid w:val="00E1501D"/>
    <w:rsid w:val="00E2048B"/>
    <w:rsid w:val="00E227BF"/>
    <w:rsid w:val="00E23CFD"/>
    <w:rsid w:val="00E2405F"/>
    <w:rsid w:val="00E246D2"/>
    <w:rsid w:val="00E277DE"/>
    <w:rsid w:val="00E3166F"/>
    <w:rsid w:val="00E37E45"/>
    <w:rsid w:val="00E43095"/>
    <w:rsid w:val="00E43AE7"/>
    <w:rsid w:val="00E450A9"/>
    <w:rsid w:val="00E5246F"/>
    <w:rsid w:val="00E55897"/>
    <w:rsid w:val="00E57AA9"/>
    <w:rsid w:val="00E600FB"/>
    <w:rsid w:val="00E6114A"/>
    <w:rsid w:val="00E706E0"/>
    <w:rsid w:val="00E7265E"/>
    <w:rsid w:val="00E76D04"/>
    <w:rsid w:val="00E80111"/>
    <w:rsid w:val="00E818A6"/>
    <w:rsid w:val="00E84772"/>
    <w:rsid w:val="00E84EC7"/>
    <w:rsid w:val="00E84F44"/>
    <w:rsid w:val="00E86FDE"/>
    <w:rsid w:val="00E874E3"/>
    <w:rsid w:val="00E87B12"/>
    <w:rsid w:val="00E9076C"/>
    <w:rsid w:val="00E912F3"/>
    <w:rsid w:val="00E91965"/>
    <w:rsid w:val="00E9342C"/>
    <w:rsid w:val="00E953F7"/>
    <w:rsid w:val="00E964E4"/>
    <w:rsid w:val="00EA17F7"/>
    <w:rsid w:val="00EA1FC8"/>
    <w:rsid w:val="00EA2050"/>
    <w:rsid w:val="00EA28C6"/>
    <w:rsid w:val="00EA65C2"/>
    <w:rsid w:val="00EA765D"/>
    <w:rsid w:val="00EB1F46"/>
    <w:rsid w:val="00EB3A92"/>
    <w:rsid w:val="00EB3D0F"/>
    <w:rsid w:val="00EB48C5"/>
    <w:rsid w:val="00EB4D2C"/>
    <w:rsid w:val="00EC57F8"/>
    <w:rsid w:val="00EC5C75"/>
    <w:rsid w:val="00EC60A4"/>
    <w:rsid w:val="00EC6DB6"/>
    <w:rsid w:val="00ED006F"/>
    <w:rsid w:val="00ED2BAB"/>
    <w:rsid w:val="00ED321B"/>
    <w:rsid w:val="00ED3D4B"/>
    <w:rsid w:val="00ED5663"/>
    <w:rsid w:val="00ED6AAE"/>
    <w:rsid w:val="00EE0B34"/>
    <w:rsid w:val="00EE3719"/>
    <w:rsid w:val="00EF0882"/>
    <w:rsid w:val="00EF26C3"/>
    <w:rsid w:val="00EF4842"/>
    <w:rsid w:val="00EF6B5D"/>
    <w:rsid w:val="00F04C18"/>
    <w:rsid w:val="00F05359"/>
    <w:rsid w:val="00F055C0"/>
    <w:rsid w:val="00F06A66"/>
    <w:rsid w:val="00F101F3"/>
    <w:rsid w:val="00F12098"/>
    <w:rsid w:val="00F2036F"/>
    <w:rsid w:val="00F21BAC"/>
    <w:rsid w:val="00F27A7A"/>
    <w:rsid w:val="00F34508"/>
    <w:rsid w:val="00F35B33"/>
    <w:rsid w:val="00F3796F"/>
    <w:rsid w:val="00F37BDA"/>
    <w:rsid w:val="00F37EB4"/>
    <w:rsid w:val="00F407AB"/>
    <w:rsid w:val="00F44428"/>
    <w:rsid w:val="00F451C7"/>
    <w:rsid w:val="00F456D8"/>
    <w:rsid w:val="00F46DD3"/>
    <w:rsid w:val="00F55421"/>
    <w:rsid w:val="00F56C17"/>
    <w:rsid w:val="00F576F0"/>
    <w:rsid w:val="00F606DB"/>
    <w:rsid w:val="00F61B69"/>
    <w:rsid w:val="00F626B1"/>
    <w:rsid w:val="00F6328B"/>
    <w:rsid w:val="00F65ABC"/>
    <w:rsid w:val="00F70F56"/>
    <w:rsid w:val="00F72631"/>
    <w:rsid w:val="00F7485A"/>
    <w:rsid w:val="00F74F51"/>
    <w:rsid w:val="00F802CA"/>
    <w:rsid w:val="00F8213D"/>
    <w:rsid w:val="00F86305"/>
    <w:rsid w:val="00F86547"/>
    <w:rsid w:val="00F87B0D"/>
    <w:rsid w:val="00F90F71"/>
    <w:rsid w:val="00F9103A"/>
    <w:rsid w:val="00F920BC"/>
    <w:rsid w:val="00F9276D"/>
    <w:rsid w:val="00F93AC4"/>
    <w:rsid w:val="00F960BF"/>
    <w:rsid w:val="00F9740B"/>
    <w:rsid w:val="00FA1920"/>
    <w:rsid w:val="00FA2D29"/>
    <w:rsid w:val="00FA3874"/>
    <w:rsid w:val="00FA49DF"/>
    <w:rsid w:val="00FB4958"/>
    <w:rsid w:val="00FB74C0"/>
    <w:rsid w:val="00FC11A2"/>
    <w:rsid w:val="00FC4163"/>
    <w:rsid w:val="00FC732A"/>
    <w:rsid w:val="00FC7BA0"/>
    <w:rsid w:val="00FD067C"/>
    <w:rsid w:val="00FD11E3"/>
    <w:rsid w:val="00FD4C2F"/>
    <w:rsid w:val="00FD7A2A"/>
    <w:rsid w:val="00FE782F"/>
    <w:rsid w:val="00FE7B33"/>
    <w:rsid w:val="00FE7B94"/>
    <w:rsid w:val="00FF08B9"/>
    <w:rsid w:val="00FF4902"/>
    <w:rsid w:val="00FF5176"/>
    <w:rsid w:val="00FF7F05"/>
    <w:rsid w:val="01022450"/>
    <w:rsid w:val="012707E5"/>
    <w:rsid w:val="01313357"/>
    <w:rsid w:val="016519B8"/>
    <w:rsid w:val="01842E69"/>
    <w:rsid w:val="018819BD"/>
    <w:rsid w:val="018F6443"/>
    <w:rsid w:val="01A0532E"/>
    <w:rsid w:val="01A33372"/>
    <w:rsid w:val="01B44181"/>
    <w:rsid w:val="01CB085B"/>
    <w:rsid w:val="01E069A9"/>
    <w:rsid w:val="01F27108"/>
    <w:rsid w:val="02181129"/>
    <w:rsid w:val="02663C42"/>
    <w:rsid w:val="0295635D"/>
    <w:rsid w:val="02C718DC"/>
    <w:rsid w:val="03006AC8"/>
    <w:rsid w:val="034158C5"/>
    <w:rsid w:val="034675D0"/>
    <w:rsid w:val="036C58E1"/>
    <w:rsid w:val="03F14361"/>
    <w:rsid w:val="03F661A5"/>
    <w:rsid w:val="04350C85"/>
    <w:rsid w:val="045A7A77"/>
    <w:rsid w:val="045D2E23"/>
    <w:rsid w:val="047D5E93"/>
    <w:rsid w:val="049F5624"/>
    <w:rsid w:val="04C1532F"/>
    <w:rsid w:val="04F574FF"/>
    <w:rsid w:val="051B62AB"/>
    <w:rsid w:val="052C5841"/>
    <w:rsid w:val="05445BA3"/>
    <w:rsid w:val="05485881"/>
    <w:rsid w:val="055D40BD"/>
    <w:rsid w:val="05AA4652"/>
    <w:rsid w:val="05DE64AF"/>
    <w:rsid w:val="05E51E8B"/>
    <w:rsid w:val="05F35C4C"/>
    <w:rsid w:val="05FF324E"/>
    <w:rsid w:val="062C117B"/>
    <w:rsid w:val="066F79D4"/>
    <w:rsid w:val="068A167F"/>
    <w:rsid w:val="06941FE9"/>
    <w:rsid w:val="06A457AF"/>
    <w:rsid w:val="06A70168"/>
    <w:rsid w:val="06AD6630"/>
    <w:rsid w:val="06D82C3A"/>
    <w:rsid w:val="06F82C20"/>
    <w:rsid w:val="07131FA5"/>
    <w:rsid w:val="072058DA"/>
    <w:rsid w:val="07321E6B"/>
    <w:rsid w:val="07421606"/>
    <w:rsid w:val="075F1860"/>
    <w:rsid w:val="0786606E"/>
    <w:rsid w:val="07B5128A"/>
    <w:rsid w:val="07F81AFD"/>
    <w:rsid w:val="080C528C"/>
    <w:rsid w:val="08113BBE"/>
    <w:rsid w:val="08224B62"/>
    <w:rsid w:val="082913BF"/>
    <w:rsid w:val="082A752B"/>
    <w:rsid w:val="083D1396"/>
    <w:rsid w:val="084C32E2"/>
    <w:rsid w:val="086F5D79"/>
    <w:rsid w:val="089D7B58"/>
    <w:rsid w:val="089E4B8C"/>
    <w:rsid w:val="08B47463"/>
    <w:rsid w:val="08F05960"/>
    <w:rsid w:val="0903400D"/>
    <w:rsid w:val="092A00AE"/>
    <w:rsid w:val="094D5FD8"/>
    <w:rsid w:val="0967096B"/>
    <w:rsid w:val="098103B5"/>
    <w:rsid w:val="099E2380"/>
    <w:rsid w:val="09A3791F"/>
    <w:rsid w:val="09AC777E"/>
    <w:rsid w:val="09BC0DBC"/>
    <w:rsid w:val="09D65B51"/>
    <w:rsid w:val="09D96423"/>
    <w:rsid w:val="09F75AC8"/>
    <w:rsid w:val="0A0F6EE8"/>
    <w:rsid w:val="0A2B4526"/>
    <w:rsid w:val="0A5E7AF6"/>
    <w:rsid w:val="0A6F5FF7"/>
    <w:rsid w:val="0A7D7D7B"/>
    <w:rsid w:val="0AB37DFC"/>
    <w:rsid w:val="0AB57E50"/>
    <w:rsid w:val="0AD965E7"/>
    <w:rsid w:val="0B0D34F6"/>
    <w:rsid w:val="0B3C09F8"/>
    <w:rsid w:val="0B3D3456"/>
    <w:rsid w:val="0BD21F87"/>
    <w:rsid w:val="0C034E17"/>
    <w:rsid w:val="0C1974A1"/>
    <w:rsid w:val="0C30697B"/>
    <w:rsid w:val="0C31558A"/>
    <w:rsid w:val="0C426528"/>
    <w:rsid w:val="0C7C3BA8"/>
    <w:rsid w:val="0CBD61E8"/>
    <w:rsid w:val="0CD801E2"/>
    <w:rsid w:val="0CDE75C8"/>
    <w:rsid w:val="0D2D7316"/>
    <w:rsid w:val="0D305579"/>
    <w:rsid w:val="0D4E1EA3"/>
    <w:rsid w:val="0D62416F"/>
    <w:rsid w:val="0DAE70B0"/>
    <w:rsid w:val="0DE726DF"/>
    <w:rsid w:val="0E576928"/>
    <w:rsid w:val="0E66388F"/>
    <w:rsid w:val="0E6E5D4B"/>
    <w:rsid w:val="0E8B4136"/>
    <w:rsid w:val="0E8B5194"/>
    <w:rsid w:val="0EA62364"/>
    <w:rsid w:val="0EC52114"/>
    <w:rsid w:val="0F026AA1"/>
    <w:rsid w:val="0F2A0401"/>
    <w:rsid w:val="0F4252BD"/>
    <w:rsid w:val="0F4E351F"/>
    <w:rsid w:val="0F796B71"/>
    <w:rsid w:val="0F862AA2"/>
    <w:rsid w:val="0F902AB4"/>
    <w:rsid w:val="0FDA4A81"/>
    <w:rsid w:val="100823C5"/>
    <w:rsid w:val="100B407B"/>
    <w:rsid w:val="102C272A"/>
    <w:rsid w:val="10606175"/>
    <w:rsid w:val="10615F2E"/>
    <w:rsid w:val="108252A3"/>
    <w:rsid w:val="108A3EC5"/>
    <w:rsid w:val="10B012D9"/>
    <w:rsid w:val="10B159D4"/>
    <w:rsid w:val="10D45F1A"/>
    <w:rsid w:val="10EA5485"/>
    <w:rsid w:val="10FE14EA"/>
    <w:rsid w:val="111A7D34"/>
    <w:rsid w:val="11237BEA"/>
    <w:rsid w:val="11301FEB"/>
    <w:rsid w:val="11692E07"/>
    <w:rsid w:val="117D4B05"/>
    <w:rsid w:val="11805965"/>
    <w:rsid w:val="11D12062"/>
    <w:rsid w:val="11E86BCE"/>
    <w:rsid w:val="11FF6E5F"/>
    <w:rsid w:val="120F071E"/>
    <w:rsid w:val="121E07C1"/>
    <w:rsid w:val="12553C7F"/>
    <w:rsid w:val="126F0AA5"/>
    <w:rsid w:val="128919D4"/>
    <w:rsid w:val="12B96BA1"/>
    <w:rsid w:val="12C40361"/>
    <w:rsid w:val="130D7E07"/>
    <w:rsid w:val="1347361C"/>
    <w:rsid w:val="138008DC"/>
    <w:rsid w:val="13AF56B9"/>
    <w:rsid w:val="140727BD"/>
    <w:rsid w:val="141763E7"/>
    <w:rsid w:val="144C26B2"/>
    <w:rsid w:val="14786D7E"/>
    <w:rsid w:val="14892EDF"/>
    <w:rsid w:val="14CF52C6"/>
    <w:rsid w:val="14D02F5C"/>
    <w:rsid w:val="14D62F94"/>
    <w:rsid w:val="14F270F0"/>
    <w:rsid w:val="14F67239"/>
    <w:rsid w:val="15CB4CED"/>
    <w:rsid w:val="15CB6DD1"/>
    <w:rsid w:val="15CF7903"/>
    <w:rsid w:val="15E2587E"/>
    <w:rsid w:val="15FF47E9"/>
    <w:rsid w:val="163461C9"/>
    <w:rsid w:val="163550F7"/>
    <w:rsid w:val="1652472A"/>
    <w:rsid w:val="1663088C"/>
    <w:rsid w:val="167667E1"/>
    <w:rsid w:val="167F131F"/>
    <w:rsid w:val="16921BFE"/>
    <w:rsid w:val="16A03608"/>
    <w:rsid w:val="16C02BDF"/>
    <w:rsid w:val="16D46A8E"/>
    <w:rsid w:val="16E00282"/>
    <w:rsid w:val="16F62E15"/>
    <w:rsid w:val="173827E5"/>
    <w:rsid w:val="173B7DB1"/>
    <w:rsid w:val="17557C22"/>
    <w:rsid w:val="17595843"/>
    <w:rsid w:val="17657E61"/>
    <w:rsid w:val="176C6E18"/>
    <w:rsid w:val="17A55E6D"/>
    <w:rsid w:val="17BF56BE"/>
    <w:rsid w:val="17C34F36"/>
    <w:rsid w:val="17CF584C"/>
    <w:rsid w:val="180A4C18"/>
    <w:rsid w:val="18103F78"/>
    <w:rsid w:val="18191B17"/>
    <w:rsid w:val="18227589"/>
    <w:rsid w:val="18402552"/>
    <w:rsid w:val="18407CBF"/>
    <w:rsid w:val="185E06D1"/>
    <w:rsid w:val="1868082F"/>
    <w:rsid w:val="188C1B21"/>
    <w:rsid w:val="189554BC"/>
    <w:rsid w:val="189B1D10"/>
    <w:rsid w:val="18B20EC6"/>
    <w:rsid w:val="192A29D8"/>
    <w:rsid w:val="19413440"/>
    <w:rsid w:val="19481C56"/>
    <w:rsid w:val="19797718"/>
    <w:rsid w:val="19A3296E"/>
    <w:rsid w:val="19E5585C"/>
    <w:rsid w:val="1A0228B4"/>
    <w:rsid w:val="1A271DFB"/>
    <w:rsid w:val="1A3924B5"/>
    <w:rsid w:val="1A454E10"/>
    <w:rsid w:val="1A481C28"/>
    <w:rsid w:val="1A4F0809"/>
    <w:rsid w:val="1A613215"/>
    <w:rsid w:val="1A6B23B8"/>
    <w:rsid w:val="1AA56ACE"/>
    <w:rsid w:val="1AC9700C"/>
    <w:rsid w:val="1B05152A"/>
    <w:rsid w:val="1B1C5935"/>
    <w:rsid w:val="1B214453"/>
    <w:rsid w:val="1B2D2338"/>
    <w:rsid w:val="1B4E74CA"/>
    <w:rsid w:val="1B525270"/>
    <w:rsid w:val="1B5771AB"/>
    <w:rsid w:val="1B8E0C16"/>
    <w:rsid w:val="1B9C337D"/>
    <w:rsid w:val="1BD61509"/>
    <w:rsid w:val="1BF76176"/>
    <w:rsid w:val="1C203A9C"/>
    <w:rsid w:val="1C2403B8"/>
    <w:rsid w:val="1C317D16"/>
    <w:rsid w:val="1C443B15"/>
    <w:rsid w:val="1C554928"/>
    <w:rsid w:val="1C703976"/>
    <w:rsid w:val="1C770EFC"/>
    <w:rsid w:val="1C79702B"/>
    <w:rsid w:val="1C8C2FD7"/>
    <w:rsid w:val="1C912830"/>
    <w:rsid w:val="1CA67605"/>
    <w:rsid w:val="1CD1424B"/>
    <w:rsid w:val="1CEE2407"/>
    <w:rsid w:val="1D49078F"/>
    <w:rsid w:val="1D556C86"/>
    <w:rsid w:val="1D596426"/>
    <w:rsid w:val="1D78638D"/>
    <w:rsid w:val="1D8C2CB0"/>
    <w:rsid w:val="1D974C6F"/>
    <w:rsid w:val="1D9803B1"/>
    <w:rsid w:val="1DA722BE"/>
    <w:rsid w:val="1DE91F56"/>
    <w:rsid w:val="1DED0804"/>
    <w:rsid w:val="1DF61EC7"/>
    <w:rsid w:val="1E1B7E22"/>
    <w:rsid w:val="1E4871E8"/>
    <w:rsid w:val="1E551178"/>
    <w:rsid w:val="1EE7444D"/>
    <w:rsid w:val="1EEA6266"/>
    <w:rsid w:val="1EF856E7"/>
    <w:rsid w:val="1F0C5EDD"/>
    <w:rsid w:val="1F1A0DE5"/>
    <w:rsid w:val="1F3D75AD"/>
    <w:rsid w:val="1F434E10"/>
    <w:rsid w:val="1F575EF7"/>
    <w:rsid w:val="1F66526C"/>
    <w:rsid w:val="1F9169E5"/>
    <w:rsid w:val="1FAE3FE5"/>
    <w:rsid w:val="1FBF453A"/>
    <w:rsid w:val="1FDA47B0"/>
    <w:rsid w:val="1FE15907"/>
    <w:rsid w:val="200243EE"/>
    <w:rsid w:val="20623B2B"/>
    <w:rsid w:val="20805C06"/>
    <w:rsid w:val="2086493C"/>
    <w:rsid w:val="20891F8B"/>
    <w:rsid w:val="209A66F7"/>
    <w:rsid w:val="20A0611A"/>
    <w:rsid w:val="20B46D0A"/>
    <w:rsid w:val="20C42600"/>
    <w:rsid w:val="20CF5B84"/>
    <w:rsid w:val="20D939E0"/>
    <w:rsid w:val="211E4C1E"/>
    <w:rsid w:val="21207F9C"/>
    <w:rsid w:val="216929AF"/>
    <w:rsid w:val="217810D3"/>
    <w:rsid w:val="21871145"/>
    <w:rsid w:val="219B2E3F"/>
    <w:rsid w:val="21A54CDA"/>
    <w:rsid w:val="21C11964"/>
    <w:rsid w:val="21C2191B"/>
    <w:rsid w:val="21FB06D4"/>
    <w:rsid w:val="21FF4D69"/>
    <w:rsid w:val="22250FCC"/>
    <w:rsid w:val="2231313E"/>
    <w:rsid w:val="22DC1635"/>
    <w:rsid w:val="22EF441E"/>
    <w:rsid w:val="22FB7F7F"/>
    <w:rsid w:val="22FE14C9"/>
    <w:rsid w:val="23004747"/>
    <w:rsid w:val="23153C4E"/>
    <w:rsid w:val="231B5250"/>
    <w:rsid w:val="23402FC6"/>
    <w:rsid w:val="234778A3"/>
    <w:rsid w:val="239745BA"/>
    <w:rsid w:val="23C9733B"/>
    <w:rsid w:val="240D7F6A"/>
    <w:rsid w:val="24223330"/>
    <w:rsid w:val="242354EF"/>
    <w:rsid w:val="247510DB"/>
    <w:rsid w:val="24822C48"/>
    <w:rsid w:val="25194790"/>
    <w:rsid w:val="251D6AF8"/>
    <w:rsid w:val="251F0E43"/>
    <w:rsid w:val="2527612C"/>
    <w:rsid w:val="253C7A57"/>
    <w:rsid w:val="25401C79"/>
    <w:rsid w:val="25A12C23"/>
    <w:rsid w:val="25B6574E"/>
    <w:rsid w:val="25BD4D4B"/>
    <w:rsid w:val="25BF2C09"/>
    <w:rsid w:val="25E44CFA"/>
    <w:rsid w:val="25F24998"/>
    <w:rsid w:val="264C6569"/>
    <w:rsid w:val="26553D2D"/>
    <w:rsid w:val="267E0CAB"/>
    <w:rsid w:val="2691293C"/>
    <w:rsid w:val="272A62F6"/>
    <w:rsid w:val="27512B0E"/>
    <w:rsid w:val="275A7300"/>
    <w:rsid w:val="276E6B0C"/>
    <w:rsid w:val="27765E26"/>
    <w:rsid w:val="27851515"/>
    <w:rsid w:val="27C57B24"/>
    <w:rsid w:val="27C60410"/>
    <w:rsid w:val="27E95385"/>
    <w:rsid w:val="27FFBA2E"/>
    <w:rsid w:val="2806218C"/>
    <w:rsid w:val="281A2C55"/>
    <w:rsid w:val="283221D9"/>
    <w:rsid w:val="283335E0"/>
    <w:rsid w:val="287467AF"/>
    <w:rsid w:val="287B5F95"/>
    <w:rsid w:val="28846079"/>
    <w:rsid w:val="289C18BC"/>
    <w:rsid w:val="28AE2013"/>
    <w:rsid w:val="28B720F4"/>
    <w:rsid w:val="28CD048D"/>
    <w:rsid w:val="28CE5985"/>
    <w:rsid w:val="28D0156E"/>
    <w:rsid w:val="28D778B0"/>
    <w:rsid w:val="28E84965"/>
    <w:rsid w:val="29587535"/>
    <w:rsid w:val="29595FC5"/>
    <w:rsid w:val="297353B3"/>
    <w:rsid w:val="29B15EA9"/>
    <w:rsid w:val="29F86E68"/>
    <w:rsid w:val="2A1D6C10"/>
    <w:rsid w:val="2A2E6FCE"/>
    <w:rsid w:val="2A7744A6"/>
    <w:rsid w:val="2A7D12F4"/>
    <w:rsid w:val="2ACD7D1B"/>
    <w:rsid w:val="2AD31D53"/>
    <w:rsid w:val="2AFE5558"/>
    <w:rsid w:val="2B1C0A93"/>
    <w:rsid w:val="2B2D7D72"/>
    <w:rsid w:val="2B4C1F07"/>
    <w:rsid w:val="2B8904D3"/>
    <w:rsid w:val="2B9E76FA"/>
    <w:rsid w:val="2BBA11DD"/>
    <w:rsid w:val="2BFC1260"/>
    <w:rsid w:val="2C5C149A"/>
    <w:rsid w:val="2C6F4812"/>
    <w:rsid w:val="2C767EB4"/>
    <w:rsid w:val="2C8D144E"/>
    <w:rsid w:val="2CAF55A3"/>
    <w:rsid w:val="2CB44676"/>
    <w:rsid w:val="2CC8236D"/>
    <w:rsid w:val="2CCB3F36"/>
    <w:rsid w:val="2CF22587"/>
    <w:rsid w:val="2CF34C06"/>
    <w:rsid w:val="2CFC4834"/>
    <w:rsid w:val="2D173FF5"/>
    <w:rsid w:val="2D4B33DA"/>
    <w:rsid w:val="2D59417B"/>
    <w:rsid w:val="2D6E62FE"/>
    <w:rsid w:val="2D9D0CE8"/>
    <w:rsid w:val="2DC06478"/>
    <w:rsid w:val="2DCA0F48"/>
    <w:rsid w:val="2DCC589E"/>
    <w:rsid w:val="2DDE5899"/>
    <w:rsid w:val="2DE324B5"/>
    <w:rsid w:val="2DF12E3D"/>
    <w:rsid w:val="2DFF39E6"/>
    <w:rsid w:val="2E0C2AFF"/>
    <w:rsid w:val="2E0C4DEE"/>
    <w:rsid w:val="2E0D278E"/>
    <w:rsid w:val="2E232138"/>
    <w:rsid w:val="2E2D5646"/>
    <w:rsid w:val="2E3C72BF"/>
    <w:rsid w:val="2E534CF7"/>
    <w:rsid w:val="2E743FD4"/>
    <w:rsid w:val="2E777F6E"/>
    <w:rsid w:val="2E794C5B"/>
    <w:rsid w:val="2E7C0C59"/>
    <w:rsid w:val="2E9A7984"/>
    <w:rsid w:val="2EB61572"/>
    <w:rsid w:val="2EC7325C"/>
    <w:rsid w:val="2F482DDF"/>
    <w:rsid w:val="2F8E3967"/>
    <w:rsid w:val="2FAD19CD"/>
    <w:rsid w:val="2FC30697"/>
    <w:rsid w:val="2FCA592D"/>
    <w:rsid w:val="2FDB716E"/>
    <w:rsid w:val="2FF24A22"/>
    <w:rsid w:val="3002019B"/>
    <w:rsid w:val="300667C6"/>
    <w:rsid w:val="301F3529"/>
    <w:rsid w:val="30207B0C"/>
    <w:rsid w:val="302E7DEC"/>
    <w:rsid w:val="304F3C5B"/>
    <w:rsid w:val="30850E88"/>
    <w:rsid w:val="31200821"/>
    <w:rsid w:val="31366FE9"/>
    <w:rsid w:val="31417402"/>
    <w:rsid w:val="31440550"/>
    <w:rsid w:val="3149002F"/>
    <w:rsid w:val="317A0E3F"/>
    <w:rsid w:val="31AF0699"/>
    <w:rsid w:val="31B715B0"/>
    <w:rsid w:val="31D26306"/>
    <w:rsid w:val="322C6B63"/>
    <w:rsid w:val="32430FFB"/>
    <w:rsid w:val="326208FE"/>
    <w:rsid w:val="32894441"/>
    <w:rsid w:val="32B278A0"/>
    <w:rsid w:val="32D95B5A"/>
    <w:rsid w:val="33123701"/>
    <w:rsid w:val="33261C49"/>
    <w:rsid w:val="33274A76"/>
    <w:rsid w:val="333A306D"/>
    <w:rsid w:val="33611979"/>
    <w:rsid w:val="3375185E"/>
    <w:rsid w:val="33830E68"/>
    <w:rsid w:val="33B201E6"/>
    <w:rsid w:val="33BC3370"/>
    <w:rsid w:val="33C050F4"/>
    <w:rsid w:val="33C860E9"/>
    <w:rsid w:val="33D457FF"/>
    <w:rsid w:val="33F61664"/>
    <w:rsid w:val="341353CD"/>
    <w:rsid w:val="34404ED7"/>
    <w:rsid w:val="344B1C77"/>
    <w:rsid w:val="344E2131"/>
    <w:rsid w:val="346A458F"/>
    <w:rsid w:val="34863F18"/>
    <w:rsid w:val="34BA7658"/>
    <w:rsid w:val="34C44572"/>
    <w:rsid w:val="34DA01F1"/>
    <w:rsid w:val="34FD633B"/>
    <w:rsid w:val="34FD6B1C"/>
    <w:rsid w:val="356615EF"/>
    <w:rsid w:val="35705820"/>
    <w:rsid w:val="35796CD0"/>
    <w:rsid w:val="35A4298E"/>
    <w:rsid w:val="35BF682A"/>
    <w:rsid w:val="35D82453"/>
    <w:rsid w:val="362815AE"/>
    <w:rsid w:val="363F5D8A"/>
    <w:rsid w:val="364662F4"/>
    <w:rsid w:val="365732C7"/>
    <w:rsid w:val="36B347FD"/>
    <w:rsid w:val="36B83D65"/>
    <w:rsid w:val="36FA43B9"/>
    <w:rsid w:val="371736C4"/>
    <w:rsid w:val="378102EA"/>
    <w:rsid w:val="37817173"/>
    <w:rsid w:val="37A663FD"/>
    <w:rsid w:val="37B4173F"/>
    <w:rsid w:val="37BA58E3"/>
    <w:rsid w:val="37D35566"/>
    <w:rsid w:val="37F0618C"/>
    <w:rsid w:val="37F850C7"/>
    <w:rsid w:val="382A5E77"/>
    <w:rsid w:val="38347A6F"/>
    <w:rsid w:val="38447F08"/>
    <w:rsid w:val="385E2BDF"/>
    <w:rsid w:val="388A546A"/>
    <w:rsid w:val="38A358CB"/>
    <w:rsid w:val="38C73460"/>
    <w:rsid w:val="38F31F4A"/>
    <w:rsid w:val="38F37B57"/>
    <w:rsid w:val="39161217"/>
    <w:rsid w:val="39172634"/>
    <w:rsid w:val="391E1E7A"/>
    <w:rsid w:val="392C7196"/>
    <w:rsid w:val="393A23DC"/>
    <w:rsid w:val="396674F1"/>
    <w:rsid w:val="396B1633"/>
    <w:rsid w:val="399763CA"/>
    <w:rsid w:val="39BC263E"/>
    <w:rsid w:val="39CE58C9"/>
    <w:rsid w:val="39F221C4"/>
    <w:rsid w:val="3A1161C8"/>
    <w:rsid w:val="3A137DCB"/>
    <w:rsid w:val="3A255BB6"/>
    <w:rsid w:val="3A2C3682"/>
    <w:rsid w:val="3A450EEC"/>
    <w:rsid w:val="3A5B0C48"/>
    <w:rsid w:val="3A81002D"/>
    <w:rsid w:val="3A9F58C9"/>
    <w:rsid w:val="3AEA6DAB"/>
    <w:rsid w:val="3B0E5F3E"/>
    <w:rsid w:val="3B255E69"/>
    <w:rsid w:val="3B3F6BC7"/>
    <w:rsid w:val="3B6C6D09"/>
    <w:rsid w:val="3B75742F"/>
    <w:rsid w:val="3B9D2E91"/>
    <w:rsid w:val="3BA0603B"/>
    <w:rsid w:val="3BD73A71"/>
    <w:rsid w:val="3BD808EC"/>
    <w:rsid w:val="3BF55114"/>
    <w:rsid w:val="3C0412CE"/>
    <w:rsid w:val="3C082B05"/>
    <w:rsid w:val="3C175640"/>
    <w:rsid w:val="3C222884"/>
    <w:rsid w:val="3C241864"/>
    <w:rsid w:val="3C2A31C7"/>
    <w:rsid w:val="3C4871B9"/>
    <w:rsid w:val="3C9C7AF6"/>
    <w:rsid w:val="3CF96E86"/>
    <w:rsid w:val="3D270F90"/>
    <w:rsid w:val="3D4502CD"/>
    <w:rsid w:val="3D4E29E8"/>
    <w:rsid w:val="3DA064B0"/>
    <w:rsid w:val="3DA17CA0"/>
    <w:rsid w:val="3DC324BD"/>
    <w:rsid w:val="3DC45F76"/>
    <w:rsid w:val="3DED5717"/>
    <w:rsid w:val="3DF5462E"/>
    <w:rsid w:val="3DFA2EB5"/>
    <w:rsid w:val="3E3515A5"/>
    <w:rsid w:val="3E3F3A5C"/>
    <w:rsid w:val="3E5778A3"/>
    <w:rsid w:val="3E5EA7CB"/>
    <w:rsid w:val="3E8C29BD"/>
    <w:rsid w:val="3EB02100"/>
    <w:rsid w:val="3EB209EE"/>
    <w:rsid w:val="3EC16864"/>
    <w:rsid w:val="3ED27A5A"/>
    <w:rsid w:val="3F073FB4"/>
    <w:rsid w:val="3F0F400B"/>
    <w:rsid w:val="3F180FFC"/>
    <w:rsid w:val="3F334952"/>
    <w:rsid w:val="3F375D8E"/>
    <w:rsid w:val="3F4573BE"/>
    <w:rsid w:val="3F65658D"/>
    <w:rsid w:val="3F6A34AA"/>
    <w:rsid w:val="3FBE5ADB"/>
    <w:rsid w:val="3FFE4568"/>
    <w:rsid w:val="40092ADD"/>
    <w:rsid w:val="40273E8A"/>
    <w:rsid w:val="40706004"/>
    <w:rsid w:val="407145E4"/>
    <w:rsid w:val="407A3A32"/>
    <w:rsid w:val="40922B16"/>
    <w:rsid w:val="40D91130"/>
    <w:rsid w:val="40F40A75"/>
    <w:rsid w:val="411B6C41"/>
    <w:rsid w:val="414C19A2"/>
    <w:rsid w:val="414F52C6"/>
    <w:rsid w:val="415E7CC3"/>
    <w:rsid w:val="41676AB4"/>
    <w:rsid w:val="419B7A80"/>
    <w:rsid w:val="41CA5CC4"/>
    <w:rsid w:val="41E06866"/>
    <w:rsid w:val="41EC6815"/>
    <w:rsid w:val="41F02BD4"/>
    <w:rsid w:val="41F42F90"/>
    <w:rsid w:val="42154BAE"/>
    <w:rsid w:val="42183F7E"/>
    <w:rsid w:val="421B7BC4"/>
    <w:rsid w:val="424C2FD9"/>
    <w:rsid w:val="42621029"/>
    <w:rsid w:val="4295453E"/>
    <w:rsid w:val="429E61FE"/>
    <w:rsid w:val="433B4132"/>
    <w:rsid w:val="433E3F6A"/>
    <w:rsid w:val="43487777"/>
    <w:rsid w:val="434A21E9"/>
    <w:rsid w:val="436770A3"/>
    <w:rsid w:val="43685EA2"/>
    <w:rsid w:val="43C012BD"/>
    <w:rsid w:val="43CB0156"/>
    <w:rsid w:val="43CD56CA"/>
    <w:rsid w:val="44400DB8"/>
    <w:rsid w:val="447D2290"/>
    <w:rsid w:val="447E1DFB"/>
    <w:rsid w:val="449123AA"/>
    <w:rsid w:val="44D108E9"/>
    <w:rsid w:val="44F521DC"/>
    <w:rsid w:val="45091C30"/>
    <w:rsid w:val="45176899"/>
    <w:rsid w:val="453212A8"/>
    <w:rsid w:val="45661279"/>
    <w:rsid w:val="45710FED"/>
    <w:rsid w:val="457F2A42"/>
    <w:rsid w:val="45B34BE2"/>
    <w:rsid w:val="4690085B"/>
    <w:rsid w:val="46C2744B"/>
    <w:rsid w:val="4710374A"/>
    <w:rsid w:val="47251A5B"/>
    <w:rsid w:val="47580916"/>
    <w:rsid w:val="47602E94"/>
    <w:rsid w:val="47665118"/>
    <w:rsid w:val="476814B2"/>
    <w:rsid w:val="4777377B"/>
    <w:rsid w:val="478A0415"/>
    <w:rsid w:val="479A5A6E"/>
    <w:rsid w:val="47B24801"/>
    <w:rsid w:val="47B31E12"/>
    <w:rsid w:val="47B57E4D"/>
    <w:rsid w:val="47DD4117"/>
    <w:rsid w:val="47E25FF8"/>
    <w:rsid w:val="47F96E1E"/>
    <w:rsid w:val="481918C7"/>
    <w:rsid w:val="48274180"/>
    <w:rsid w:val="482A78A6"/>
    <w:rsid w:val="48841579"/>
    <w:rsid w:val="48966425"/>
    <w:rsid w:val="48A867E8"/>
    <w:rsid w:val="48BD2B6B"/>
    <w:rsid w:val="48C2394B"/>
    <w:rsid w:val="48E54FA5"/>
    <w:rsid w:val="492B0EAD"/>
    <w:rsid w:val="492F72BF"/>
    <w:rsid w:val="49B91E77"/>
    <w:rsid w:val="49C94C21"/>
    <w:rsid w:val="49E80EBE"/>
    <w:rsid w:val="49F423B8"/>
    <w:rsid w:val="4A212085"/>
    <w:rsid w:val="4A2F4392"/>
    <w:rsid w:val="4A3D7D8E"/>
    <w:rsid w:val="4A5C36A4"/>
    <w:rsid w:val="4A9828CA"/>
    <w:rsid w:val="4AA4778C"/>
    <w:rsid w:val="4AA76A98"/>
    <w:rsid w:val="4AB56AE2"/>
    <w:rsid w:val="4AC42FA7"/>
    <w:rsid w:val="4B3D0610"/>
    <w:rsid w:val="4B4C1DFC"/>
    <w:rsid w:val="4B59019E"/>
    <w:rsid w:val="4B5F0D20"/>
    <w:rsid w:val="4B782CDC"/>
    <w:rsid w:val="4BAD7D32"/>
    <w:rsid w:val="4C087364"/>
    <w:rsid w:val="4C684B59"/>
    <w:rsid w:val="4C871DB8"/>
    <w:rsid w:val="4C946A29"/>
    <w:rsid w:val="4CC96874"/>
    <w:rsid w:val="4CCB647B"/>
    <w:rsid w:val="4D157B84"/>
    <w:rsid w:val="4D2A72F1"/>
    <w:rsid w:val="4D4975AE"/>
    <w:rsid w:val="4D68421D"/>
    <w:rsid w:val="4D900C6E"/>
    <w:rsid w:val="4D954D87"/>
    <w:rsid w:val="4DCB34AF"/>
    <w:rsid w:val="4DE851BA"/>
    <w:rsid w:val="4E141D71"/>
    <w:rsid w:val="4E3707F2"/>
    <w:rsid w:val="4E492C3D"/>
    <w:rsid w:val="4E531BC0"/>
    <w:rsid w:val="4E697602"/>
    <w:rsid w:val="4E7113B6"/>
    <w:rsid w:val="4E8C31F6"/>
    <w:rsid w:val="4EDF1907"/>
    <w:rsid w:val="4EEB73D6"/>
    <w:rsid w:val="4EEE58ED"/>
    <w:rsid w:val="4EFBC2F8"/>
    <w:rsid w:val="4F3E3DA0"/>
    <w:rsid w:val="4F616E5F"/>
    <w:rsid w:val="4F714FA1"/>
    <w:rsid w:val="4F763512"/>
    <w:rsid w:val="4F91560A"/>
    <w:rsid w:val="4F977EC5"/>
    <w:rsid w:val="4F9D0377"/>
    <w:rsid w:val="4FAD422B"/>
    <w:rsid w:val="4FEB0ED0"/>
    <w:rsid w:val="501B2DA6"/>
    <w:rsid w:val="5024299A"/>
    <w:rsid w:val="50271258"/>
    <w:rsid w:val="502F63C7"/>
    <w:rsid w:val="5030585F"/>
    <w:rsid w:val="504A7CCC"/>
    <w:rsid w:val="504D12C9"/>
    <w:rsid w:val="506E16DE"/>
    <w:rsid w:val="507F159F"/>
    <w:rsid w:val="509B7E40"/>
    <w:rsid w:val="50D551D6"/>
    <w:rsid w:val="50FE1AA4"/>
    <w:rsid w:val="51085C53"/>
    <w:rsid w:val="512114CB"/>
    <w:rsid w:val="513149E8"/>
    <w:rsid w:val="51354413"/>
    <w:rsid w:val="513A5934"/>
    <w:rsid w:val="51710F06"/>
    <w:rsid w:val="518024E4"/>
    <w:rsid w:val="519D5EB9"/>
    <w:rsid w:val="51AA7DC4"/>
    <w:rsid w:val="51C35401"/>
    <w:rsid w:val="51C40AF3"/>
    <w:rsid w:val="51EF2F63"/>
    <w:rsid w:val="5206030D"/>
    <w:rsid w:val="521E1DC7"/>
    <w:rsid w:val="52481E84"/>
    <w:rsid w:val="52832490"/>
    <w:rsid w:val="52A55EF5"/>
    <w:rsid w:val="52A66ABC"/>
    <w:rsid w:val="52A73A47"/>
    <w:rsid w:val="52BD6F43"/>
    <w:rsid w:val="52C6234B"/>
    <w:rsid w:val="52FE2DB6"/>
    <w:rsid w:val="530E5BC1"/>
    <w:rsid w:val="53232216"/>
    <w:rsid w:val="53472AD6"/>
    <w:rsid w:val="536B5669"/>
    <w:rsid w:val="53760194"/>
    <w:rsid w:val="53A07AD9"/>
    <w:rsid w:val="53A817BE"/>
    <w:rsid w:val="53AA6D84"/>
    <w:rsid w:val="53C93F07"/>
    <w:rsid w:val="53CE3D31"/>
    <w:rsid w:val="53EB4884"/>
    <w:rsid w:val="54083235"/>
    <w:rsid w:val="540A7715"/>
    <w:rsid w:val="541B6950"/>
    <w:rsid w:val="54273E81"/>
    <w:rsid w:val="542B03F1"/>
    <w:rsid w:val="544814C3"/>
    <w:rsid w:val="544E4124"/>
    <w:rsid w:val="54805664"/>
    <w:rsid w:val="54890277"/>
    <w:rsid w:val="54CF6344"/>
    <w:rsid w:val="551D498C"/>
    <w:rsid w:val="55442876"/>
    <w:rsid w:val="556C606F"/>
    <w:rsid w:val="5588094F"/>
    <w:rsid w:val="55A21A11"/>
    <w:rsid w:val="5646342B"/>
    <w:rsid w:val="56556EAB"/>
    <w:rsid w:val="56B934B6"/>
    <w:rsid w:val="56CE36A4"/>
    <w:rsid w:val="56F55C7F"/>
    <w:rsid w:val="57297969"/>
    <w:rsid w:val="57731A2E"/>
    <w:rsid w:val="579D47B6"/>
    <w:rsid w:val="57B40121"/>
    <w:rsid w:val="57BA58AD"/>
    <w:rsid w:val="57BD22E3"/>
    <w:rsid w:val="57C53D81"/>
    <w:rsid w:val="57FF1022"/>
    <w:rsid w:val="582A331A"/>
    <w:rsid w:val="583A4AD3"/>
    <w:rsid w:val="586B44C0"/>
    <w:rsid w:val="58704048"/>
    <w:rsid w:val="588B4D68"/>
    <w:rsid w:val="58BA3FAB"/>
    <w:rsid w:val="58BC728D"/>
    <w:rsid w:val="58DC779F"/>
    <w:rsid w:val="58E568AC"/>
    <w:rsid w:val="59232B6A"/>
    <w:rsid w:val="594F0101"/>
    <w:rsid w:val="595E2319"/>
    <w:rsid w:val="59972C8B"/>
    <w:rsid w:val="59A34455"/>
    <w:rsid w:val="59EC479D"/>
    <w:rsid w:val="5ACF7CF2"/>
    <w:rsid w:val="5AEF3C0B"/>
    <w:rsid w:val="5AF01FE0"/>
    <w:rsid w:val="5AFF7BBE"/>
    <w:rsid w:val="5B251E87"/>
    <w:rsid w:val="5B4B3363"/>
    <w:rsid w:val="5B600B20"/>
    <w:rsid w:val="5B677A20"/>
    <w:rsid w:val="5B6B6089"/>
    <w:rsid w:val="5B6F2EC4"/>
    <w:rsid w:val="5B8C4C50"/>
    <w:rsid w:val="5B8D6974"/>
    <w:rsid w:val="5BB827B9"/>
    <w:rsid w:val="5BC379A3"/>
    <w:rsid w:val="5BCF63C7"/>
    <w:rsid w:val="5BFF5C07"/>
    <w:rsid w:val="5C337866"/>
    <w:rsid w:val="5C545D5A"/>
    <w:rsid w:val="5C551EDA"/>
    <w:rsid w:val="5C62014C"/>
    <w:rsid w:val="5CAE15E3"/>
    <w:rsid w:val="5CB36DEF"/>
    <w:rsid w:val="5CC728D5"/>
    <w:rsid w:val="5CDC6150"/>
    <w:rsid w:val="5CF243F8"/>
    <w:rsid w:val="5D3171D9"/>
    <w:rsid w:val="5D3B79D9"/>
    <w:rsid w:val="5D472462"/>
    <w:rsid w:val="5D515621"/>
    <w:rsid w:val="5D72222B"/>
    <w:rsid w:val="5D723771"/>
    <w:rsid w:val="5D7C120F"/>
    <w:rsid w:val="5D804F27"/>
    <w:rsid w:val="5DBD0569"/>
    <w:rsid w:val="5DBFF9E4"/>
    <w:rsid w:val="5DD44F13"/>
    <w:rsid w:val="5E434D11"/>
    <w:rsid w:val="5E841283"/>
    <w:rsid w:val="5EB12C39"/>
    <w:rsid w:val="5F070907"/>
    <w:rsid w:val="5F213899"/>
    <w:rsid w:val="5F2E4774"/>
    <w:rsid w:val="5F3D51CF"/>
    <w:rsid w:val="5F6E6884"/>
    <w:rsid w:val="5F780178"/>
    <w:rsid w:val="5FA600E8"/>
    <w:rsid w:val="5FAB3BB8"/>
    <w:rsid w:val="5FD31193"/>
    <w:rsid w:val="5FE9635B"/>
    <w:rsid w:val="5FF00D75"/>
    <w:rsid w:val="5FF82345"/>
    <w:rsid w:val="5FF85214"/>
    <w:rsid w:val="5FFC747C"/>
    <w:rsid w:val="60207F04"/>
    <w:rsid w:val="602821CF"/>
    <w:rsid w:val="6038474B"/>
    <w:rsid w:val="60453032"/>
    <w:rsid w:val="605468E7"/>
    <w:rsid w:val="606E56A4"/>
    <w:rsid w:val="607067D0"/>
    <w:rsid w:val="60A30CBE"/>
    <w:rsid w:val="60A45FA4"/>
    <w:rsid w:val="60A76232"/>
    <w:rsid w:val="60C92EE9"/>
    <w:rsid w:val="60D159A5"/>
    <w:rsid w:val="60D932D3"/>
    <w:rsid w:val="60DE6B1A"/>
    <w:rsid w:val="60E70F31"/>
    <w:rsid w:val="60F15B83"/>
    <w:rsid w:val="613C3B82"/>
    <w:rsid w:val="61463107"/>
    <w:rsid w:val="614C4F26"/>
    <w:rsid w:val="61566485"/>
    <w:rsid w:val="615E1233"/>
    <w:rsid w:val="617156A9"/>
    <w:rsid w:val="619C0E57"/>
    <w:rsid w:val="61D00D3E"/>
    <w:rsid w:val="61D60947"/>
    <w:rsid w:val="61EC7E3E"/>
    <w:rsid w:val="622A6CF2"/>
    <w:rsid w:val="62483694"/>
    <w:rsid w:val="624F32AC"/>
    <w:rsid w:val="62945969"/>
    <w:rsid w:val="62AE4D58"/>
    <w:rsid w:val="62EA6C3F"/>
    <w:rsid w:val="63483F0E"/>
    <w:rsid w:val="63556314"/>
    <w:rsid w:val="638A135B"/>
    <w:rsid w:val="63936295"/>
    <w:rsid w:val="63D405FC"/>
    <w:rsid w:val="641A55BD"/>
    <w:rsid w:val="6426273F"/>
    <w:rsid w:val="64275926"/>
    <w:rsid w:val="64300375"/>
    <w:rsid w:val="643563FA"/>
    <w:rsid w:val="6457430E"/>
    <w:rsid w:val="646C5C3B"/>
    <w:rsid w:val="64836EB1"/>
    <w:rsid w:val="64AD1EF0"/>
    <w:rsid w:val="64BA1892"/>
    <w:rsid w:val="64CE7499"/>
    <w:rsid w:val="64EC1AC2"/>
    <w:rsid w:val="651D2487"/>
    <w:rsid w:val="653511FC"/>
    <w:rsid w:val="653D1756"/>
    <w:rsid w:val="6545559D"/>
    <w:rsid w:val="654B3E73"/>
    <w:rsid w:val="656A7223"/>
    <w:rsid w:val="657E7F74"/>
    <w:rsid w:val="658F129B"/>
    <w:rsid w:val="65BF6C45"/>
    <w:rsid w:val="65C63C68"/>
    <w:rsid w:val="65CE1A61"/>
    <w:rsid w:val="65DD5380"/>
    <w:rsid w:val="65F35721"/>
    <w:rsid w:val="66542198"/>
    <w:rsid w:val="667751E4"/>
    <w:rsid w:val="667F3388"/>
    <w:rsid w:val="66AB5C09"/>
    <w:rsid w:val="66B53CB9"/>
    <w:rsid w:val="66BE1E46"/>
    <w:rsid w:val="66BE66DD"/>
    <w:rsid w:val="66C355CB"/>
    <w:rsid w:val="66F132BE"/>
    <w:rsid w:val="67052B96"/>
    <w:rsid w:val="67305992"/>
    <w:rsid w:val="674E7C4A"/>
    <w:rsid w:val="676C1E7F"/>
    <w:rsid w:val="676E5BF7"/>
    <w:rsid w:val="67826FF1"/>
    <w:rsid w:val="679F4A2F"/>
    <w:rsid w:val="67A36C5B"/>
    <w:rsid w:val="67C61A4C"/>
    <w:rsid w:val="67CC0B6F"/>
    <w:rsid w:val="67FB10DE"/>
    <w:rsid w:val="67FB380A"/>
    <w:rsid w:val="684E58C1"/>
    <w:rsid w:val="686D3C5B"/>
    <w:rsid w:val="688569A2"/>
    <w:rsid w:val="68924D73"/>
    <w:rsid w:val="68C937F3"/>
    <w:rsid w:val="68E61E93"/>
    <w:rsid w:val="68F03A86"/>
    <w:rsid w:val="693C2592"/>
    <w:rsid w:val="69434E61"/>
    <w:rsid w:val="696F7F93"/>
    <w:rsid w:val="697125DA"/>
    <w:rsid w:val="699776AF"/>
    <w:rsid w:val="69986017"/>
    <w:rsid w:val="69D15D1E"/>
    <w:rsid w:val="69FF0E42"/>
    <w:rsid w:val="6A022064"/>
    <w:rsid w:val="6A124768"/>
    <w:rsid w:val="6A1A6936"/>
    <w:rsid w:val="6A626179"/>
    <w:rsid w:val="6A722A7B"/>
    <w:rsid w:val="6AAD6A36"/>
    <w:rsid w:val="6AB15A99"/>
    <w:rsid w:val="6AC5684F"/>
    <w:rsid w:val="6AE23394"/>
    <w:rsid w:val="6AEC301A"/>
    <w:rsid w:val="6B20545A"/>
    <w:rsid w:val="6B261C24"/>
    <w:rsid w:val="6B4738DF"/>
    <w:rsid w:val="6B6F5E18"/>
    <w:rsid w:val="6B726E90"/>
    <w:rsid w:val="6B7D28AC"/>
    <w:rsid w:val="6B9B5BF9"/>
    <w:rsid w:val="6BA10F3B"/>
    <w:rsid w:val="6BB35AC8"/>
    <w:rsid w:val="6BE7BE23"/>
    <w:rsid w:val="6BF70BD1"/>
    <w:rsid w:val="6C141DD0"/>
    <w:rsid w:val="6C15710A"/>
    <w:rsid w:val="6C3D6737"/>
    <w:rsid w:val="6C3E27AC"/>
    <w:rsid w:val="6C416D9E"/>
    <w:rsid w:val="6C443479"/>
    <w:rsid w:val="6C615D2A"/>
    <w:rsid w:val="6C7C5D96"/>
    <w:rsid w:val="6C8B0FF9"/>
    <w:rsid w:val="6CAB0CDE"/>
    <w:rsid w:val="6CCC404E"/>
    <w:rsid w:val="6CE94ACA"/>
    <w:rsid w:val="6CFA46F6"/>
    <w:rsid w:val="6D1421E7"/>
    <w:rsid w:val="6D2D7BC2"/>
    <w:rsid w:val="6D51565A"/>
    <w:rsid w:val="6D7076B8"/>
    <w:rsid w:val="6D7766A6"/>
    <w:rsid w:val="6D88547B"/>
    <w:rsid w:val="6D9433CF"/>
    <w:rsid w:val="6DAB24ED"/>
    <w:rsid w:val="6DAF3B3D"/>
    <w:rsid w:val="6DC006B4"/>
    <w:rsid w:val="6DC24EEE"/>
    <w:rsid w:val="6DEC07A8"/>
    <w:rsid w:val="6DFFCC2C"/>
    <w:rsid w:val="6E1113A9"/>
    <w:rsid w:val="6E517C93"/>
    <w:rsid w:val="6E684063"/>
    <w:rsid w:val="6ED01DC1"/>
    <w:rsid w:val="6EF14CFB"/>
    <w:rsid w:val="6EF61A2E"/>
    <w:rsid w:val="6F065D13"/>
    <w:rsid w:val="6F2F413A"/>
    <w:rsid w:val="6F3B1E30"/>
    <w:rsid w:val="6F4845C7"/>
    <w:rsid w:val="6F53209F"/>
    <w:rsid w:val="6F6716DB"/>
    <w:rsid w:val="6FA80942"/>
    <w:rsid w:val="6FC41F27"/>
    <w:rsid w:val="6FC54822"/>
    <w:rsid w:val="6FF269D3"/>
    <w:rsid w:val="700554C7"/>
    <w:rsid w:val="701C0B7D"/>
    <w:rsid w:val="70281198"/>
    <w:rsid w:val="70575B74"/>
    <w:rsid w:val="706C0880"/>
    <w:rsid w:val="708C30E4"/>
    <w:rsid w:val="70951216"/>
    <w:rsid w:val="709812A4"/>
    <w:rsid w:val="70B437C7"/>
    <w:rsid w:val="70BC19AB"/>
    <w:rsid w:val="70BF3441"/>
    <w:rsid w:val="70C22EAB"/>
    <w:rsid w:val="70D340EB"/>
    <w:rsid w:val="712F289B"/>
    <w:rsid w:val="71307790"/>
    <w:rsid w:val="716F5157"/>
    <w:rsid w:val="718E2F87"/>
    <w:rsid w:val="71946E83"/>
    <w:rsid w:val="71B21C77"/>
    <w:rsid w:val="71BF3E22"/>
    <w:rsid w:val="71C4033C"/>
    <w:rsid w:val="71C801FE"/>
    <w:rsid w:val="71CB3CCA"/>
    <w:rsid w:val="71DE2805"/>
    <w:rsid w:val="71F1119B"/>
    <w:rsid w:val="72482ECC"/>
    <w:rsid w:val="7263218B"/>
    <w:rsid w:val="726F7C81"/>
    <w:rsid w:val="7298446F"/>
    <w:rsid w:val="72B8241C"/>
    <w:rsid w:val="72D57472"/>
    <w:rsid w:val="72EF7B9B"/>
    <w:rsid w:val="72F522E4"/>
    <w:rsid w:val="73776286"/>
    <w:rsid w:val="739048A5"/>
    <w:rsid w:val="73D6189B"/>
    <w:rsid w:val="73E34FB6"/>
    <w:rsid w:val="73ED340A"/>
    <w:rsid w:val="745330CC"/>
    <w:rsid w:val="748527D2"/>
    <w:rsid w:val="74A0563A"/>
    <w:rsid w:val="74A40F3B"/>
    <w:rsid w:val="74B66E2F"/>
    <w:rsid w:val="74D07EF1"/>
    <w:rsid w:val="74DC38FB"/>
    <w:rsid w:val="754F2CA7"/>
    <w:rsid w:val="75527EEC"/>
    <w:rsid w:val="755502BA"/>
    <w:rsid w:val="75927074"/>
    <w:rsid w:val="75A3300B"/>
    <w:rsid w:val="75BE41ED"/>
    <w:rsid w:val="75E21136"/>
    <w:rsid w:val="76202734"/>
    <w:rsid w:val="76262F21"/>
    <w:rsid w:val="76730D6F"/>
    <w:rsid w:val="76A81DAF"/>
    <w:rsid w:val="76B50E2E"/>
    <w:rsid w:val="76E50783"/>
    <w:rsid w:val="76FB321F"/>
    <w:rsid w:val="770A76EF"/>
    <w:rsid w:val="773EDF55"/>
    <w:rsid w:val="773F6C53"/>
    <w:rsid w:val="77680519"/>
    <w:rsid w:val="777D56B0"/>
    <w:rsid w:val="77857AD3"/>
    <w:rsid w:val="7788023D"/>
    <w:rsid w:val="77984C34"/>
    <w:rsid w:val="77B34420"/>
    <w:rsid w:val="77D42016"/>
    <w:rsid w:val="77D45F4A"/>
    <w:rsid w:val="77E40299"/>
    <w:rsid w:val="780771D3"/>
    <w:rsid w:val="780860C3"/>
    <w:rsid w:val="781607D3"/>
    <w:rsid w:val="783C6272"/>
    <w:rsid w:val="784334CD"/>
    <w:rsid w:val="787B5B51"/>
    <w:rsid w:val="78861966"/>
    <w:rsid w:val="78CD7DB8"/>
    <w:rsid w:val="792E5B96"/>
    <w:rsid w:val="793748BE"/>
    <w:rsid w:val="794C73BE"/>
    <w:rsid w:val="796606CC"/>
    <w:rsid w:val="796F6CE8"/>
    <w:rsid w:val="79891112"/>
    <w:rsid w:val="79951709"/>
    <w:rsid w:val="79DA2290"/>
    <w:rsid w:val="79E177C8"/>
    <w:rsid w:val="79FF1F73"/>
    <w:rsid w:val="7A3C7DD6"/>
    <w:rsid w:val="7A3D68A0"/>
    <w:rsid w:val="7A512DFD"/>
    <w:rsid w:val="7A63376D"/>
    <w:rsid w:val="7A835D6F"/>
    <w:rsid w:val="7A8C1E9B"/>
    <w:rsid w:val="7ADA324A"/>
    <w:rsid w:val="7AED06C1"/>
    <w:rsid w:val="7AF358B3"/>
    <w:rsid w:val="7B7D4B0E"/>
    <w:rsid w:val="7BC148A9"/>
    <w:rsid w:val="7BCB1412"/>
    <w:rsid w:val="7BF479F3"/>
    <w:rsid w:val="7C0D37D8"/>
    <w:rsid w:val="7C1156AC"/>
    <w:rsid w:val="7C1F350B"/>
    <w:rsid w:val="7C6E6F4A"/>
    <w:rsid w:val="7D2528FB"/>
    <w:rsid w:val="7D301EE8"/>
    <w:rsid w:val="7D4E33FD"/>
    <w:rsid w:val="7D5B00B0"/>
    <w:rsid w:val="7DADE6E3"/>
    <w:rsid w:val="7DB17695"/>
    <w:rsid w:val="7DB40F9E"/>
    <w:rsid w:val="7DBC52CC"/>
    <w:rsid w:val="7DC2FED9"/>
    <w:rsid w:val="7DDF11A4"/>
    <w:rsid w:val="7E3152C1"/>
    <w:rsid w:val="7E3F765B"/>
    <w:rsid w:val="7E3F7995"/>
    <w:rsid w:val="7E5A5C46"/>
    <w:rsid w:val="7E6318C3"/>
    <w:rsid w:val="7E7C69F3"/>
    <w:rsid w:val="7E845069"/>
    <w:rsid w:val="7E895F3C"/>
    <w:rsid w:val="7E8E1E22"/>
    <w:rsid w:val="7E9645F3"/>
    <w:rsid w:val="7EAB552B"/>
    <w:rsid w:val="7EEE1D51"/>
    <w:rsid w:val="7F130AD8"/>
    <w:rsid w:val="7F1E1C3B"/>
    <w:rsid w:val="7F514E35"/>
    <w:rsid w:val="7F657B78"/>
    <w:rsid w:val="7F8414F9"/>
    <w:rsid w:val="7F863192"/>
    <w:rsid w:val="7F9134E2"/>
    <w:rsid w:val="7FB07C38"/>
    <w:rsid w:val="7FD72E92"/>
    <w:rsid w:val="7FEB6F1E"/>
    <w:rsid w:val="99FEE58D"/>
    <w:rsid w:val="9FDFDEBE"/>
    <w:rsid w:val="B45A1CAD"/>
    <w:rsid w:val="BDFCB2A9"/>
    <w:rsid w:val="BEBA5D2B"/>
    <w:rsid w:val="BF3712CA"/>
    <w:rsid w:val="BF3F7276"/>
    <w:rsid w:val="BFDD8787"/>
    <w:rsid w:val="CFCA35F2"/>
    <w:rsid w:val="DEBB165A"/>
    <w:rsid w:val="E5BB601E"/>
    <w:rsid w:val="E77FDEC2"/>
    <w:rsid w:val="E7AE1A0A"/>
    <w:rsid w:val="F42FEB0C"/>
    <w:rsid w:val="F9BBF56D"/>
    <w:rsid w:val="FE6D3C49"/>
    <w:rsid w:val="FE7FE423"/>
    <w:rsid w:val="FEBD117F"/>
    <w:rsid w:val="FFDB6990"/>
    <w:rsid w:val="FFEFF014"/>
    <w:rsid w:val="FFF9CD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iPriority="99" w:semiHidden="0" w:name="index heading"/>
    <w:lsdException w:qFormat="1" w:unhideWhenUsed="0" w:uiPriority="0" w:semiHidden="0" w:name="caption"/>
    <w:lsdException w:qFormat="1" w:unhideWhenUsed="0" w:uiPriority="0" w:semiHidden="0"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iPriority="0" w:semiHidden="0" w:name="page number"/>
    <w:lsdException w:uiPriority="99" w:name="endnote reference"/>
    <w:lsdException w:uiPriority="99" w:name="endnote text"/>
    <w:lsdException w:qFormat="1" w:uiPriority="99" w:semiHidden="0" w:name="table of authorities"/>
    <w:lsdException w:uiPriority="99" w:name="macro"/>
    <w:lsdException w:qFormat="1" w:uiPriority="99" w:semiHidden="0"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0" w:semiHidden="0"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iPriority="99"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69"/>
    <w:qFormat/>
    <w:uiPriority w:val="99"/>
    <w:pPr>
      <w:keepNext/>
      <w:keepLines/>
      <w:spacing w:before="340" w:after="330" w:line="576" w:lineRule="auto"/>
      <w:outlineLvl w:val="0"/>
    </w:pPr>
    <w:rPr>
      <w:b/>
      <w:bCs/>
      <w:kern w:val="44"/>
      <w:sz w:val="44"/>
      <w:szCs w:val="44"/>
    </w:rPr>
  </w:style>
  <w:style w:type="paragraph" w:styleId="6">
    <w:name w:val="heading 2"/>
    <w:basedOn w:val="1"/>
    <w:next w:val="1"/>
    <w:link w:val="70"/>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7">
    <w:name w:val="heading 3"/>
    <w:basedOn w:val="1"/>
    <w:next w:val="1"/>
    <w:link w:val="71"/>
    <w:qFormat/>
    <w:uiPriority w:val="0"/>
    <w:pPr>
      <w:keepNext/>
      <w:keepLines/>
      <w:spacing w:before="260" w:after="260" w:line="416" w:lineRule="auto"/>
      <w:outlineLvl w:val="2"/>
    </w:pPr>
    <w:rPr>
      <w:b/>
      <w:bCs/>
      <w:sz w:val="32"/>
      <w:szCs w:val="32"/>
    </w:rPr>
  </w:style>
  <w:style w:type="paragraph" w:styleId="8">
    <w:name w:val="heading 4"/>
    <w:basedOn w:val="1"/>
    <w:next w:val="1"/>
    <w:link w:val="72"/>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9">
    <w:name w:val="heading 5"/>
    <w:basedOn w:val="1"/>
    <w:next w:val="1"/>
    <w:link w:val="73"/>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paragraph" w:styleId="10">
    <w:name w:val="heading 6"/>
    <w:basedOn w:val="1"/>
    <w:next w:val="1"/>
    <w:link w:val="74"/>
    <w:qFormat/>
    <w:uiPriority w:val="0"/>
    <w:pPr>
      <w:keepNext/>
      <w:keepLines/>
      <w:widowControl/>
      <w:tabs>
        <w:tab w:val="left" w:pos="1152"/>
        <w:tab w:val="left" w:pos="2520"/>
      </w:tabs>
      <w:spacing w:before="240" w:after="64" w:line="319" w:lineRule="auto"/>
      <w:ind w:left="2520" w:hanging="420"/>
      <w:jc w:val="left"/>
      <w:outlineLvl w:val="5"/>
    </w:pPr>
    <w:rPr>
      <w:rFonts w:ascii="Arial" w:hAnsi="Arial" w:eastAsia="黑体"/>
      <w:b/>
      <w:sz w:val="24"/>
      <w:szCs w:val="24"/>
    </w:rPr>
  </w:style>
  <w:style w:type="paragraph" w:styleId="11">
    <w:name w:val="heading 7"/>
    <w:basedOn w:val="1"/>
    <w:next w:val="1"/>
    <w:link w:val="75"/>
    <w:qFormat/>
    <w:uiPriority w:val="0"/>
    <w:pPr>
      <w:keepNext/>
      <w:keepLines/>
      <w:widowControl/>
      <w:tabs>
        <w:tab w:val="left" w:pos="1296"/>
        <w:tab w:val="left" w:pos="2940"/>
      </w:tabs>
      <w:spacing w:before="240" w:after="64" w:line="319" w:lineRule="auto"/>
      <w:ind w:left="2940" w:hanging="420"/>
      <w:jc w:val="left"/>
      <w:outlineLvl w:val="6"/>
    </w:pPr>
    <w:rPr>
      <w:b/>
      <w:sz w:val="24"/>
      <w:szCs w:val="24"/>
    </w:rPr>
  </w:style>
  <w:style w:type="paragraph" w:styleId="12">
    <w:name w:val="heading 8"/>
    <w:basedOn w:val="1"/>
    <w:next w:val="1"/>
    <w:link w:val="76"/>
    <w:qFormat/>
    <w:uiPriority w:val="0"/>
    <w:pPr>
      <w:keepNext/>
      <w:keepLines/>
      <w:widowControl/>
      <w:tabs>
        <w:tab w:val="left" w:pos="1440"/>
        <w:tab w:val="left" w:pos="3360"/>
      </w:tabs>
      <w:spacing w:before="240" w:after="64" w:line="319" w:lineRule="auto"/>
      <w:ind w:left="3360" w:hanging="420"/>
      <w:jc w:val="left"/>
      <w:outlineLvl w:val="7"/>
    </w:pPr>
    <w:rPr>
      <w:rFonts w:ascii="Arial" w:hAnsi="Arial" w:eastAsia="黑体"/>
      <w:sz w:val="24"/>
      <w:szCs w:val="24"/>
    </w:rPr>
  </w:style>
  <w:style w:type="paragraph" w:styleId="13">
    <w:name w:val="heading 9"/>
    <w:basedOn w:val="1"/>
    <w:next w:val="1"/>
    <w:link w:val="77"/>
    <w:qFormat/>
    <w:uiPriority w:val="0"/>
    <w:pPr>
      <w:keepNext/>
      <w:keepLines/>
      <w:widowControl/>
      <w:tabs>
        <w:tab w:val="left" w:pos="1584"/>
        <w:tab w:val="left" w:pos="3780"/>
      </w:tabs>
      <w:spacing w:before="240" w:after="64" w:line="319" w:lineRule="auto"/>
      <w:ind w:left="3780" w:hanging="420"/>
      <w:jc w:val="left"/>
      <w:outlineLvl w:val="8"/>
    </w:pPr>
    <w:rPr>
      <w:rFonts w:ascii="Arial" w:hAnsi="Arial" w:eastAsia="黑体"/>
      <w:szCs w:val="24"/>
    </w:rPr>
  </w:style>
  <w:style w:type="character" w:default="1" w:styleId="56">
    <w:name w:val="Default Paragraph Font"/>
    <w:unhideWhenUsed/>
    <w:qFormat/>
    <w:uiPriority w:val="0"/>
    <w:rPr>
      <w:kern w:val="2"/>
      <w:sz w:val="24"/>
      <w:szCs w:val="24"/>
    </w:rPr>
  </w:style>
  <w:style w:type="table" w:default="1" w:styleId="54">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68"/>
    <w:qFormat/>
    <w:uiPriority w:val="0"/>
    <w:pPr>
      <w:spacing w:line="360" w:lineRule="auto"/>
      <w:ind w:firstLine="420" w:firstLineChars="200"/>
    </w:pPr>
    <w:rPr>
      <w:kern w:val="0"/>
      <w:sz w:val="24"/>
      <w:szCs w:val="20"/>
    </w:rPr>
  </w:style>
  <w:style w:type="paragraph" w:styleId="3">
    <w:name w:val="Body Text Indent"/>
    <w:basedOn w:val="1"/>
    <w:next w:val="4"/>
    <w:link w:val="67"/>
    <w:qFormat/>
    <w:uiPriority w:val="99"/>
    <w:pPr>
      <w:spacing w:after="120"/>
      <w:ind w:left="420" w:leftChars="200"/>
    </w:pPr>
    <w:rPr>
      <w:szCs w:val="24"/>
    </w:rPr>
  </w:style>
  <w:style w:type="paragraph" w:styleId="4">
    <w:name w:val="envelope return"/>
    <w:basedOn w:val="1"/>
    <w:qFormat/>
    <w:uiPriority w:val="0"/>
    <w:pPr>
      <w:snapToGrid w:val="0"/>
    </w:pPr>
    <w:rPr>
      <w:rFonts w:ascii="Arial" w:hAnsi="Arial"/>
      <w:szCs w:val="24"/>
    </w:rPr>
  </w:style>
  <w:style w:type="paragraph" w:styleId="14">
    <w:name w:val="List 3"/>
    <w:basedOn w:val="1"/>
    <w:qFormat/>
    <w:uiPriority w:val="0"/>
    <w:pPr>
      <w:spacing w:line="360" w:lineRule="auto"/>
      <w:ind w:left="100" w:leftChars="400" w:hanging="200" w:hangingChars="200"/>
    </w:pPr>
    <w:rPr>
      <w:rFonts w:ascii="Calibri" w:hAnsi="Calibri"/>
      <w:sz w:val="24"/>
      <w:szCs w:val="22"/>
    </w:rPr>
  </w:style>
  <w:style w:type="paragraph" w:styleId="15">
    <w:name w:val="toc 7"/>
    <w:basedOn w:val="1"/>
    <w:next w:val="1"/>
    <w:unhideWhenUsed/>
    <w:qFormat/>
    <w:uiPriority w:val="39"/>
    <w:pPr>
      <w:ind w:left="2520" w:leftChars="1200"/>
    </w:pPr>
    <w:rPr>
      <w:rFonts w:ascii="Calibri" w:hAnsi="Calibri" w:eastAsia="宋体" w:cs="Times New Roman"/>
      <w:szCs w:val="22"/>
    </w:rPr>
  </w:style>
  <w:style w:type="paragraph" w:styleId="16">
    <w:name w:val="table of authorities"/>
    <w:basedOn w:val="1"/>
    <w:next w:val="1"/>
    <w:unhideWhenUsed/>
    <w:qFormat/>
    <w:uiPriority w:val="99"/>
    <w:pPr>
      <w:ind w:left="420" w:leftChars="200"/>
    </w:pPr>
  </w:style>
  <w:style w:type="paragraph" w:styleId="17">
    <w:name w:val="index 8"/>
    <w:basedOn w:val="1"/>
    <w:next w:val="1"/>
    <w:qFormat/>
    <w:uiPriority w:val="0"/>
    <w:pPr>
      <w:ind w:left="2940"/>
    </w:pPr>
    <w:rPr>
      <w:rFonts w:ascii="Times New Roman" w:hAnsi="Times New Roman" w:eastAsia="宋体" w:cs="Times New Roman"/>
    </w:rPr>
  </w:style>
  <w:style w:type="paragraph" w:styleId="18">
    <w:name w:val="Normal Indent"/>
    <w:basedOn w:val="1"/>
    <w:link w:val="78"/>
    <w:qFormat/>
    <w:uiPriority w:val="0"/>
    <w:pPr>
      <w:ind w:firstLine="420" w:firstLineChars="200"/>
    </w:pPr>
  </w:style>
  <w:style w:type="paragraph" w:styleId="19">
    <w:name w:val="caption"/>
    <w:basedOn w:val="1"/>
    <w:next w:val="1"/>
    <w:qFormat/>
    <w:uiPriority w:val="0"/>
    <w:pPr>
      <w:spacing w:line="360" w:lineRule="auto"/>
      <w:ind w:firstLine="200" w:firstLineChars="200"/>
    </w:pPr>
    <w:rPr>
      <w:rFonts w:ascii="Arial" w:hAnsi="Arial" w:eastAsia="黑体" w:cs="Arial"/>
      <w:sz w:val="20"/>
    </w:rPr>
  </w:style>
  <w:style w:type="paragraph" w:styleId="20">
    <w:name w:val="Document Map"/>
    <w:basedOn w:val="1"/>
    <w:link w:val="79"/>
    <w:qFormat/>
    <w:uiPriority w:val="99"/>
    <w:pPr>
      <w:shd w:val="clear" w:color="auto" w:fill="000080"/>
    </w:pPr>
    <w:rPr>
      <w:szCs w:val="21"/>
    </w:rPr>
  </w:style>
  <w:style w:type="paragraph" w:styleId="21">
    <w:name w:val="toa heading"/>
    <w:basedOn w:val="1"/>
    <w:next w:val="1"/>
    <w:unhideWhenUsed/>
    <w:qFormat/>
    <w:uiPriority w:val="99"/>
    <w:pPr>
      <w:spacing w:before="120"/>
    </w:pPr>
    <w:rPr>
      <w:rFonts w:ascii="Cambria" w:hAnsi="Cambria" w:cs="Times New Roman"/>
      <w:sz w:val="24"/>
      <w:szCs w:val="24"/>
    </w:rPr>
  </w:style>
  <w:style w:type="paragraph" w:styleId="22">
    <w:name w:val="annotation text"/>
    <w:basedOn w:val="1"/>
    <w:link w:val="80"/>
    <w:unhideWhenUsed/>
    <w:qFormat/>
    <w:uiPriority w:val="99"/>
    <w:pPr>
      <w:jc w:val="left"/>
    </w:pPr>
    <w:rPr>
      <w:szCs w:val="24"/>
    </w:rPr>
  </w:style>
  <w:style w:type="paragraph" w:styleId="23">
    <w:name w:val="Body Text 3"/>
    <w:basedOn w:val="1"/>
    <w:link w:val="81"/>
    <w:qFormat/>
    <w:uiPriority w:val="99"/>
    <w:pPr>
      <w:spacing w:after="120"/>
    </w:pPr>
    <w:rPr>
      <w:sz w:val="16"/>
      <w:szCs w:val="16"/>
    </w:rPr>
  </w:style>
  <w:style w:type="paragraph" w:styleId="24">
    <w:name w:val="Body Text"/>
    <w:basedOn w:val="1"/>
    <w:next w:val="1"/>
    <w:link w:val="65"/>
    <w:qFormat/>
    <w:uiPriority w:val="99"/>
    <w:pPr>
      <w:spacing w:after="120"/>
    </w:pPr>
    <w:rPr>
      <w:szCs w:val="24"/>
    </w:rPr>
  </w:style>
  <w:style w:type="paragraph" w:styleId="25">
    <w:name w:val="List 2"/>
    <w:basedOn w:val="1"/>
    <w:qFormat/>
    <w:uiPriority w:val="0"/>
    <w:pPr>
      <w:ind w:left="100" w:leftChars="200" w:hanging="200" w:hangingChars="200"/>
    </w:pPr>
  </w:style>
  <w:style w:type="paragraph" w:styleId="26">
    <w:name w:val="toc 5"/>
    <w:basedOn w:val="1"/>
    <w:next w:val="1"/>
    <w:unhideWhenUsed/>
    <w:qFormat/>
    <w:uiPriority w:val="39"/>
    <w:pPr>
      <w:ind w:left="1680" w:leftChars="800"/>
    </w:pPr>
    <w:rPr>
      <w:rFonts w:ascii="Calibri" w:hAnsi="Calibri" w:eastAsia="宋体" w:cs="Times New Roman"/>
      <w:szCs w:val="22"/>
    </w:rPr>
  </w:style>
  <w:style w:type="paragraph" w:styleId="27">
    <w:name w:val="toc 3"/>
    <w:basedOn w:val="1"/>
    <w:next w:val="1"/>
    <w:unhideWhenUsed/>
    <w:qFormat/>
    <w:uiPriority w:val="39"/>
    <w:pPr>
      <w:ind w:left="420"/>
      <w:jc w:val="left"/>
    </w:pPr>
    <w:rPr>
      <w:sz w:val="24"/>
    </w:rPr>
  </w:style>
  <w:style w:type="paragraph" w:styleId="28">
    <w:name w:val="Plain Text"/>
    <w:basedOn w:val="1"/>
    <w:next w:val="17"/>
    <w:link w:val="82"/>
    <w:qFormat/>
    <w:uiPriority w:val="0"/>
    <w:rPr>
      <w:rFonts w:ascii="宋体" w:hAnsi="Courier New"/>
      <w:szCs w:val="24"/>
    </w:rPr>
  </w:style>
  <w:style w:type="paragraph" w:styleId="29">
    <w:name w:val="toc 8"/>
    <w:basedOn w:val="1"/>
    <w:next w:val="1"/>
    <w:unhideWhenUsed/>
    <w:qFormat/>
    <w:uiPriority w:val="39"/>
    <w:pPr>
      <w:ind w:left="2940" w:leftChars="1400"/>
    </w:pPr>
    <w:rPr>
      <w:rFonts w:ascii="Calibri" w:hAnsi="Calibri" w:eastAsia="宋体" w:cs="Times New Roman"/>
      <w:szCs w:val="22"/>
    </w:rPr>
  </w:style>
  <w:style w:type="paragraph" w:styleId="30">
    <w:name w:val="Date"/>
    <w:basedOn w:val="1"/>
    <w:next w:val="1"/>
    <w:link w:val="83"/>
    <w:qFormat/>
    <w:uiPriority w:val="99"/>
    <w:rPr>
      <w:rFonts w:ascii="宋体"/>
      <w:sz w:val="24"/>
      <w:szCs w:val="24"/>
    </w:rPr>
  </w:style>
  <w:style w:type="paragraph" w:styleId="31">
    <w:name w:val="Body Text Indent 2"/>
    <w:basedOn w:val="1"/>
    <w:link w:val="84"/>
    <w:unhideWhenUsed/>
    <w:qFormat/>
    <w:uiPriority w:val="99"/>
    <w:pPr>
      <w:spacing w:after="120" w:line="480" w:lineRule="auto"/>
      <w:ind w:left="420" w:leftChars="200"/>
    </w:pPr>
    <w:rPr>
      <w:szCs w:val="24"/>
    </w:rPr>
  </w:style>
  <w:style w:type="paragraph" w:styleId="32">
    <w:name w:val="Balloon Text"/>
    <w:basedOn w:val="1"/>
    <w:link w:val="85"/>
    <w:qFormat/>
    <w:uiPriority w:val="99"/>
    <w:rPr>
      <w:sz w:val="18"/>
      <w:szCs w:val="18"/>
    </w:rPr>
  </w:style>
  <w:style w:type="paragraph" w:styleId="33">
    <w:name w:val="footer"/>
    <w:basedOn w:val="1"/>
    <w:link w:val="86"/>
    <w:unhideWhenUsed/>
    <w:qFormat/>
    <w:uiPriority w:val="99"/>
    <w:pPr>
      <w:tabs>
        <w:tab w:val="center" w:pos="4153"/>
        <w:tab w:val="right" w:pos="8306"/>
      </w:tabs>
      <w:snapToGrid w:val="0"/>
      <w:jc w:val="left"/>
    </w:pPr>
    <w:rPr>
      <w:sz w:val="18"/>
      <w:szCs w:val="24"/>
    </w:rPr>
  </w:style>
  <w:style w:type="paragraph" w:styleId="34">
    <w:name w:val="header"/>
    <w:basedOn w:val="1"/>
    <w:link w:val="87"/>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5">
    <w:name w:val="toc 1"/>
    <w:basedOn w:val="1"/>
    <w:next w:val="1"/>
    <w:qFormat/>
    <w:uiPriority w:val="39"/>
    <w:pPr>
      <w:tabs>
        <w:tab w:val="right" w:leader="dot" w:pos="8302"/>
      </w:tabs>
      <w:spacing w:line="360" w:lineRule="auto"/>
    </w:pPr>
    <w:rPr>
      <w:rFonts w:ascii="黑体" w:hAnsi="宋体" w:eastAsia="黑体"/>
      <w:sz w:val="24"/>
      <w:szCs w:val="24"/>
    </w:rPr>
  </w:style>
  <w:style w:type="paragraph" w:styleId="36">
    <w:name w:val="toc 4"/>
    <w:basedOn w:val="1"/>
    <w:next w:val="1"/>
    <w:unhideWhenUsed/>
    <w:qFormat/>
    <w:uiPriority w:val="39"/>
    <w:pPr>
      <w:ind w:left="1260" w:leftChars="600"/>
    </w:pPr>
    <w:rPr>
      <w:rFonts w:ascii="Calibri" w:hAnsi="Calibri" w:eastAsia="宋体" w:cs="Times New Roman"/>
      <w:szCs w:val="22"/>
    </w:rPr>
  </w:style>
  <w:style w:type="paragraph" w:styleId="37">
    <w:name w:val="index heading"/>
    <w:basedOn w:val="1"/>
    <w:next w:val="38"/>
    <w:unhideWhenUsed/>
    <w:qFormat/>
    <w:uiPriority w:val="99"/>
  </w:style>
  <w:style w:type="paragraph" w:styleId="38">
    <w:name w:val="index 1"/>
    <w:basedOn w:val="1"/>
    <w:next w:val="1"/>
    <w:unhideWhenUsed/>
    <w:qFormat/>
    <w:uiPriority w:val="99"/>
    <w:pPr>
      <w:spacing w:line="200" w:lineRule="atLeast"/>
      <w:jc w:val="center"/>
    </w:pPr>
    <w:rPr>
      <w:rFonts w:ascii="宋体" w:hAnsi="宋体"/>
    </w:rPr>
  </w:style>
  <w:style w:type="paragraph" w:styleId="39">
    <w:name w:val="Subtitle"/>
    <w:basedOn w:val="1"/>
    <w:next w:val="1"/>
    <w:link w:val="88"/>
    <w:qFormat/>
    <w:uiPriority w:val="11"/>
    <w:pPr>
      <w:spacing w:before="240" w:after="60" w:line="312" w:lineRule="auto"/>
      <w:jc w:val="center"/>
      <w:outlineLvl w:val="1"/>
    </w:pPr>
    <w:rPr>
      <w:rFonts w:ascii="Cambria" w:hAnsi="Cambria"/>
      <w:b/>
      <w:bCs/>
      <w:kern w:val="28"/>
      <w:sz w:val="32"/>
      <w:szCs w:val="32"/>
    </w:rPr>
  </w:style>
  <w:style w:type="paragraph" w:styleId="40">
    <w:name w:val="List"/>
    <w:basedOn w:val="1"/>
    <w:qFormat/>
    <w:uiPriority w:val="0"/>
    <w:pPr>
      <w:spacing w:line="360" w:lineRule="auto"/>
      <w:ind w:left="200" w:hanging="200" w:hangingChars="200"/>
    </w:pPr>
    <w:rPr>
      <w:rFonts w:ascii="Calibri" w:hAnsi="Calibri"/>
      <w:sz w:val="24"/>
      <w:szCs w:val="22"/>
    </w:rPr>
  </w:style>
  <w:style w:type="paragraph" w:styleId="41">
    <w:name w:val="toc 6"/>
    <w:basedOn w:val="1"/>
    <w:next w:val="1"/>
    <w:unhideWhenUsed/>
    <w:qFormat/>
    <w:uiPriority w:val="39"/>
    <w:pPr>
      <w:ind w:left="2100" w:leftChars="1000"/>
    </w:pPr>
    <w:rPr>
      <w:rFonts w:ascii="Calibri" w:hAnsi="Calibri" w:eastAsia="宋体" w:cs="Times New Roman"/>
      <w:szCs w:val="22"/>
    </w:rPr>
  </w:style>
  <w:style w:type="paragraph" w:styleId="42">
    <w:name w:val="List 5"/>
    <w:basedOn w:val="1"/>
    <w:qFormat/>
    <w:uiPriority w:val="0"/>
    <w:pPr>
      <w:spacing w:line="360" w:lineRule="auto"/>
      <w:ind w:left="100" w:leftChars="800" w:hanging="200" w:hangingChars="200"/>
    </w:pPr>
    <w:rPr>
      <w:rFonts w:ascii="Calibri" w:hAnsi="Calibri"/>
      <w:sz w:val="24"/>
      <w:szCs w:val="22"/>
    </w:rPr>
  </w:style>
  <w:style w:type="paragraph" w:styleId="43">
    <w:name w:val="Body Text Indent 3"/>
    <w:basedOn w:val="1"/>
    <w:link w:val="89"/>
    <w:unhideWhenUsed/>
    <w:qFormat/>
    <w:uiPriority w:val="0"/>
    <w:pPr>
      <w:spacing w:line="360" w:lineRule="auto"/>
      <w:ind w:firstLine="420"/>
    </w:pPr>
    <w:rPr>
      <w:rFonts w:ascii="宋体"/>
      <w:szCs w:val="24"/>
    </w:rPr>
  </w:style>
  <w:style w:type="paragraph" w:styleId="44">
    <w:name w:val="table of figures"/>
    <w:basedOn w:val="1"/>
    <w:next w:val="1"/>
    <w:qFormat/>
    <w:uiPriority w:val="0"/>
    <w:pPr>
      <w:ind w:left="200" w:leftChars="200" w:hanging="200" w:hangingChars="200"/>
    </w:pPr>
    <w:rPr>
      <w:rFonts w:ascii="Calibri" w:hAnsi="Calibri"/>
    </w:rPr>
  </w:style>
  <w:style w:type="paragraph" w:styleId="45">
    <w:name w:val="toc 2"/>
    <w:basedOn w:val="1"/>
    <w:next w:val="1"/>
    <w:qFormat/>
    <w:uiPriority w:val="39"/>
    <w:pPr>
      <w:tabs>
        <w:tab w:val="left" w:pos="540"/>
        <w:tab w:val="right" w:leader="middleDot" w:pos="8460"/>
      </w:tabs>
      <w:spacing w:line="360" w:lineRule="auto"/>
      <w:ind w:right="244" w:rightChars="116"/>
    </w:pPr>
    <w:rPr>
      <w:rFonts w:ascii="宋体"/>
      <w:sz w:val="36"/>
    </w:rPr>
  </w:style>
  <w:style w:type="paragraph" w:styleId="46">
    <w:name w:val="toc 9"/>
    <w:basedOn w:val="1"/>
    <w:next w:val="1"/>
    <w:unhideWhenUsed/>
    <w:qFormat/>
    <w:uiPriority w:val="39"/>
    <w:pPr>
      <w:ind w:left="3360" w:leftChars="1600"/>
    </w:pPr>
    <w:rPr>
      <w:rFonts w:ascii="Calibri" w:hAnsi="Calibri" w:eastAsia="宋体" w:cs="Times New Roman"/>
      <w:szCs w:val="22"/>
    </w:rPr>
  </w:style>
  <w:style w:type="paragraph" w:styleId="47">
    <w:name w:val="Body Text 2"/>
    <w:basedOn w:val="1"/>
    <w:link w:val="90"/>
    <w:unhideWhenUsed/>
    <w:qFormat/>
    <w:uiPriority w:val="99"/>
    <w:pPr>
      <w:spacing w:after="120" w:afterLines="0" w:line="480" w:lineRule="auto"/>
    </w:pPr>
    <w:rPr>
      <w:szCs w:val="24"/>
    </w:rPr>
  </w:style>
  <w:style w:type="paragraph" w:styleId="48">
    <w:name w:val="List 4"/>
    <w:basedOn w:val="1"/>
    <w:qFormat/>
    <w:uiPriority w:val="0"/>
    <w:pPr>
      <w:spacing w:line="360" w:lineRule="auto"/>
      <w:ind w:left="100" w:leftChars="600" w:hanging="200" w:hangingChars="200"/>
    </w:pPr>
    <w:rPr>
      <w:rFonts w:ascii="Calibri" w:hAnsi="Calibri"/>
      <w:sz w:val="24"/>
      <w:szCs w:val="22"/>
    </w:rPr>
  </w:style>
  <w:style w:type="paragraph" w:styleId="49">
    <w:name w:val="HTML Preformatted"/>
    <w:basedOn w:val="1"/>
    <w:link w:val="9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sz w:val="24"/>
      <w:szCs w:val="24"/>
    </w:rPr>
  </w:style>
  <w:style w:type="paragraph" w:styleId="50">
    <w:name w:val="Normal (Web)"/>
    <w:basedOn w:val="1"/>
    <w:unhideWhenUsed/>
    <w:qFormat/>
    <w:uiPriority w:val="99"/>
    <w:rPr>
      <w:sz w:val="24"/>
      <w:szCs w:val="24"/>
    </w:rPr>
  </w:style>
  <w:style w:type="paragraph" w:styleId="51">
    <w:name w:val="Title"/>
    <w:basedOn w:val="1"/>
    <w:next w:val="1"/>
    <w:link w:val="92"/>
    <w:qFormat/>
    <w:uiPriority w:val="99"/>
    <w:pPr>
      <w:widowControl/>
      <w:spacing w:before="240" w:after="60"/>
      <w:jc w:val="center"/>
      <w:outlineLvl w:val="0"/>
    </w:pPr>
    <w:rPr>
      <w:rFonts w:ascii="Cambria" w:hAnsi="Cambria"/>
      <w:b/>
      <w:bCs/>
      <w:sz w:val="32"/>
      <w:szCs w:val="32"/>
    </w:rPr>
  </w:style>
  <w:style w:type="paragraph" w:styleId="52">
    <w:name w:val="annotation subject"/>
    <w:basedOn w:val="22"/>
    <w:next w:val="22"/>
    <w:link w:val="93"/>
    <w:qFormat/>
    <w:uiPriority w:val="99"/>
    <w:rPr>
      <w:b/>
      <w:bCs/>
    </w:rPr>
  </w:style>
  <w:style w:type="paragraph" w:styleId="53">
    <w:name w:val="Body Text First Indent"/>
    <w:basedOn w:val="24"/>
    <w:next w:val="2"/>
    <w:link w:val="66"/>
    <w:qFormat/>
    <w:uiPriority w:val="0"/>
    <w:pPr>
      <w:ind w:firstLine="420" w:firstLineChars="100"/>
    </w:pPr>
  </w:style>
  <w:style w:type="table" w:styleId="55">
    <w:name w:val="Table Grid"/>
    <w:basedOn w:val="54"/>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7">
    <w:name w:val="Strong"/>
    <w:qFormat/>
    <w:uiPriority w:val="0"/>
    <w:rPr>
      <w:rFonts w:eastAsia="仿宋"/>
      <w:b/>
      <w:bCs/>
      <w:sz w:val="30"/>
    </w:rPr>
  </w:style>
  <w:style w:type="character" w:styleId="58">
    <w:name w:val="page number"/>
    <w:unhideWhenUsed/>
    <w:qFormat/>
    <w:uiPriority w:val="0"/>
  </w:style>
  <w:style w:type="character" w:styleId="59">
    <w:name w:val="FollowedHyperlink"/>
    <w:unhideWhenUsed/>
    <w:qFormat/>
    <w:uiPriority w:val="99"/>
    <w:rPr>
      <w:rFonts w:ascii="Tahoma" w:hAnsi="Tahoma" w:eastAsia="Tahoma" w:cs="Tahoma"/>
      <w:color w:val="666666"/>
      <w:kern w:val="2"/>
      <w:sz w:val="18"/>
      <w:szCs w:val="18"/>
      <w:u w:val="none"/>
    </w:rPr>
  </w:style>
  <w:style w:type="character" w:styleId="60">
    <w:name w:val="Emphasis"/>
    <w:qFormat/>
    <w:uiPriority w:val="20"/>
    <w:rPr>
      <w:i/>
      <w:color w:val="1F2D3D"/>
      <w:kern w:val="2"/>
      <w:sz w:val="24"/>
      <w:szCs w:val="24"/>
      <w:bdr w:val="single" w:color="BFCBD9" w:sz="6" w:space="0"/>
      <w:shd w:val="clear" w:color="auto" w:fill="FFFFFF"/>
    </w:rPr>
  </w:style>
  <w:style w:type="character" w:styleId="61">
    <w:name w:val="Hyperlink"/>
    <w:unhideWhenUsed/>
    <w:qFormat/>
    <w:uiPriority w:val="99"/>
    <w:rPr>
      <w:rFonts w:hint="default" w:ascii="Tahoma" w:hAnsi="Tahoma" w:eastAsia="Tahoma" w:cs="Tahoma"/>
      <w:color w:val="666666"/>
      <w:kern w:val="2"/>
      <w:sz w:val="18"/>
      <w:szCs w:val="18"/>
      <w:u w:val="none"/>
    </w:rPr>
  </w:style>
  <w:style w:type="character" w:styleId="62">
    <w:name w:val="HTML Code"/>
    <w:unhideWhenUsed/>
    <w:qFormat/>
    <w:uiPriority w:val="99"/>
    <w:rPr>
      <w:rFonts w:ascii="Consolas" w:hAnsi="Consolas" w:eastAsia="Consolas" w:cs="Consolas"/>
      <w:color w:val="DD1144"/>
      <w:kern w:val="2"/>
      <w:sz w:val="18"/>
      <w:szCs w:val="18"/>
      <w:bdr w:val="single" w:color="E1E1E8" w:sz="6" w:space="0"/>
      <w:shd w:val="clear" w:color="auto" w:fill="F7F7F9"/>
    </w:rPr>
  </w:style>
  <w:style w:type="character" w:styleId="63">
    <w:name w:val="annotation reference"/>
    <w:qFormat/>
    <w:uiPriority w:val="0"/>
    <w:rPr>
      <w:kern w:val="2"/>
      <w:sz w:val="21"/>
      <w:szCs w:val="21"/>
    </w:rPr>
  </w:style>
  <w:style w:type="character" w:styleId="64">
    <w:name w:val="HTML Cite"/>
    <w:unhideWhenUsed/>
    <w:qFormat/>
    <w:uiPriority w:val="99"/>
    <w:rPr>
      <w:kern w:val="2"/>
      <w:sz w:val="24"/>
      <w:szCs w:val="24"/>
    </w:rPr>
  </w:style>
  <w:style w:type="character" w:customStyle="1" w:styleId="65">
    <w:name w:val="正文文本 字符"/>
    <w:link w:val="24"/>
    <w:qFormat/>
    <w:uiPriority w:val="99"/>
    <w:rPr>
      <w:kern w:val="2"/>
      <w:sz w:val="21"/>
      <w:szCs w:val="24"/>
    </w:rPr>
  </w:style>
  <w:style w:type="character" w:customStyle="1" w:styleId="66">
    <w:name w:val="正文首行缩进 字符"/>
    <w:link w:val="53"/>
    <w:qFormat/>
    <w:uiPriority w:val="0"/>
  </w:style>
  <w:style w:type="character" w:customStyle="1" w:styleId="67">
    <w:name w:val="正文文本缩进 字符"/>
    <w:link w:val="3"/>
    <w:qFormat/>
    <w:uiPriority w:val="99"/>
    <w:rPr>
      <w:kern w:val="2"/>
      <w:sz w:val="21"/>
      <w:szCs w:val="24"/>
    </w:rPr>
  </w:style>
  <w:style w:type="character" w:customStyle="1" w:styleId="68">
    <w:name w:val="正文首行缩进 2 字符"/>
    <w:link w:val="2"/>
    <w:qFormat/>
    <w:uiPriority w:val="0"/>
    <w:rPr>
      <w:rFonts w:ascii="Calibri" w:hAnsi="Calibri"/>
      <w:sz w:val="24"/>
    </w:rPr>
  </w:style>
  <w:style w:type="character" w:customStyle="1" w:styleId="69">
    <w:name w:val="标题 1 字符"/>
    <w:link w:val="5"/>
    <w:qFormat/>
    <w:uiPriority w:val="99"/>
    <w:rPr>
      <w:b/>
      <w:bCs/>
      <w:kern w:val="44"/>
      <w:sz w:val="44"/>
      <w:szCs w:val="44"/>
    </w:rPr>
  </w:style>
  <w:style w:type="character" w:customStyle="1" w:styleId="70">
    <w:name w:val="标题 2 字符"/>
    <w:link w:val="6"/>
    <w:qFormat/>
    <w:uiPriority w:val="0"/>
    <w:rPr>
      <w:rFonts w:ascii="宋体" w:hAnsi="Arial"/>
      <w:b/>
      <w:kern w:val="2"/>
      <w:sz w:val="28"/>
      <w:szCs w:val="28"/>
    </w:rPr>
  </w:style>
  <w:style w:type="character" w:customStyle="1" w:styleId="71">
    <w:name w:val="标题 3 字符"/>
    <w:link w:val="7"/>
    <w:qFormat/>
    <w:uiPriority w:val="0"/>
    <w:rPr>
      <w:b/>
      <w:bCs/>
      <w:kern w:val="2"/>
      <w:sz w:val="32"/>
      <w:szCs w:val="32"/>
    </w:rPr>
  </w:style>
  <w:style w:type="character" w:customStyle="1" w:styleId="72">
    <w:name w:val="标题 4 字符"/>
    <w:link w:val="8"/>
    <w:qFormat/>
    <w:uiPriority w:val="0"/>
    <w:rPr>
      <w:rFonts w:ascii="Arial" w:hAnsi="Arial" w:eastAsia="黑体"/>
      <w:b/>
      <w:kern w:val="2"/>
      <w:sz w:val="28"/>
      <w:szCs w:val="24"/>
    </w:rPr>
  </w:style>
  <w:style w:type="character" w:customStyle="1" w:styleId="73">
    <w:name w:val="标题 5 字符"/>
    <w:link w:val="9"/>
    <w:qFormat/>
    <w:uiPriority w:val="0"/>
    <w:rPr>
      <w:b/>
      <w:kern w:val="2"/>
      <w:sz w:val="28"/>
      <w:szCs w:val="24"/>
    </w:rPr>
  </w:style>
  <w:style w:type="character" w:customStyle="1" w:styleId="74">
    <w:name w:val="标题 6 字符"/>
    <w:link w:val="10"/>
    <w:qFormat/>
    <w:uiPriority w:val="0"/>
    <w:rPr>
      <w:rFonts w:ascii="Arial" w:hAnsi="Arial" w:eastAsia="黑体"/>
      <w:b/>
      <w:kern w:val="2"/>
      <w:sz w:val="24"/>
      <w:szCs w:val="24"/>
    </w:rPr>
  </w:style>
  <w:style w:type="character" w:customStyle="1" w:styleId="75">
    <w:name w:val="标题 7 字符"/>
    <w:link w:val="11"/>
    <w:qFormat/>
    <w:uiPriority w:val="0"/>
    <w:rPr>
      <w:b/>
      <w:kern w:val="2"/>
      <w:sz w:val="24"/>
      <w:szCs w:val="24"/>
    </w:rPr>
  </w:style>
  <w:style w:type="character" w:customStyle="1" w:styleId="76">
    <w:name w:val="标题 8 字符"/>
    <w:link w:val="12"/>
    <w:qFormat/>
    <w:uiPriority w:val="0"/>
    <w:rPr>
      <w:rFonts w:ascii="Arial" w:hAnsi="Arial" w:eastAsia="黑体"/>
      <w:kern w:val="2"/>
      <w:sz w:val="24"/>
      <w:szCs w:val="24"/>
    </w:rPr>
  </w:style>
  <w:style w:type="character" w:customStyle="1" w:styleId="77">
    <w:name w:val="标题 9 字符"/>
    <w:link w:val="13"/>
    <w:qFormat/>
    <w:uiPriority w:val="0"/>
    <w:rPr>
      <w:rFonts w:ascii="Arial" w:hAnsi="Arial" w:eastAsia="黑体"/>
      <w:kern w:val="2"/>
      <w:sz w:val="21"/>
      <w:szCs w:val="24"/>
    </w:rPr>
  </w:style>
  <w:style w:type="character" w:customStyle="1" w:styleId="78">
    <w:name w:val="正文缩进 字符"/>
    <w:link w:val="18"/>
    <w:qFormat/>
    <w:uiPriority w:val="0"/>
    <w:rPr>
      <w:kern w:val="2"/>
      <w:sz w:val="21"/>
    </w:rPr>
  </w:style>
  <w:style w:type="character" w:customStyle="1" w:styleId="79">
    <w:name w:val="文档结构图 字符"/>
    <w:link w:val="20"/>
    <w:qFormat/>
    <w:uiPriority w:val="99"/>
    <w:rPr>
      <w:kern w:val="2"/>
      <w:sz w:val="21"/>
      <w:szCs w:val="21"/>
      <w:shd w:val="clear" w:color="auto" w:fill="000080"/>
    </w:rPr>
  </w:style>
  <w:style w:type="character" w:customStyle="1" w:styleId="80">
    <w:name w:val="批注文字 字符"/>
    <w:link w:val="22"/>
    <w:qFormat/>
    <w:uiPriority w:val="99"/>
    <w:rPr>
      <w:kern w:val="2"/>
      <w:sz w:val="21"/>
      <w:szCs w:val="24"/>
    </w:rPr>
  </w:style>
  <w:style w:type="character" w:customStyle="1" w:styleId="81">
    <w:name w:val="正文文本 3 字符"/>
    <w:link w:val="23"/>
    <w:qFormat/>
    <w:uiPriority w:val="99"/>
    <w:rPr>
      <w:kern w:val="2"/>
      <w:sz w:val="16"/>
      <w:szCs w:val="16"/>
    </w:rPr>
  </w:style>
  <w:style w:type="character" w:customStyle="1" w:styleId="82">
    <w:name w:val="纯文本 字符"/>
    <w:link w:val="28"/>
    <w:qFormat/>
    <w:uiPriority w:val="0"/>
    <w:rPr>
      <w:rFonts w:ascii="宋体" w:hAnsi="Courier New"/>
      <w:kern w:val="2"/>
      <w:sz w:val="21"/>
      <w:szCs w:val="24"/>
    </w:rPr>
  </w:style>
  <w:style w:type="character" w:customStyle="1" w:styleId="83">
    <w:name w:val="日期 字符"/>
    <w:link w:val="30"/>
    <w:qFormat/>
    <w:uiPriority w:val="99"/>
    <w:rPr>
      <w:rFonts w:ascii="宋体"/>
      <w:kern w:val="2"/>
      <w:sz w:val="24"/>
      <w:szCs w:val="24"/>
    </w:rPr>
  </w:style>
  <w:style w:type="character" w:customStyle="1" w:styleId="84">
    <w:name w:val="正文文本缩进 2 字符"/>
    <w:link w:val="31"/>
    <w:qFormat/>
    <w:uiPriority w:val="99"/>
    <w:rPr>
      <w:kern w:val="2"/>
      <w:sz w:val="21"/>
      <w:szCs w:val="24"/>
    </w:rPr>
  </w:style>
  <w:style w:type="character" w:customStyle="1" w:styleId="85">
    <w:name w:val="批注框文本 字符"/>
    <w:link w:val="32"/>
    <w:qFormat/>
    <w:uiPriority w:val="99"/>
    <w:rPr>
      <w:kern w:val="2"/>
      <w:sz w:val="18"/>
      <w:szCs w:val="18"/>
    </w:rPr>
  </w:style>
  <w:style w:type="character" w:customStyle="1" w:styleId="86">
    <w:name w:val="页脚 字符"/>
    <w:link w:val="33"/>
    <w:qFormat/>
    <w:uiPriority w:val="99"/>
    <w:rPr>
      <w:kern w:val="2"/>
      <w:sz w:val="18"/>
      <w:szCs w:val="24"/>
    </w:rPr>
  </w:style>
  <w:style w:type="character" w:customStyle="1" w:styleId="87">
    <w:name w:val="页眉 字符"/>
    <w:link w:val="34"/>
    <w:qFormat/>
    <w:uiPriority w:val="99"/>
    <w:rPr>
      <w:kern w:val="2"/>
      <w:sz w:val="18"/>
    </w:rPr>
  </w:style>
  <w:style w:type="character" w:customStyle="1" w:styleId="88">
    <w:name w:val="副标题 字符"/>
    <w:link w:val="39"/>
    <w:qFormat/>
    <w:uiPriority w:val="11"/>
    <w:rPr>
      <w:rFonts w:ascii="Cambria" w:hAnsi="Cambria" w:cs="Times New Roman"/>
      <w:b/>
      <w:bCs/>
      <w:kern w:val="28"/>
      <w:sz w:val="32"/>
      <w:szCs w:val="32"/>
    </w:rPr>
  </w:style>
  <w:style w:type="character" w:customStyle="1" w:styleId="89">
    <w:name w:val="正文文本缩进 3 字符"/>
    <w:link w:val="43"/>
    <w:qFormat/>
    <w:uiPriority w:val="0"/>
    <w:rPr>
      <w:rFonts w:ascii="宋体"/>
      <w:kern w:val="2"/>
      <w:sz w:val="21"/>
      <w:szCs w:val="24"/>
    </w:rPr>
  </w:style>
  <w:style w:type="character" w:customStyle="1" w:styleId="90">
    <w:name w:val="正文文本 2 字符"/>
    <w:link w:val="47"/>
    <w:qFormat/>
    <w:uiPriority w:val="99"/>
    <w:rPr>
      <w:kern w:val="2"/>
      <w:sz w:val="21"/>
      <w:szCs w:val="24"/>
    </w:rPr>
  </w:style>
  <w:style w:type="character" w:customStyle="1" w:styleId="91">
    <w:name w:val="HTML 预设格式 字符"/>
    <w:link w:val="49"/>
    <w:qFormat/>
    <w:uiPriority w:val="99"/>
    <w:rPr>
      <w:rFonts w:ascii="宋体"/>
      <w:kern w:val="2"/>
      <w:sz w:val="24"/>
      <w:szCs w:val="24"/>
    </w:rPr>
  </w:style>
  <w:style w:type="character" w:customStyle="1" w:styleId="92">
    <w:name w:val="标题 字符"/>
    <w:link w:val="51"/>
    <w:qFormat/>
    <w:uiPriority w:val="99"/>
    <w:rPr>
      <w:rFonts w:ascii="Cambria" w:hAnsi="Cambria"/>
      <w:b/>
      <w:bCs/>
      <w:kern w:val="2"/>
      <w:sz w:val="32"/>
      <w:szCs w:val="32"/>
    </w:rPr>
  </w:style>
  <w:style w:type="character" w:customStyle="1" w:styleId="93">
    <w:name w:val="批注主题 字符"/>
    <w:link w:val="52"/>
    <w:qFormat/>
    <w:uiPriority w:val="99"/>
    <w:rPr>
      <w:b/>
      <w:bCs/>
      <w:kern w:val="2"/>
      <w:sz w:val="21"/>
      <w:szCs w:val="24"/>
    </w:rPr>
  </w:style>
  <w:style w:type="character" w:customStyle="1" w:styleId="94">
    <w:name w:val="标题 Char1"/>
    <w:qFormat/>
    <w:uiPriority w:val="10"/>
    <w:rPr>
      <w:rFonts w:ascii="Cambria" w:hAnsi="Cambria" w:cs="Times New Roman"/>
      <w:b/>
      <w:bCs/>
      <w:kern w:val="2"/>
      <w:sz w:val="32"/>
      <w:szCs w:val="32"/>
    </w:rPr>
  </w:style>
  <w:style w:type="character" w:customStyle="1" w:styleId="95">
    <w:name w:val="正文文本 2 Char2"/>
    <w:qFormat/>
    <w:uiPriority w:val="0"/>
    <w:rPr>
      <w:sz w:val="24"/>
    </w:rPr>
  </w:style>
  <w:style w:type="character" w:customStyle="1" w:styleId="96">
    <w:name w:val="正文文本 Char1"/>
    <w:qFormat/>
    <w:uiPriority w:val="99"/>
    <w:rPr>
      <w:sz w:val="24"/>
    </w:rPr>
  </w:style>
  <w:style w:type="character" w:customStyle="1" w:styleId="97">
    <w:name w:val="active7"/>
    <w:qFormat/>
    <w:uiPriority w:val="0"/>
    <w:rPr>
      <w:color w:val="FF0000"/>
      <w:kern w:val="2"/>
      <w:sz w:val="24"/>
      <w:szCs w:val="24"/>
    </w:rPr>
  </w:style>
  <w:style w:type="character" w:customStyle="1" w:styleId="98">
    <w:name w:val="def"/>
    <w:qFormat/>
    <w:uiPriority w:val="0"/>
  </w:style>
  <w:style w:type="character" w:customStyle="1" w:styleId="99">
    <w:name w:val="页眉 Char2"/>
    <w:semiHidden/>
    <w:qFormat/>
    <w:uiPriority w:val="99"/>
    <w:rPr>
      <w:rFonts w:ascii="Calibri" w:hAnsi="Calibri" w:eastAsia="宋体" w:cs="Times New Roman"/>
      <w:sz w:val="18"/>
      <w:szCs w:val="18"/>
    </w:rPr>
  </w:style>
  <w:style w:type="character" w:customStyle="1" w:styleId="100">
    <w:name w:val="批注文字 Char2"/>
    <w:qFormat/>
    <w:uiPriority w:val="99"/>
    <w:rPr>
      <w:rFonts w:ascii="Calibri" w:hAnsi="Calibri" w:eastAsia="宋体" w:cs="Times New Roman"/>
      <w:sz w:val="24"/>
    </w:rPr>
  </w:style>
  <w:style w:type="character" w:customStyle="1" w:styleId="101">
    <w:name w:val="16"/>
    <w:qFormat/>
    <w:uiPriority w:val="0"/>
    <w:rPr>
      <w:rFonts w:hint="default" w:ascii="Times New Roman" w:hAnsi="Times New Roman" w:cs="Times New Roman"/>
    </w:rPr>
  </w:style>
  <w:style w:type="character" w:customStyle="1" w:styleId="102">
    <w:name w:val="Balloon Text Char"/>
    <w:semiHidden/>
    <w:qFormat/>
    <w:uiPriority w:val="99"/>
    <w:rPr>
      <w:sz w:val="16"/>
      <w:szCs w:val="0"/>
    </w:rPr>
  </w:style>
  <w:style w:type="character" w:customStyle="1" w:styleId="103">
    <w:name w:val="日期 Char2"/>
    <w:qFormat/>
    <w:uiPriority w:val="0"/>
    <w:rPr>
      <w:rFonts w:ascii="Times New Roman" w:hAnsi="Times New Roman"/>
      <w:spacing w:val="30"/>
      <w:sz w:val="28"/>
      <w:szCs w:val="24"/>
    </w:rPr>
  </w:style>
  <w:style w:type="character" w:customStyle="1" w:styleId="104">
    <w:name w:val="正文文本缩进 3 Char4"/>
    <w:semiHidden/>
    <w:qFormat/>
    <w:uiPriority w:val="99"/>
    <w:rPr>
      <w:sz w:val="16"/>
      <w:szCs w:val="16"/>
    </w:rPr>
  </w:style>
  <w:style w:type="character" w:customStyle="1" w:styleId="105">
    <w:name w:val="Heading 1 Char"/>
    <w:qFormat/>
    <w:uiPriority w:val="9"/>
    <w:rPr>
      <w:b/>
      <w:bCs/>
      <w:kern w:val="44"/>
      <w:sz w:val="44"/>
      <w:szCs w:val="44"/>
    </w:rPr>
  </w:style>
  <w:style w:type="character" w:customStyle="1" w:styleId="106">
    <w:name w:val="样式 表格文字 Char + 段前: 0.5 行 Char"/>
    <w:link w:val="107"/>
    <w:qFormat/>
    <w:uiPriority w:val="0"/>
    <w:rPr>
      <w:kern w:val="2"/>
      <w:sz w:val="24"/>
    </w:rPr>
  </w:style>
  <w:style w:type="paragraph" w:customStyle="1" w:styleId="107">
    <w:name w:val="样式 表格文字 Char + 段前: 0.5 行"/>
    <w:basedOn w:val="1"/>
    <w:link w:val="106"/>
    <w:qFormat/>
    <w:uiPriority w:val="0"/>
    <w:pPr>
      <w:spacing w:beforeLines="50"/>
      <w:jc w:val="center"/>
    </w:pPr>
    <w:rPr>
      <w:sz w:val="24"/>
    </w:rPr>
  </w:style>
  <w:style w:type="character" w:customStyle="1" w:styleId="108">
    <w:name w:val="font21"/>
    <w:qFormat/>
    <w:uiPriority w:val="0"/>
    <w:rPr>
      <w:rFonts w:hint="default" w:ascii="Times New Roman" w:hAnsi="Times New Roman" w:cs="Times New Roman"/>
      <w:color w:val="000000"/>
      <w:sz w:val="22"/>
      <w:szCs w:val="22"/>
      <w:u w:val="none"/>
    </w:rPr>
  </w:style>
  <w:style w:type="character" w:customStyle="1" w:styleId="109">
    <w:name w:val="正文文本缩进 Char1"/>
    <w:qFormat/>
    <w:uiPriority w:val="99"/>
    <w:rPr>
      <w:sz w:val="24"/>
    </w:rPr>
  </w:style>
  <w:style w:type="character" w:customStyle="1" w:styleId="110">
    <w:name w:val="批注文字 Char1"/>
    <w:qFormat/>
    <w:uiPriority w:val="0"/>
  </w:style>
  <w:style w:type="character" w:customStyle="1" w:styleId="111">
    <w:name w:val="s21"/>
    <w:qFormat/>
    <w:uiPriority w:val="0"/>
    <w:rPr>
      <w:b/>
      <w:color w:val="000000"/>
    </w:rPr>
  </w:style>
  <w:style w:type="character" w:customStyle="1" w:styleId="112">
    <w:name w:val="Font Style17"/>
    <w:qFormat/>
    <w:uiPriority w:val="0"/>
    <w:rPr>
      <w:rFonts w:ascii="黑体" w:eastAsia="黑体" w:cs="黑体"/>
      <w:sz w:val="28"/>
      <w:szCs w:val="28"/>
    </w:rPr>
  </w:style>
  <w:style w:type="character" w:customStyle="1" w:styleId="113">
    <w:name w:val="cityname"/>
    <w:qFormat/>
    <w:uiPriority w:val="0"/>
    <w:rPr>
      <w:b/>
      <w:kern w:val="2"/>
      <w:sz w:val="21"/>
      <w:szCs w:val="21"/>
    </w:rPr>
  </w:style>
  <w:style w:type="character" w:customStyle="1" w:styleId="114">
    <w:name w:val="bbs_title1"/>
    <w:qFormat/>
    <w:uiPriority w:val="0"/>
    <w:rPr>
      <w:color w:val="0000CC"/>
      <w:sz w:val="23"/>
      <w:szCs w:val="23"/>
    </w:rPr>
  </w:style>
  <w:style w:type="character" w:customStyle="1" w:styleId="115">
    <w:name w:val="map-site-province"/>
    <w:qFormat/>
    <w:uiPriority w:val="0"/>
  </w:style>
  <w:style w:type="character" w:customStyle="1" w:styleId="116">
    <w:name w:val="font11"/>
    <w:qFormat/>
    <w:uiPriority w:val="0"/>
    <w:rPr>
      <w:rFonts w:hint="eastAsia" w:ascii="宋体" w:hAnsi="宋体" w:eastAsia="宋体" w:cs="宋体"/>
      <w:color w:val="000000"/>
      <w:sz w:val="22"/>
      <w:szCs w:val="22"/>
      <w:u w:val="none"/>
    </w:rPr>
  </w:style>
  <w:style w:type="character" w:customStyle="1" w:styleId="117">
    <w:name w:val="日期 Char Char"/>
    <w:qFormat/>
    <w:uiPriority w:val="0"/>
    <w:rPr>
      <w:kern w:val="2"/>
      <w:sz w:val="21"/>
    </w:rPr>
  </w:style>
  <w:style w:type="character" w:customStyle="1" w:styleId="118">
    <w:name w:val="样式 四号 加粗"/>
    <w:qFormat/>
    <w:uiPriority w:val="0"/>
    <w:rPr>
      <w:b/>
      <w:bCs/>
      <w:sz w:val="28"/>
    </w:rPr>
  </w:style>
  <w:style w:type="character" w:customStyle="1" w:styleId="119">
    <w:name w:val="纯文本 Char3"/>
    <w:qFormat/>
    <w:uiPriority w:val="0"/>
    <w:rPr>
      <w:rFonts w:ascii="宋体" w:hAnsi="Courier New" w:cs="Courier New"/>
      <w:kern w:val="2"/>
      <w:sz w:val="21"/>
      <w:szCs w:val="21"/>
    </w:rPr>
  </w:style>
  <w:style w:type="character" w:customStyle="1" w:styleId="120">
    <w:name w:val="正文文本 2 Char3"/>
    <w:semiHidden/>
    <w:qFormat/>
    <w:uiPriority w:val="99"/>
    <w:rPr>
      <w:rFonts w:ascii="Calibri" w:hAnsi="Calibri" w:eastAsia="宋体" w:cs="Times New Roman"/>
      <w:sz w:val="24"/>
    </w:rPr>
  </w:style>
  <w:style w:type="character" w:customStyle="1" w:styleId="121">
    <w:name w:val="font71"/>
    <w:qFormat/>
    <w:uiPriority w:val="0"/>
    <w:rPr>
      <w:rFonts w:ascii="Wingdings" w:hAnsi="Wingdings" w:cs="Wingdings"/>
      <w:color w:val="000000"/>
      <w:sz w:val="22"/>
      <w:szCs w:val="22"/>
      <w:u w:val="none"/>
    </w:rPr>
  </w:style>
  <w:style w:type="character" w:customStyle="1" w:styleId="122">
    <w:name w:val="c-icon13"/>
    <w:qFormat/>
    <w:uiPriority w:val="0"/>
  </w:style>
  <w:style w:type="character" w:customStyle="1" w:styleId="123">
    <w:name w:val="apple-converted-space"/>
    <w:qFormat/>
    <w:uiPriority w:val="0"/>
  </w:style>
  <w:style w:type="character" w:customStyle="1" w:styleId="124">
    <w:name w:val="日期 Char3"/>
    <w:semiHidden/>
    <w:qFormat/>
    <w:uiPriority w:val="99"/>
    <w:rPr>
      <w:rFonts w:ascii="Calibri" w:hAnsi="Calibri" w:eastAsia="宋体" w:cs="Times New Roman"/>
      <w:sz w:val="24"/>
    </w:rPr>
  </w:style>
  <w:style w:type="character" w:customStyle="1" w:styleId="125">
    <w:name w:val="文档结构图 Char2"/>
    <w:qFormat/>
    <w:uiPriority w:val="0"/>
    <w:rPr>
      <w:rFonts w:ascii="宋体" w:eastAsia="宋体"/>
      <w:sz w:val="18"/>
      <w:szCs w:val="18"/>
    </w:rPr>
  </w:style>
  <w:style w:type="character" w:customStyle="1" w:styleId="126">
    <w:name w:val="日期 Char1"/>
    <w:qFormat/>
    <w:uiPriority w:val="99"/>
    <w:rPr>
      <w:rFonts w:ascii="宋体"/>
      <w:kern w:val="2"/>
      <w:sz w:val="21"/>
      <w:szCs w:val="24"/>
    </w:rPr>
  </w:style>
  <w:style w:type="character" w:customStyle="1" w:styleId="127">
    <w:name w:val="正文文本 Char2"/>
    <w:semiHidden/>
    <w:qFormat/>
    <w:uiPriority w:val="99"/>
    <w:rPr>
      <w:rFonts w:ascii="Calibri" w:hAnsi="Calibri" w:eastAsia="宋体" w:cs="Times New Roman"/>
      <w:sz w:val="24"/>
    </w:rPr>
  </w:style>
  <w:style w:type="character" w:customStyle="1" w:styleId="128">
    <w:name w:val="页眉 Char1"/>
    <w:qFormat/>
    <w:uiPriority w:val="99"/>
    <w:rPr>
      <w:sz w:val="18"/>
      <w:szCs w:val="18"/>
    </w:rPr>
  </w:style>
  <w:style w:type="character" w:customStyle="1" w:styleId="129">
    <w:name w:val="Header Char"/>
    <w:semiHidden/>
    <w:qFormat/>
    <w:uiPriority w:val="99"/>
    <w:rPr>
      <w:sz w:val="18"/>
      <w:szCs w:val="18"/>
    </w:rPr>
  </w:style>
  <w:style w:type="character" w:customStyle="1" w:styleId="130">
    <w:name w:val="map-site-province-active"/>
    <w:qFormat/>
    <w:uiPriority w:val="0"/>
  </w:style>
  <w:style w:type="character" w:customStyle="1" w:styleId="131">
    <w:name w:val="font31"/>
    <w:qFormat/>
    <w:uiPriority w:val="0"/>
    <w:rPr>
      <w:rFonts w:hint="eastAsia" w:ascii="宋体" w:hAnsi="宋体" w:eastAsia="宋体" w:cs="宋体"/>
      <w:color w:val="000000"/>
      <w:sz w:val="24"/>
      <w:szCs w:val="24"/>
    </w:rPr>
  </w:style>
  <w:style w:type="character" w:customStyle="1" w:styleId="132">
    <w:name w:val="正文首行缩进 2 Char2"/>
    <w:semiHidden/>
    <w:qFormat/>
    <w:uiPriority w:val="99"/>
  </w:style>
  <w:style w:type="character" w:customStyle="1" w:styleId="133">
    <w:name w:val="标题 Char4"/>
    <w:qFormat/>
    <w:uiPriority w:val="10"/>
    <w:rPr>
      <w:rFonts w:ascii="Cambria" w:hAnsi="Cambria" w:eastAsia="宋体" w:cs="Times New Roman"/>
      <w:b/>
      <w:bCs/>
      <w:sz w:val="32"/>
      <w:szCs w:val="32"/>
    </w:rPr>
  </w:style>
  <w:style w:type="character" w:customStyle="1" w:styleId="134">
    <w:name w:val="正文文本缩进 2 Char2"/>
    <w:qFormat/>
    <w:uiPriority w:val="0"/>
    <w:rPr>
      <w:sz w:val="24"/>
    </w:rPr>
  </w:style>
  <w:style w:type="character" w:customStyle="1" w:styleId="135">
    <w:name w:val="contenttitle"/>
    <w:qFormat/>
    <w:uiPriority w:val="0"/>
  </w:style>
  <w:style w:type="character" w:customStyle="1" w:styleId="136">
    <w:name w:val="Char Char"/>
    <w:qFormat/>
    <w:uiPriority w:val="0"/>
    <w:rPr>
      <w:rFonts w:ascii="楷体_GB2312" w:eastAsia="楷体_GB2312"/>
      <w:kern w:val="2"/>
      <w:sz w:val="28"/>
      <w:lang w:val="en-US" w:eastAsia="zh-CN" w:bidi="ar-SA"/>
    </w:rPr>
  </w:style>
  <w:style w:type="character" w:customStyle="1" w:styleId="137">
    <w:name w:val="ask-title"/>
    <w:qFormat/>
    <w:uiPriority w:val="99"/>
  </w:style>
  <w:style w:type="character" w:customStyle="1" w:styleId="138">
    <w:name w:val="正文首行缩进 2 Char1"/>
    <w:semiHidden/>
    <w:qFormat/>
    <w:uiPriority w:val="99"/>
    <w:rPr>
      <w:rFonts w:ascii="Calibri" w:hAnsi="Calibri" w:eastAsia="宋体" w:cs="Times New Roman"/>
      <w:sz w:val="24"/>
    </w:rPr>
  </w:style>
  <w:style w:type="character" w:customStyle="1" w:styleId="139">
    <w:name w:val="map-site-country-active"/>
    <w:qFormat/>
    <w:uiPriority w:val="0"/>
  </w:style>
  <w:style w:type="character" w:customStyle="1" w:styleId="140">
    <w:name w:val="页脚 Char Char"/>
    <w:qFormat/>
    <w:uiPriority w:val="0"/>
    <w:rPr>
      <w:rFonts w:ascii="Times New Roman" w:hAnsi="Times New Roman" w:eastAsia="宋体" w:cs="Times New Roman"/>
      <w:sz w:val="18"/>
      <w:szCs w:val="18"/>
    </w:rPr>
  </w:style>
  <w:style w:type="character" w:customStyle="1" w:styleId="141">
    <w:name w:val="Date Char"/>
    <w:semiHidden/>
    <w:qFormat/>
    <w:uiPriority w:val="99"/>
    <w:rPr>
      <w:szCs w:val="21"/>
    </w:rPr>
  </w:style>
  <w:style w:type="character" w:customStyle="1" w:styleId="142">
    <w:name w:val="纯文本 Char2"/>
    <w:qFormat/>
    <w:uiPriority w:val="0"/>
    <w:rPr>
      <w:rFonts w:ascii="宋体" w:hAnsi="Courier New"/>
      <w:szCs w:val="21"/>
    </w:rPr>
  </w:style>
  <w:style w:type="character" w:customStyle="1" w:styleId="143">
    <w:name w:val="map-site-country"/>
    <w:qFormat/>
    <w:uiPriority w:val="0"/>
  </w:style>
  <w:style w:type="character" w:customStyle="1" w:styleId="144">
    <w:name w:val="Body Text Char"/>
    <w:semiHidden/>
    <w:qFormat/>
    <w:uiPriority w:val="99"/>
    <w:rPr>
      <w:szCs w:val="21"/>
    </w:rPr>
  </w:style>
  <w:style w:type="character" w:customStyle="1" w:styleId="145">
    <w:name w:val="_Style 143"/>
    <w:qFormat/>
    <w:uiPriority w:val="0"/>
    <w:rPr>
      <w:b/>
      <w:bCs/>
      <w:smallCaps/>
      <w:spacing w:val="5"/>
      <w:kern w:val="2"/>
      <w:sz w:val="24"/>
      <w:szCs w:val="24"/>
    </w:rPr>
  </w:style>
  <w:style w:type="character" w:customStyle="1" w:styleId="146">
    <w:name w:val="times1"/>
    <w:qFormat/>
    <w:uiPriority w:val="0"/>
    <w:rPr>
      <w:color w:val="CDCDCD"/>
      <w:kern w:val="2"/>
      <w:sz w:val="24"/>
      <w:szCs w:val="24"/>
      <w:bdr w:val="single" w:color="CDCDCD" w:sz="6" w:space="0"/>
      <w:shd w:val="clear" w:color="auto" w:fill="EFEFEF"/>
    </w:rPr>
  </w:style>
  <w:style w:type="character" w:customStyle="1" w:styleId="147">
    <w:name w:val="批注主题 Char2"/>
    <w:semiHidden/>
    <w:qFormat/>
    <w:uiPriority w:val="99"/>
    <w:rPr>
      <w:rFonts w:ascii="Calibri" w:hAnsi="Calibri" w:eastAsia="宋体" w:cs="Times New Roman"/>
      <w:b/>
      <w:bCs/>
      <w:sz w:val="24"/>
    </w:rPr>
  </w:style>
  <w:style w:type="character" w:customStyle="1" w:styleId="148">
    <w:name w:val="map-site"/>
    <w:qFormat/>
    <w:uiPriority w:val="0"/>
  </w:style>
  <w:style w:type="character" w:customStyle="1" w:styleId="149">
    <w:name w:val="Body Text 3 Char"/>
    <w:semiHidden/>
    <w:qFormat/>
    <w:uiPriority w:val="99"/>
    <w:rPr>
      <w:sz w:val="16"/>
      <w:szCs w:val="16"/>
    </w:rPr>
  </w:style>
  <w:style w:type="character" w:customStyle="1" w:styleId="150">
    <w:name w:val="HTML Preformatted Char"/>
    <w:semiHidden/>
    <w:qFormat/>
    <w:uiPriority w:val="99"/>
    <w:rPr>
      <w:rFonts w:ascii="Courier New" w:hAnsi="Courier New" w:cs="Courier New"/>
      <w:sz w:val="20"/>
      <w:szCs w:val="20"/>
    </w:rPr>
  </w:style>
  <w:style w:type="character" w:customStyle="1" w:styleId="151">
    <w:name w:val="批注框文本 Char1"/>
    <w:semiHidden/>
    <w:qFormat/>
    <w:uiPriority w:val="99"/>
    <w:rPr>
      <w:rFonts w:ascii="Calibri" w:hAnsi="Calibri" w:eastAsia="宋体" w:cs="Times New Roman"/>
      <w:sz w:val="18"/>
      <w:szCs w:val="18"/>
    </w:rPr>
  </w:style>
  <w:style w:type="character" w:customStyle="1" w:styleId="152">
    <w:name w:val="Document Map Char"/>
    <w:semiHidden/>
    <w:qFormat/>
    <w:uiPriority w:val="99"/>
    <w:rPr>
      <w:sz w:val="16"/>
      <w:szCs w:val="0"/>
    </w:rPr>
  </w:style>
  <w:style w:type="character" w:customStyle="1" w:styleId="153">
    <w:name w:val="页码1"/>
    <w:qFormat/>
    <w:uiPriority w:val="0"/>
  </w:style>
  <w:style w:type="character" w:customStyle="1" w:styleId="154">
    <w:name w:val="Footer Char"/>
    <w:semiHidden/>
    <w:qFormat/>
    <w:uiPriority w:val="99"/>
    <w:rPr>
      <w:sz w:val="18"/>
      <w:szCs w:val="18"/>
    </w:rPr>
  </w:style>
  <w:style w:type="character" w:customStyle="1" w:styleId="155">
    <w:name w:val="文档结构图 Char1"/>
    <w:qFormat/>
    <w:uiPriority w:val="0"/>
    <w:rPr>
      <w:rFonts w:ascii="宋体"/>
      <w:kern w:val="2"/>
      <w:sz w:val="18"/>
      <w:szCs w:val="18"/>
    </w:rPr>
  </w:style>
  <w:style w:type="character" w:customStyle="1" w:styleId="156">
    <w:name w:val="p141_0"/>
    <w:qFormat/>
    <w:uiPriority w:val="0"/>
    <w:rPr>
      <w:rFonts w:ascii="Calibri" w:hAnsi="Calibri"/>
      <w:sz w:val="21"/>
      <w:szCs w:val="21"/>
    </w:rPr>
  </w:style>
  <w:style w:type="character" w:customStyle="1" w:styleId="157">
    <w:name w:val="标题 Char2"/>
    <w:qFormat/>
    <w:uiPriority w:val="0"/>
    <w:rPr>
      <w:rFonts w:ascii="Cambria" w:hAnsi="Cambria" w:cs="Times New Roman"/>
      <w:b/>
      <w:bCs/>
      <w:kern w:val="2"/>
      <w:sz w:val="32"/>
      <w:szCs w:val="32"/>
    </w:rPr>
  </w:style>
  <w:style w:type="character" w:customStyle="1" w:styleId="158">
    <w:name w:val="正文文本缩进 3 Char1"/>
    <w:qFormat/>
    <w:uiPriority w:val="99"/>
    <w:rPr>
      <w:sz w:val="16"/>
      <w:szCs w:val="16"/>
    </w:rPr>
  </w:style>
  <w:style w:type="character" w:customStyle="1" w:styleId="159">
    <w:name w:val="Comment Text Char"/>
    <w:semiHidden/>
    <w:qFormat/>
    <w:uiPriority w:val="99"/>
    <w:rPr>
      <w:szCs w:val="21"/>
    </w:rPr>
  </w:style>
  <w:style w:type="character" w:customStyle="1" w:styleId="160">
    <w:name w:val="Plain Text Char"/>
    <w:semiHidden/>
    <w:qFormat/>
    <w:uiPriority w:val="99"/>
    <w:rPr>
      <w:rFonts w:ascii="宋体" w:hAnsi="Courier New" w:cs="Courier New"/>
      <w:szCs w:val="21"/>
    </w:rPr>
  </w:style>
  <w:style w:type="character" w:customStyle="1" w:styleId="161">
    <w:name w:val="纯文本 Char4"/>
    <w:qFormat/>
    <w:uiPriority w:val="0"/>
    <w:rPr>
      <w:rFonts w:ascii="宋体" w:hAnsi="Courier New" w:eastAsia="宋体" w:cs="Courier New"/>
      <w:szCs w:val="21"/>
    </w:rPr>
  </w:style>
  <w:style w:type="character" w:customStyle="1" w:styleId="162">
    <w:name w:val="hover16"/>
    <w:qFormat/>
    <w:uiPriority w:val="0"/>
    <w:rPr>
      <w:color w:val="FF0000"/>
      <w:kern w:val="2"/>
      <w:sz w:val="24"/>
      <w:szCs w:val="24"/>
    </w:rPr>
  </w:style>
  <w:style w:type="character" w:customStyle="1" w:styleId="163">
    <w:name w:val="正文文本 2 Char1"/>
    <w:qFormat/>
    <w:uiPriority w:val="0"/>
    <w:rPr>
      <w:szCs w:val="24"/>
    </w:rPr>
  </w:style>
  <w:style w:type="character" w:customStyle="1" w:styleId="164">
    <w:name w:val="纯文本 Char6"/>
    <w:semiHidden/>
    <w:qFormat/>
    <w:uiPriority w:val="99"/>
    <w:rPr>
      <w:rFonts w:ascii="宋体" w:hAnsi="Courier New" w:eastAsia="宋体" w:cs="Courier New"/>
      <w:szCs w:val="21"/>
    </w:rPr>
  </w:style>
  <w:style w:type="character" w:customStyle="1" w:styleId="165">
    <w:name w:val="Body Text Indent 2 Char"/>
    <w:semiHidden/>
    <w:qFormat/>
    <w:uiPriority w:val="99"/>
    <w:rPr>
      <w:szCs w:val="21"/>
    </w:rPr>
  </w:style>
  <w:style w:type="character" w:customStyle="1" w:styleId="166">
    <w:name w:val="Char Char12"/>
    <w:qFormat/>
    <w:locked/>
    <w:uiPriority w:val="99"/>
    <w:rPr>
      <w:rFonts w:ascii="宋体" w:eastAsia="宋体" w:cs="宋体"/>
      <w:sz w:val="24"/>
      <w:szCs w:val="24"/>
    </w:rPr>
  </w:style>
  <w:style w:type="character" w:customStyle="1" w:styleId="167">
    <w:name w:val="font61"/>
    <w:qFormat/>
    <w:uiPriority w:val="0"/>
    <w:rPr>
      <w:rFonts w:hint="default" w:ascii="Calibri" w:hAnsi="Calibri" w:cs="Calibri"/>
      <w:color w:val="000000"/>
      <w:sz w:val="22"/>
      <w:szCs w:val="22"/>
      <w:u w:val="none"/>
    </w:rPr>
  </w:style>
  <w:style w:type="character" w:customStyle="1" w:styleId="168">
    <w:name w:val="纯文本 Char5"/>
    <w:semiHidden/>
    <w:qFormat/>
    <w:uiPriority w:val="99"/>
    <w:rPr>
      <w:rFonts w:ascii="宋体" w:hAnsi="Courier New" w:eastAsia="宋体" w:cs="Courier New"/>
      <w:szCs w:val="21"/>
    </w:rPr>
  </w:style>
  <w:style w:type="character" w:customStyle="1" w:styleId="169">
    <w:name w:val="批注框文本 Char2"/>
    <w:semiHidden/>
    <w:qFormat/>
    <w:uiPriority w:val="99"/>
    <w:rPr>
      <w:rFonts w:ascii="Calibri" w:hAnsi="Calibri" w:eastAsia="宋体" w:cs="Times New Roman"/>
      <w:sz w:val="18"/>
      <w:szCs w:val="18"/>
    </w:rPr>
  </w:style>
  <w:style w:type="character" w:customStyle="1" w:styleId="170">
    <w:name w:val="font41"/>
    <w:qFormat/>
    <w:uiPriority w:val="0"/>
    <w:rPr>
      <w:rFonts w:hint="default" w:ascii="Times New Roman" w:hAnsi="Times New Roman" w:cs="Times New Roman"/>
      <w:color w:val="000000"/>
      <w:sz w:val="22"/>
      <w:szCs w:val="22"/>
      <w:u w:val="none"/>
      <w:vertAlign w:val="subscript"/>
    </w:rPr>
  </w:style>
  <w:style w:type="character" w:customStyle="1" w:styleId="171">
    <w:name w:val="正文文本缩进 Char2"/>
    <w:semiHidden/>
    <w:qFormat/>
    <w:uiPriority w:val="99"/>
    <w:rPr>
      <w:rFonts w:ascii="Calibri" w:hAnsi="Calibri" w:eastAsia="宋体" w:cs="Times New Roman"/>
      <w:sz w:val="24"/>
    </w:rPr>
  </w:style>
  <w:style w:type="character" w:customStyle="1" w:styleId="172">
    <w:name w:val="Body Text Indent Char"/>
    <w:semiHidden/>
    <w:qFormat/>
    <w:uiPriority w:val="99"/>
    <w:rPr>
      <w:szCs w:val="21"/>
    </w:rPr>
  </w:style>
  <w:style w:type="character" w:customStyle="1" w:styleId="173">
    <w:name w:val="15"/>
    <w:qFormat/>
    <w:uiPriority w:val="0"/>
    <w:rPr>
      <w:rFonts w:hint="default" w:ascii="Times New Roman" w:hAnsi="Times New Roman" w:cs="Times New Roman"/>
    </w:rPr>
  </w:style>
  <w:style w:type="character" w:customStyle="1" w:styleId="174">
    <w:name w:val="样式 样式 标题 4H4PIM 4bulletblbbh4sect 1.2.3.4Ref Heading 1rh1... + 五号 Char Char"/>
    <w:qFormat/>
    <w:uiPriority w:val="0"/>
    <w:rPr>
      <w:rFonts w:ascii="宋体" w:hAnsi="宋体" w:eastAsia="宋体" w:cs="宋体"/>
      <w:bCs/>
      <w:kern w:val="2"/>
      <w:sz w:val="21"/>
      <w:lang w:val="en-US" w:eastAsia="zh-CN" w:bidi="ar-SA"/>
    </w:rPr>
  </w:style>
  <w:style w:type="character" w:customStyle="1" w:styleId="175">
    <w:name w:val="文档结构图 Char3"/>
    <w:semiHidden/>
    <w:qFormat/>
    <w:uiPriority w:val="99"/>
    <w:rPr>
      <w:rFonts w:ascii="宋体" w:hAnsi="Calibri" w:eastAsia="宋体" w:cs="Times New Roman"/>
      <w:sz w:val="18"/>
      <w:szCs w:val="18"/>
    </w:rPr>
  </w:style>
  <w:style w:type="character" w:customStyle="1" w:styleId="176">
    <w:name w:val="批注主题 Char1"/>
    <w:semiHidden/>
    <w:qFormat/>
    <w:uiPriority w:val="99"/>
    <w:rPr>
      <w:rFonts w:ascii="Calibri" w:hAnsi="Calibri" w:eastAsia="宋体" w:cs="Times New Roman"/>
      <w:b/>
      <w:bCs/>
      <w:sz w:val="24"/>
    </w:rPr>
  </w:style>
  <w:style w:type="character" w:customStyle="1" w:styleId="177">
    <w:name w:val="font51"/>
    <w:qFormat/>
    <w:uiPriority w:val="0"/>
    <w:rPr>
      <w:rFonts w:hint="default" w:ascii="Times New Roman" w:hAnsi="Times New Roman" w:cs="Times New Roman"/>
      <w:color w:val="000000"/>
      <w:sz w:val="22"/>
      <w:szCs w:val="22"/>
      <w:u w:val="none"/>
    </w:rPr>
  </w:style>
  <w:style w:type="character" w:customStyle="1" w:styleId="178">
    <w:name w:val="纯文本 Char1"/>
    <w:link w:val="179"/>
    <w:qFormat/>
    <w:uiPriority w:val="99"/>
    <w:rPr>
      <w:rFonts w:ascii="宋体" w:hAnsi="Courier New"/>
      <w:szCs w:val="21"/>
    </w:rPr>
  </w:style>
  <w:style w:type="paragraph" w:customStyle="1" w:styleId="179">
    <w:name w:val="纯文本1"/>
    <w:basedOn w:val="1"/>
    <w:link w:val="178"/>
    <w:qFormat/>
    <w:uiPriority w:val="99"/>
    <w:pPr>
      <w:spacing w:afterLines="50" w:line="400" w:lineRule="exact"/>
      <w:ind w:left="284"/>
    </w:pPr>
    <w:rPr>
      <w:rFonts w:ascii="宋体" w:hAnsi="Courier New"/>
      <w:kern w:val="0"/>
      <w:sz w:val="20"/>
      <w:szCs w:val="21"/>
    </w:rPr>
  </w:style>
  <w:style w:type="character" w:customStyle="1" w:styleId="180">
    <w:name w:val="Body Text 2 Char"/>
    <w:semiHidden/>
    <w:qFormat/>
    <w:uiPriority w:val="99"/>
    <w:rPr>
      <w:szCs w:val="21"/>
    </w:rPr>
  </w:style>
  <w:style w:type="character" w:customStyle="1" w:styleId="181">
    <w:name w:val="times"/>
    <w:qFormat/>
    <w:uiPriority w:val="0"/>
    <w:rPr>
      <w:color w:val="3399FF"/>
      <w:kern w:val="2"/>
      <w:sz w:val="24"/>
      <w:szCs w:val="24"/>
      <w:bdr w:val="single" w:color="D1EDF8" w:sz="6" w:space="0"/>
      <w:shd w:val="clear" w:color="auto" w:fill="EAF9FF"/>
    </w:rPr>
  </w:style>
  <w:style w:type="character" w:customStyle="1" w:styleId="182">
    <w:name w:val="he_font18px"/>
    <w:qFormat/>
    <w:uiPriority w:val="0"/>
  </w:style>
  <w:style w:type="character" w:customStyle="1" w:styleId="183">
    <w:name w:val="正文文本缩进 2 Char3"/>
    <w:semiHidden/>
    <w:qFormat/>
    <w:uiPriority w:val="99"/>
    <w:rPr>
      <w:rFonts w:ascii="Calibri" w:hAnsi="Calibri" w:eastAsia="宋体" w:cs="Times New Roman"/>
      <w:sz w:val="24"/>
    </w:rPr>
  </w:style>
  <w:style w:type="character" w:customStyle="1" w:styleId="184">
    <w:name w:val="Heading 3 Char"/>
    <w:semiHidden/>
    <w:qFormat/>
    <w:uiPriority w:val="9"/>
    <w:rPr>
      <w:b/>
      <w:bCs/>
      <w:sz w:val="32"/>
      <w:szCs w:val="32"/>
    </w:rPr>
  </w:style>
  <w:style w:type="character" w:customStyle="1" w:styleId="185">
    <w:name w:val="正文文本缩进 Char3"/>
    <w:qFormat/>
    <w:uiPriority w:val="99"/>
    <w:rPr>
      <w:rFonts w:ascii="Calibri" w:hAnsi="Calibri" w:eastAsia="宋体" w:cs="Times New Roman"/>
      <w:sz w:val="24"/>
    </w:rPr>
  </w:style>
  <w:style w:type="character" w:customStyle="1" w:styleId="186">
    <w:name w:val="页脚 Char2"/>
    <w:semiHidden/>
    <w:qFormat/>
    <w:uiPriority w:val="99"/>
    <w:rPr>
      <w:rFonts w:ascii="Calibri" w:hAnsi="Calibri" w:eastAsia="宋体" w:cs="Times New Roman"/>
      <w:sz w:val="18"/>
      <w:szCs w:val="18"/>
    </w:rPr>
  </w:style>
  <w:style w:type="character" w:customStyle="1" w:styleId="187">
    <w:name w:val="页脚 Char1"/>
    <w:qFormat/>
    <w:uiPriority w:val="99"/>
    <w:rPr>
      <w:sz w:val="18"/>
      <w:szCs w:val="18"/>
    </w:rPr>
  </w:style>
  <w:style w:type="character" w:customStyle="1" w:styleId="188">
    <w:name w:val="eng1"/>
    <w:qFormat/>
    <w:uiPriority w:val="0"/>
    <w:rPr>
      <w:rFonts w:hint="default" w:ascii="Tahoma" w:hAnsi="Tahoma" w:cs="Tahoma"/>
      <w:kern w:val="2"/>
      <w:sz w:val="16"/>
      <w:szCs w:val="16"/>
    </w:rPr>
  </w:style>
  <w:style w:type="character" w:customStyle="1" w:styleId="189">
    <w:name w:val="highlight"/>
    <w:qFormat/>
    <w:uiPriority w:val="0"/>
  </w:style>
  <w:style w:type="character" w:customStyle="1" w:styleId="190">
    <w:name w:val="font01"/>
    <w:qFormat/>
    <w:uiPriority w:val="0"/>
    <w:rPr>
      <w:rFonts w:hint="eastAsia" w:ascii="宋体" w:hAnsi="宋体" w:eastAsia="宋体" w:cs="宋体"/>
      <w:color w:val="000000"/>
      <w:sz w:val="22"/>
      <w:szCs w:val="22"/>
      <w:u w:val="none"/>
    </w:rPr>
  </w:style>
  <w:style w:type="character" w:customStyle="1" w:styleId="191">
    <w:name w:val="正文文本缩进 2 Char1"/>
    <w:link w:val="192"/>
    <w:qFormat/>
    <w:uiPriority w:val="99"/>
    <w:rPr>
      <w:szCs w:val="24"/>
    </w:rPr>
  </w:style>
  <w:style w:type="paragraph" w:customStyle="1" w:styleId="192">
    <w:name w:val="正文文本缩进 21"/>
    <w:basedOn w:val="1"/>
    <w:link w:val="191"/>
    <w:qFormat/>
    <w:uiPriority w:val="99"/>
    <w:pPr>
      <w:spacing w:after="120" w:line="480" w:lineRule="auto"/>
      <w:ind w:left="420" w:leftChars="200"/>
    </w:pPr>
    <w:rPr>
      <w:kern w:val="0"/>
      <w:sz w:val="20"/>
      <w:szCs w:val="24"/>
    </w:rPr>
  </w:style>
  <w:style w:type="character" w:customStyle="1" w:styleId="193">
    <w:name w:val="文档结构图 Char4"/>
    <w:semiHidden/>
    <w:qFormat/>
    <w:uiPriority w:val="99"/>
    <w:rPr>
      <w:rFonts w:ascii="宋体" w:eastAsia="宋体"/>
      <w:sz w:val="18"/>
      <w:szCs w:val="18"/>
    </w:rPr>
  </w:style>
  <w:style w:type="character" w:customStyle="1" w:styleId="194">
    <w:name w:val="content2"/>
    <w:qFormat/>
    <w:uiPriority w:val="0"/>
  </w:style>
  <w:style w:type="character" w:customStyle="1" w:styleId="195">
    <w:name w:val="标题 Char3"/>
    <w:qFormat/>
    <w:uiPriority w:val="10"/>
    <w:rPr>
      <w:rFonts w:ascii="Cambria" w:hAnsi="Cambria" w:eastAsia="宋体" w:cs="黑体"/>
      <w:b/>
      <w:bCs/>
      <w:sz w:val="32"/>
      <w:szCs w:val="32"/>
    </w:rPr>
  </w:style>
  <w:style w:type="character" w:customStyle="1" w:styleId="196">
    <w:name w:val="Comment Subject Char"/>
    <w:semiHidden/>
    <w:qFormat/>
    <w:uiPriority w:val="99"/>
    <w:rPr>
      <w:rFonts w:eastAsia="宋体"/>
      <w:b/>
      <w:bCs/>
      <w:kern w:val="2"/>
      <w:sz w:val="21"/>
      <w:szCs w:val="21"/>
      <w:lang w:val="en-US" w:eastAsia="zh-CN"/>
    </w:rPr>
  </w:style>
  <w:style w:type="character" w:customStyle="1" w:styleId="197">
    <w:name w:val="标题 2 Char1"/>
    <w:qFormat/>
    <w:uiPriority w:val="0"/>
    <w:rPr>
      <w:rFonts w:ascii="Arial" w:hAnsi="Arial" w:eastAsia="黑体" w:cs="Times New Roman"/>
      <w:b/>
      <w:kern w:val="0"/>
      <w:sz w:val="32"/>
      <w:szCs w:val="20"/>
    </w:rPr>
  </w:style>
  <w:style w:type="character" w:customStyle="1" w:styleId="198">
    <w:name w:val="正文文本缩进 3 Char3"/>
    <w:semiHidden/>
    <w:qFormat/>
    <w:uiPriority w:val="99"/>
    <w:rPr>
      <w:rFonts w:ascii="Calibri" w:hAnsi="Calibri" w:eastAsia="宋体" w:cs="Times New Roman"/>
      <w:sz w:val="16"/>
      <w:szCs w:val="16"/>
    </w:rPr>
  </w:style>
  <w:style w:type="character" w:customStyle="1" w:styleId="199">
    <w:name w:val="Heading 2 Char"/>
    <w:semiHidden/>
    <w:qFormat/>
    <w:uiPriority w:val="9"/>
    <w:rPr>
      <w:rFonts w:ascii="Cambria" w:hAnsi="Cambria" w:eastAsia="宋体" w:cs="Times New Roman"/>
      <w:b/>
      <w:bCs/>
      <w:sz w:val="32"/>
      <w:szCs w:val="32"/>
    </w:rPr>
  </w:style>
  <w:style w:type="character" w:customStyle="1" w:styleId="200">
    <w:name w:val="正文文本缩进 3 Char2"/>
    <w:qFormat/>
    <w:uiPriority w:val="0"/>
    <w:rPr>
      <w:sz w:val="16"/>
      <w:szCs w:val="16"/>
    </w:rPr>
  </w:style>
  <w:style w:type="character" w:customStyle="1" w:styleId="201">
    <w:name w:val="副标题 Char1"/>
    <w:qFormat/>
    <w:uiPriority w:val="11"/>
    <w:rPr>
      <w:rFonts w:ascii="Cambria" w:hAnsi="Cambria" w:eastAsia="宋体" w:cs="Times New Roman"/>
      <w:b/>
      <w:bCs/>
      <w:kern w:val="28"/>
      <w:sz w:val="32"/>
      <w:szCs w:val="32"/>
    </w:rPr>
  </w:style>
  <w:style w:type="character" w:customStyle="1" w:styleId="202">
    <w:name w:val="Body Text Indent 3 Char"/>
    <w:semiHidden/>
    <w:qFormat/>
    <w:uiPriority w:val="99"/>
    <w:rPr>
      <w:sz w:val="16"/>
      <w:szCs w:val="16"/>
    </w:rPr>
  </w:style>
  <w:style w:type="paragraph" w:customStyle="1" w:styleId="203">
    <w:name w:val="_Style 6"/>
    <w:basedOn w:val="1"/>
    <w:qFormat/>
    <w:uiPriority w:val="0"/>
    <w:pPr>
      <w:tabs>
        <w:tab w:val="left" w:pos="360"/>
      </w:tabs>
    </w:pPr>
    <w:rPr>
      <w:sz w:val="24"/>
      <w:szCs w:val="24"/>
    </w:rPr>
  </w:style>
  <w:style w:type="paragraph" w:customStyle="1" w:styleId="204">
    <w:name w:val="s54"/>
    <w:basedOn w:val="1"/>
    <w:qFormat/>
    <w:uiPriority w:val="0"/>
    <w:pPr>
      <w:widowControl/>
      <w:spacing w:before="100" w:beforeAutospacing="1" w:after="100" w:afterAutospacing="1"/>
      <w:jc w:val="left"/>
    </w:pPr>
    <w:rPr>
      <w:rFonts w:ascii="宋体" w:hAnsi="宋体" w:cs="宋体"/>
      <w:kern w:val="0"/>
    </w:rPr>
  </w:style>
  <w:style w:type="paragraph" w:customStyle="1" w:styleId="205">
    <w:name w:val="样式2"/>
    <w:basedOn w:val="1"/>
    <w:qFormat/>
    <w:uiPriority w:val="99"/>
    <w:pPr>
      <w:adjustRightInd w:val="0"/>
      <w:spacing w:line="410" w:lineRule="atLeast"/>
      <w:jc w:val="left"/>
      <w:textAlignment w:val="baseline"/>
    </w:pPr>
    <w:rPr>
      <w:kern w:val="0"/>
      <w:sz w:val="24"/>
    </w:rPr>
  </w:style>
  <w:style w:type="paragraph" w:customStyle="1" w:styleId="206">
    <w:name w:val="正文_0"/>
    <w:basedOn w:val="1"/>
    <w:qFormat/>
    <w:uiPriority w:val="0"/>
    <w:pPr>
      <w:spacing w:line="360" w:lineRule="auto"/>
    </w:pPr>
    <w:rPr>
      <w:rFonts w:eastAsia="仿宋_GB2312"/>
      <w:sz w:val="32"/>
      <w:szCs w:val="32"/>
    </w:rPr>
  </w:style>
  <w:style w:type="paragraph" w:customStyle="1" w:styleId="207">
    <w:name w:val="不缩进"/>
    <w:basedOn w:val="1"/>
    <w:qFormat/>
    <w:uiPriority w:val="0"/>
    <w:pPr>
      <w:snapToGrid w:val="0"/>
      <w:jc w:val="center"/>
      <w:textAlignment w:val="top"/>
    </w:pPr>
    <w:rPr>
      <w:rFonts w:eastAsia="楷体_GB2312"/>
      <w:sz w:val="28"/>
    </w:rPr>
  </w:style>
  <w:style w:type="paragraph" w:customStyle="1" w:styleId="208">
    <w:name w:val="标题 61"/>
    <w:basedOn w:val="1"/>
    <w:next w:val="1"/>
    <w:qFormat/>
    <w:uiPriority w:val="0"/>
    <w:pPr>
      <w:keepNext/>
      <w:keepLines/>
      <w:tabs>
        <w:tab w:val="left" w:pos="4589"/>
      </w:tabs>
      <w:spacing w:before="240" w:line="317" w:lineRule="auto"/>
      <w:ind w:left="3000"/>
      <w:outlineLvl w:val="5"/>
    </w:pPr>
    <w:rPr>
      <w:rFonts w:ascii="Arial" w:hAnsi="Arial" w:eastAsia="黑体"/>
      <w:b/>
      <w:bCs/>
      <w:kern w:val="0"/>
      <w:sz w:val="24"/>
      <w:szCs w:val="24"/>
    </w:rPr>
  </w:style>
  <w:style w:type="paragraph" w:customStyle="1" w:styleId="209">
    <w:name w:val="Table Contents"/>
    <w:basedOn w:val="1"/>
    <w:qFormat/>
    <w:uiPriority w:val="0"/>
    <w:pPr>
      <w:suppressLineNumbers/>
    </w:pPr>
  </w:style>
  <w:style w:type="paragraph" w:customStyle="1" w:styleId="210">
    <w:name w:val="tableau"/>
    <w:basedOn w:val="1"/>
    <w:qFormat/>
    <w:uiPriority w:val="99"/>
    <w:pPr>
      <w:widowControl/>
      <w:spacing w:before="20" w:after="20"/>
      <w:jc w:val="center"/>
    </w:pPr>
    <w:rPr>
      <w:rFonts w:ascii="Arial" w:hAnsi="Arial" w:cs="Arial"/>
      <w:kern w:val="0"/>
      <w:sz w:val="16"/>
      <w:szCs w:val="16"/>
      <w:lang w:val="en-GB" w:eastAsia="en-US"/>
    </w:rPr>
  </w:style>
  <w:style w:type="paragraph" w:customStyle="1" w:styleId="211">
    <w:name w:val="00"/>
    <w:basedOn w:val="1"/>
    <w:qFormat/>
    <w:uiPriority w:val="0"/>
    <w:pPr>
      <w:spacing w:line="400" w:lineRule="exact"/>
    </w:pPr>
    <w:rPr>
      <w:rFonts w:ascii="宋体" w:hAnsi="宋体"/>
      <w:kern w:val="0"/>
      <w:sz w:val="24"/>
      <w:szCs w:val="24"/>
    </w:rPr>
  </w:style>
  <w:style w:type="paragraph" w:customStyle="1" w:styleId="212">
    <w:name w:val="List Paragraph1"/>
    <w:basedOn w:val="1"/>
    <w:qFormat/>
    <w:uiPriority w:val="0"/>
    <w:pPr>
      <w:ind w:firstLine="420" w:firstLineChars="200"/>
    </w:pPr>
    <w:rPr>
      <w:rFonts w:cs="Tahoma"/>
      <w:kern w:val="0"/>
      <w:sz w:val="20"/>
      <w:szCs w:val="20"/>
    </w:rPr>
  </w:style>
  <w:style w:type="paragraph" w:customStyle="1" w:styleId="213">
    <w:name w:val="_Style 2"/>
    <w:basedOn w:val="1"/>
    <w:qFormat/>
    <w:uiPriority w:val="0"/>
    <w:pPr>
      <w:tabs>
        <w:tab w:val="left" w:pos="360"/>
      </w:tabs>
    </w:pPr>
    <w:rPr>
      <w:sz w:val="24"/>
      <w:szCs w:val="24"/>
    </w:rPr>
  </w:style>
  <w:style w:type="paragraph" w:customStyle="1" w:styleId="214">
    <w:name w:val="_Style 12"/>
    <w:basedOn w:val="1"/>
    <w:qFormat/>
    <w:uiPriority w:val="0"/>
    <w:pPr>
      <w:spacing w:line="360" w:lineRule="auto"/>
    </w:pPr>
  </w:style>
  <w:style w:type="paragraph" w:customStyle="1" w:styleId="215">
    <w:name w:val=" Char Char Char Char Char Char Char"/>
    <w:basedOn w:val="1"/>
    <w:qFormat/>
    <w:uiPriority w:val="0"/>
    <w:pPr>
      <w:tabs>
        <w:tab w:val="left" w:pos="0"/>
      </w:tabs>
      <w:outlineLvl w:val="0"/>
    </w:pPr>
    <w:rPr>
      <w:szCs w:val="24"/>
    </w:rPr>
  </w:style>
  <w:style w:type="paragraph" w:customStyle="1" w:styleId="216">
    <w:name w:val="日期1"/>
    <w:basedOn w:val="1"/>
    <w:next w:val="1"/>
    <w:qFormat/>
    <w:uiPriority w:val="0"/>
    <w:rPr>
      <w:rFonts w:ascii="宋体" w:hAnsi="Calibri"/>
      <w:b/>
      <w:kern w:val="0"/>
      <w:sz w:val="44"/>
    </w:rPr>
  </w:style>
  <w:style w:type="paragraph" w:customStyle="1" w:styleId="217">
    <w:name w:val=" Char Char1"/>
    <w:basedOn w:val="1"/>
    <w:qFormat/>
    <w:uiPriority w:val="0"/>
    <w:pPr>
      <w:adjustRightInd w:val="0"/>
      <w:spacing w:line="360" w:lineRule="auto"/>
    </w:pPr>
  </w:style>
  <w:style w:type="paragraph" w:customStyle="1" w:styleId="218">
    <w:name w:val="标题3"/>
    <w:basedOn w:val="6"/>
    <w:qFormat/>
    <w:uiPriority w:val="0"/>
    <w:pPr>
      <w:numPr>
        <w:ilvl w:val="1"/>
        <w:numId w:val="0"/>
      </w:numPr>
      <w:tabs>
        <w:tab w:val="clear" w:pos="425"/>
      </w:tabs>
      <w:adjustRightInd/>
      <w:snapToGrid/>
      <w:ind w:firstLine="561"/>
      <w:outlineLvl w:val="2"/>
    </w:pPr>
    <w:rPr>
      <w:rFonts w:ascii="Arial"/>
      <w:bCs/>
      <w:kern w:val="0"/>
      <w:szCs w:val="32"/>
    </w:rPr>
  </w:style>
  <w:style w:type="paragraph" w:customStyle="1" w:styleId="219">
    <w:name w:val="cucd-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220">
    <w:name w:val="Char Char Char Char Char Char"/>
    <w:basedOn w:val="20"/>
    <w:qFormat/>
    <w:uiPriority w:val="99"/>
    <w:pPr>
      <w:adjustRightInd w:val="0"/>
      <w:spacing w:line="436" w:lineRule="exact"/>
      <w:ind w:left="357"/>
      <w:jc w:val="left"/>
      <w:outlineLvl w:val="3"/>
    </w:pPr>
    <w:rPr>
      <w:rFonts w:ascii="Tahoma" w:hAnsi="Tahoma" w:cs="Tahoma"/>
      <w:b/>
      <w:bCs/>
      <w:sz w:val="24"/>
      <w:szCs w:val="24"/>
    </w:rPr>
  </w:style>
  <w:style w:type="paragraph" w:customStyle="1" w:styleId="221">
    <w:name w:val="Char Char Char Char Char Char Char"/>
    <w:basedOn w:val="20"/>
    <w:qFormat/>
    <w:uiPriority w:val="99"/>
    <w:pPr>
      <w:spacing w:line="360" w:lineRule="auto"/>
    </w:pPr>
    <w:rPr>
      <w:rFonts w:ascii="Tahoma" w:hAnsi="Tahoma" w:cs="Tahoma"/>
      <w:sz w:val="24"/>
      <w:szCs w:val="24"/>
    </w:rPr>
  </w:style>
  <w:style w:type="paragraph" w:customStyle="1" w:styleId="222">
    <w:name w:val="TOC 标题1"/>
    <w:basedOn w:val="5"/>
    <w:next w:val="1"/>
    <w:qFormat/>
    <w:uiPriority w:val="0"/>
    <w:pPr>
      <w:widowControl/>
      <w:spacing w:before="480" w:after="0" w:line="276" w:lineRule="auto"/>
      <w:jc w:val="left"/>
      <w:outlineLvl w:val="9"/>
    </w:pPr>
    <w:rPr>
      <w:rFonts w:ascii="Cambria" w:hAnsi="Cambria"/>
      <w:color w:val="527D55"/>
      <w:kern w:val="0"/>
      <w:sz w:val="28"/>
      <w:szCs w:val="28"/>
    </w:rPr>
  </w:style>
  <w:style w:type="paragraph" w:customStyle="1" w:styleId="223">
    <w:name w:val="_Style 7"/>
    <w:basedOn w:val="5"/>
    <w:next w:val="1"/>
    <w:qFormat/>
    <w:uiPriority w:val="0"/>
    <w:pPr>
      <w:widowControl/>
      <w:spacing w:before="480" w:after="0" w:line="276" w:lineRule="auto"/>
      <w:jc w:val="left"/>
      <w:outlineLvl w:val="9"/>
    </w:pPr>
    <w:rPr>
      <w:rFonts w:ascii="Cambria" w:hAnsi="Cambria"/>
      <w:b w:val="0"/>
      <w:bCs w:val="0"/>
      <w:color w:val="365F91"/>
      <w:kern w:val="0"/>
      <w:sz w:val="28"/>
      <w:szCs w:val="28"/>
    </w:rPr>
  </w:style>
  <w:style w:type="paragraph" w:customStyle="1" w:styleId="22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25">
    <w:name w:val="标题 71"/>
    <w:basedOn w:val="1"/>
    <w:next w:val="1"/>
    <w:qFormat/>
    <w:uiPriority w:val="0"/>
    <w:pPr>
      <w:keepNext/>
      <w:keepLines/>
      <w:tabs>
        <w:tab w:val="left" w:pos="5009"/>
      </w:tabs>
      <w:spacing w:before="240" w:line="320" w:lineRule="atLeast"/>
      <w:ind w:left="3420"/>
      <w:outlineLvl w:val="6"/>
    </w:pPr>
    <w:rPr>
      <w:b/>
      <w:bCs/>
      <w:kern w:val="0"/>
      <w:sz w:val="24"/>
      <w:szCs w:val="24"/>
    </w:rPr>
  </w:style>
  <w:style w:type="paragraph" w:customStyle="1" w:styleId="226">
    <w:name w:val="标题 31"/>
    <w:basedOn w:val="1"/>
    <w:next w:val="1"/>
    <w:qFormat/>
    <w:uiPriority w:val="0"/>
    <w:pPr>
      <w:tabs>
        <w:tab w:val="left" w:pos="3329"/>
      </w:tabs>
      <w:spacing w:beforeLines="150" w:line="400" w:lineRule="exact"/>
      <w:ind w:left="1740"/>
      <w:jc w:val="left"/>
      <w:outlineLvl w:val="2"/>
    </w:pPr>
    <w:rPr>
      <w:b/>
      <w:bCs/>
      <w:i/>
      <w:kern w:val="0"/>
      <w:sz w:val="28"/>
      <w:szCs w:val="32"/>
    </w:rPr>
  </w:style>
  <w:style w:type="paragraph" w:customStyle="1" w:styleId="227">
    <w:name w:val="列出段落1"/>
    <w:basedOn w:val="1"/>
    <w:qFormat/>
    <w:uiPriority w:val="34"/>
    <w:pPr>
      <w:spacing w:line="360" w:lineRule="auto"/>
      <w:ind w:firstLine="420" w:firstLineChars="200"/>
    </w:pPr>
    <w:rPr>
      <w:rFonts w:ascii="Calibri" w:hAnsi="Calibri"/>
      <w:sz w:val="24"/>
      <w:szCs w:val="22"/>
    </w:rPr>
  </w:style>
  <w:style w:type="paragraph" w:customStyle="1" w:styleId="228">
    <w:name w:val="标题1"/>
    <w:basedOn w:val="1"/>
    <w:next w:val="1"/>
    <w:qFormat/>
    <w:uiPriority w:val="99"/>
    <w:pPr>
      <w:jc w:val="center"/>
    </w:pPr>
    <w:rPr>
      <w:b/>
      <w:bCs/>
      <w:sz w:val="44"/>
      <w:szCs w:val="44"/>
    </w:rPr>
  </w:style>
  <w:style w:type="paragraph" w:customStyle="1" w:styleId="229">
    <w:name w:val="列出段落11"/>
    <w:basedOn w:val="1"/>
    <w:qFormat/>
    <w:uiPriority w:val="0"/>
    <w:pPr>
      <w:ind w:firstLine="420" w:firstLineChars="200"/>
    </w:pPr>
    <w:rPr>
      <w:rFonts w:ascii="Calibri" w:hAnsi="Calibri"/>
      <w:szCs w:val="22"/>
    </w:rPr>
  </w:style>
  <w:style w:type="paragraph" w:customStyle="1" w:styleId="230">
    <w:name w:val="无间隔1"/>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231">
    <w:name w:val="列出段落2"/>
    <w:basedOn w:val="1"/>
    <w:qFormat/>
    <w:uiPriority w:val="34"/>
    <w:pPr>
      <w:ind w:firstLine="420" w:firstLineChars="200"/>
    </w:pPr>
    <w:rPr>
      <w:rFonts w:ascii="Calibri" w:hAnsi="Calibri"/>
      <w:szCs w:val="22"/>
    </w:rPr>
  </w:style>
  <w:style w:type="paragraph" w:customStyle="1" w:styleId="232">
    <w:name w:val="Char Char Char Char Char"/>
    <w:basedOn w:val="1"/>
    <w:qFormat/>
    <w:uiPriority w:val="0"/>
    <w:pPr>
      <w:snapToGrid w:val="0"/>
      <w:spacing w:line="440" w:lineRule="atLeast"/>
    </w:pPr>
    <w:rPr>
      <w:rFonts w:ascii="宋体"/>
      <w:sz w:val="24"/>
      <w:szCs w:val="24"/>
    </w:rPr>
  </w:style>
  <w:style w:type="paragraph" w:customStyle="1" w:styleId="233">
    <w:name w:val="项目"/>
    <w:basedOn w:val="18"/>
    <w:qFormat/>
    <w:uiPriority w:val="0"/>
    <w:pPr>
      <w:keepNext/>
      <w:keepLines/>
      <w:numPr>
        <w:ilvl w:val="0"/>
        <w:numId w:val="2"/>
      </w:numPr>
    </w:pPr>
    <w:rPr>
      <w:sz w:val="24"/>
    </w:rPr>
  </w:style>
  <w:style w:type="paragraph" w:customStyle="1" w:styleId="234">
    <w:name w:val="Table Paragraph"/>
    <w:basedOn w:val="1"/>
    <w:qFormat/>
    <w:uiPriority w:val="1"/>
  </w:style>
  <w:style w:type="paragraph" w:customStyle="1" w:styleId="235">
    <w:name w:val="Char Char Char Char Char Char Char Char Char Char"/>
    <w:basedOn w:val="1"/>
    <w:qFormat/>
    <w:uiPriority w:val="0"/>
    <w:rPr>
      <w:rFonts w:ascii="Verdana" w:hAnsi="Verdana"/>
      <w:kern w:val="0"/>
      <w:lang w:eastAsia="en-US"/>
    </w:rPr>
  </w:style>
  <w:style w:type="paragraph" w:customStyle="1" w:styleId="236">
    <w:name w:val="标题 91"/>
    <w:basedOn w:val="1"/>
    <w:next w:val="1"/>
    <w:qFormat/>
    <w:uiPriority w:val="0"/>
    <w:pPr>
      <w:keepNext/>
      <w:keepLines/>
      <w:tabs>
        <w:tab w:val="left" w:pos="5849"/>
      </w:tabs>
      <w:spacing w:before="240" w:line="320" w:lineRule="atLeast"/>
      <w:ind w:left="4260"/>
      <w:outlineLvl w:val="8"/>
    </w:pPr>
    <w:rPr>
      <w:rFonts w:ascii="Arial" w:hAnsi="Arial" w:eastAsia="黑体"/>
      <w:kern w:val="0"/>
      <w:szCs w:val="21"/>
    </w:rPr>
  </w:style>
  <w:style w:type="paragraph" w:customStyle="1" w:styleId="237">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8">
    <w:name w:val="Table Heading"/>
    <w:basedOn w:val="209"/>
    <w:qFormat/>
    <w:uiPriority w:val="0"/>
    <w:pPr>
      <w:jc w:val="center"/>
    </w:pPr>
    <w:rPr>
      <w:b/>
      <w:bCs/>
    </w:rPr>
  </w:style>
  <w:style w:type="paragraph" w:customStyle="1" w:styleId="239">
    <w:name w:val="文档正文"/>
    <w:basedOn w:val="1"/>
    <w:qFormat/>
    <w:uiPriority w:val="0"/>
    <w:pPr>
      <w:spacing w:line="360" w:lineRule="auto"/>
    </w:pPr>
    <w:rPr>
      <w:rFonts w:ascii="Arial" w:hAnsi="Arial" w:cs="Arial"/>
    </w:rPr>
  </w:style>
  <w:style w:type="paragraph" w:customStyle="1" w:styleId="240">
    <w:name w:val="标题 41"/>
    <w:basedOn w:val="1"/>
    <w:next w:val="1"/>
    <w:qFormat/>
    <w:uiPriority w:val="0"/>
    <w:pPr>
      <w:tabs>
        <w:tab w:val="left" w:pos="720"/>
        <w:tab w:val="left" w:pos="3749"/>
      </w:tabs>
      <w:spacing w:line="400" w:lineRule="exact"/>
      <w:ind w:left="566" w:hanging="566" w:hangingChars="236"/>
      <w:outlineLvl w:val="3"/>
    </w:pPr>
    <w:rPr>
      <w:bCs/>
      <w:kern w:val="0"/>
      <w:sz w:val="24"/>
      <w:szCs w:val="28"/>
    </w:rPr>
  </w:style>
  <w:style w:type="paragraph" w:customStyle="1" w:styleId="241">
    <w:name w:val=" Char"/>
    <w:basedOn w:val="1"/>
    <w:qFormat/>
    <w:uiPriority w:val="0"/>
    <w:pPr>
      <w:tabs>
        <w:tab w:val="left" w:pos="360"/>
      </w:tabs>
    </w:pPr>
    <w:rPr>
      <w:sz w:val="24"/>
      <w:szCs w:val="24"/>
    </w:rPr>
  </w:style>
  <w:style w:type="paragraph" w:customStyle="1" w:styleId="242">
    <w:name w:val="_Style 3"/>
    <w:basedOn w:val="1"/>
    <w:next w:val="43"/>
    <w:qFormat/>
    <w:uiPriority w:val="0"/>
    <w:pPr>
      <w:ind w:firstLine="420" w:firstLineChars="200"/>
    </w:pPr>
    <w:rPr>
      <w:sz w:val="20"/>
    </w:rPr>
  </w:style>
  <w:style w:type="paragraph" w:customStyle="1" w:styleId="243">
    <w:name w:val="投标文件3"/>
    <w:basedOn w:val="1"/>
    <w:qFormat/>
    <w:uiPriority w:val="0"/>
    <w:pPr>
      <w:widowControl/>
      <w:spacing w:line="360" w:lineRule="auto"/>
    </w:pPr>
    <w:rPr>
      <w:rFonts w:ascii="宋体" w:hAnsi="Courier New" w:eastAsia="黑体"/>
      <w:b/>
      <w:sz w:val="30"/>
    </w:rPr>
  </w:style>
  <w:style w:type="paragraph" w:styleId="244">
    <w:name w:val="List Paragraph"/>
    <w:basedOn w:val="1"/>
    <w:qFormat/>
    <w:uiPriority w:val="34"/>
    <w:pPr>
      <w:ind w:firstLine="420" w:firstLineChars="200"/>
    </w:pPr>
  </w:style>
  <w:style w:type="paragraph" w:customStyle="1" w:styleId="245">
    <w:name w:val="表格文字"/>
    <w:basedOn w:val="1"/>
    <w:qFormat/>
    <w:uiPriority w:val="0"/>
    <w:pPr>
      <w:spacing w:before="25" w:after="25"/>
      <w:jc w:val="left"/>
    </w:pPr>
    <w:rPr>
      <w:bCs/>
      <w:spacing w:val="10"/>
      <w:kern w:val="0"/>
      <w:sz w:val="24"/>
      <w:szCs w:val="20"/>
    </w:rPr>
  </w:style>
  <w:style w:type="paragraph" w:customStyle="1" w:styleId="246">
    <w:name w:val="_Style 161"/>
    <w:basedOn w:val="1"/>
    <w:qFormat/>
    <w:uiPriority w:val="0"/>
    <w:rPr>
      <w:rFonts w:eastAsia="Times New Roman"/>
      <w:sz w:val="24"/>
      <w:szCs w:val="24"/>
    </w:rPr>
  </w:style>
  <w:style w:type="paragraph" w:customStyle="1" w:styleId="247">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48">
    <w:name w:val="正文 New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249">
    <w:name w:val="Char Char Char1 Char Char Char Char"/>
    <w:basedOn w:val="1"/>
    <w:qFormat/>
    <w:uiPriority w:val="99"/>
    <w:rPr>
      <w:sz w:val="30"/>
      <w:szCs w:val="30"/>
    </w:rPr>
  </w:style>
  <w:style w:type="paragraph" w:customStyle="1" w:styleId="250">
    <w:name w:val="批注框文本 Char Char"/>
    <w:basedOn w:val="1"/>
    <w:qFormat/>
    <w:uiPriority w:val="0"/>
    <w:pPr>
      <w:widowControl/>
      <w:jc w:val="left"/>
    </w:pPr>
    <w:rPr>
      <w:kern w:val="0"/>
      <w:sz w:val="18"/>
    </w:rPr>
  </w:style>
  <w:style w:type="paragraph" w:customStyle="1" w:styleId="251">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252">
    <w:name w:val="正文文本缩进 31"/>
    <w:basedOn w:val="1"/>
    <w:qFormat/>
    <w:uiPriority w:val="0"/>
    <w:pPr>
      <w:spacing w:after="120"/>
      <w:ind w:left="420" w:leftChars="200"/>
    </w:pPr>
    <w:rPr>
      <w:rFonts w:ascii="Calibri" w:hAnsi="Calibri"/>
      <w:kern w:val="0"/>
      <w:sz w:val="16"/>
      <w:szCs w:val="16"/>
    </w:rPr>
  </w:style>
  <w:style w:type="paragraph" w:customStyle="1" w:styleId="253">
    <w:name w:val="正文缩进1"/>
    <w:basedOn w:val="1"/>
    <w:qFormat/>
    <w:uiPriority w:val="0"/>
    <w:pPr>
      <w:ind w:firstLine="420"/>
    </w:pPr>
    <w:rPr>
      <w:sz w:val="24"/>
    </w:rPr>
  </w:style>
  <w:style w:type="paragraph" w:customStyle="1" w:styleId="254">
    <w:name w:val="_Style 253"/>
    <w:basedOn w:val="5"/>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55">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256">
    <w:name w:val="普通 (Web)"/>
    <w:basedOn w:val="1"/>
    <w:qFormat/>
    <w:uiPriority w:val="99"/>
    <w:pPr>
      <w:spacing w:before="100" w:beforeAutospacing="1" w:after="100" w:afterAutospacing="1" w:line="360" w:lineRule="auto"/>
      <w:jc w:val="left"/>
    </w:pPr>
    <w:rPr>
      <w:rFonts w:ascii="宋体" w:cs="宋体"/>
      <w:kern w:val="0"/>
      <w:sz w:val="28"/>
      <w:szCs w:val="28"/>
    </w:rPr>
  </w:style>
  <w:style w:type="paragraph" w:customStyle="1" w:styleId="257">
    <w:name w:val="p0"/>
    <w:qFormat/>
    <w:uiPriority w:val="0"/>
    <w:rPr>
      <w:rFonts w:ascii="Times New Roman" w:hAnsi="Times New Roman" w:eastAsia="宋体" w:cs="Times New Roman"/>
      <w:szCs w:val="21"/>
      <w:lang w:val="en-US" w:eastAsia="zh-CN" w:bidi="ar-SA"/>
    </w:rPr>
  </w:style>
  <w:style w:type="paragraph" w:customStyle="1" w:styleId="258">
    <w:name w:val="正文文本 21"/>
    <w:basedOn w:val="1"/>
    <w:qFormat/>
    <w:uiPriority w:val="0"/>
    <w:pPr>
      <w:spacing w:after="120" w:line="480" w:lineRule="auto"/>
    </w:pPr>
    <w:rPr>
      <w:rFonts w:ascii="Calibri" w:hAnsi="Calibri"/>
      <w:kern w:val="0"/>
      <w:sz w:val="20"/>
      <w:szCs w:val="24"/>
    </w:rPr>
  </w:style>
  <w:style w:type="paragraph" w:customStyle="1" w:styleId="259">
    <w:name w:val="table"/>
    <w:basedOn w:val="1"/>
    <w:qFormat/>
    <w:uiPriority w:val="99"/>
    <w:pPr>
      <w:widowControl/>
      <w:overflowPunct w:val="0"/>
      <w:autoSpaceDE w:val="0"/>
      <w:autoSpaceDN w:val="0"/>
      <w:adjustRightInd w:val="0"/>
      <w:spacing w:before="60" w:after="60"/>
      <w:jc w:val="center"/>
      <w:textAlignment w:val="baseline"/>
    </w:pPr>
    <w:rPr>
      <w:rFonts w:ascii="仿宋体" w:eastAsia="仿宋体" w:cs="仿宋体"/>
      <w:kern w:val="0"/>
      <w:sz w:val="24"/>
      <w:szCs w:val="24"/>
    </w:rPr>
  </w:style>
  <w:style w:type="paragraph" w:customStyle="1" w:styleId="260">
    <w:name w:val="标书正文格式"/>
    <w:qFormat/>
    <w:uiPriority w:val="0"/>
    <w:pPr>
      <w:spacing w:line="360" w:lineRule="auto"/>
      <w:ind w:firstLine="200" w:firstLineChars="200"/>
    </w:pPr>
    <w:rPr>
      <w:rFonts w:ascii="Times New Roman" w:hAnsi="Times New Roman" w:eastAsia="仿宋_GB2312" w:cs="Times New Roman"/>
      <w:kern w:val="2"/>
      <w:sz w:val="30"/>
      <w:szCs w:val="24"/>
      <w:lang w:val="en-US" w:eastAsia="zh-CN" w:bidi="ar-SA"/>
    </w:rPr>
  </w:style>
  <w:style w:type="paragraph" w:customStyle="1" w:styleId="261">
    <w:name w:val="Char1 Char Char Char"/>
    <w:basedOn w:val="1"/>
    <w:qFormat/>
    <w:uiPriority w:val="0"/>
    <w:rPr>
      <w:rFonts w:eastAsia="Times New Roman"/>
      <w:kern w:val="0"/>
      <w:sz w:val="20"/>
    </w:rPr>
  </w:style>
  <w:style w:type="paragraph" w:customStyle="1" w:styleId="262">
    <w:name w:val="默认段落字体 Para Char Char Char Char Char Char Char"/>
    <w:basedOn w:val="1"/>
    <w:qFormat/>
    <w:uiPriority w:val="0"/>
    <w:rPr>
      <w:rFonts w:eastAsia="仿宋_GB2312"/>
      <w:sz w:val="28"/>
      <w:szCs w:val="24"/>
    </w:rPr>
  </w:style>
  <w:style w:type="paragraph" w:customStyle="1" w:styleId="263">
    <w:name w:val="正文(首行缩进2字)"/>
    <w:basedOn w:val="1"/>
    <w:next w:val="1"/>
    <w:qFormat/>
    <w:uiPriority w:val="0"/>
    <w:pPr>
      <w:adjustRightInd w:val="0"/>
      <w:spacing w:line="360" w:lineRule="auto"/>
      <w:ind w:left="541" w:leftChars="229" w:hanging="60" w:hangingChars="25"/>
      <w:jc w:val="left"/>
      <w:textAlignment w:val="baseline"/>
    </w:pPr>
    <w:rPr>
      <w:color w:val="000000"/>
      <w:kern w:val="0"/>
      <w:sz w:val="28"/>
      <w:szCs w:val="21"/>
    </w:rPr>
  </w:style>
  <w:style w:type="paragraph" w:customStyle="1" w:styleId="26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65">
    <w:name w:val="s23"/>
    <w:basedOn w:val="1"/>
    <w:qFormat/>
    <w:uiPriority w:val="0"/>
    <w:pPr>
      <w:widowControl/>
      <w:spacing w:before="100" w:beforeAutospacing="1" w:after="100" w:afterAutospacing="1"/>
      <w:jc w:val="left"/>
    </w:pPr>
    <w:rPr>
      <w:rFonts w:ascii="宋体" w:hAnsi="宋体" w:cs="宋体"/>
      <w:kern w:val="0"/>
    </w:rPr>
  </w:style>
  <w:style w:type="paragraph" w:customStyle="1" w:styleId="266">
    <w:name w:val="1"/>
    <w:basedOn w:val="1"/>
    <w:qFormat/>
    <w:uiPriority w:val="0"/>
    <w:pPr>
      <w:tabs>
        <w:tab w:val="left" w:pos="425"/>
      </w:tabs>
      <w:spacing w:line="360" w:lineRule="auto"/>
    </w:pPr>
    <w:rPr>
      <w:rFonts w:ascii="宋体"/>
      <w:sz w:val="24"/>
    </w:rPr>
  </w:style>
  <w:style w:type="paragraph" w:customStyle="1" w:styleId="267">
    <w:name w:val="7"/>
    <w:basedOn w:val="1"/>
    <w:next w:val="43"/>
    <w:qFormat/>
    <w:uiPriority w:val="99"/>
    <w:pPr>
      <w:widowControl/>
      <w:spacing w:line="360" w:lineRule="auto"/>
      <w:ind w:left="784"/>
    </w:pPr>
    <w:rPr>
      <w:kern w:val="0"/>
      <w:szCs w:val="21"/>
    </w:rPr>
  </w:style>
  <w:style w:type="paragraph" w:customStyle="1" w:styleId="268">
    <w:name w:val="表正文"/>
    <w:basedOn w:val="1"/>
    <w:next w:val="1"/>
    <w:qFormat/>
    <w:uiPriority w:val="0"/>
    <w:rPr>
      <w:rFonts w:ascii="宋体" w:hAnsi="Courier New"/>
    </w:rPr>
  </w:style>
  <w:style w:type="paragraph" w:customStyle="1" w:styleId="269">
    <w:name w:val="_Style 1"/>
    <w:basedOn w:val="1"/>
    <w:qFormat/>
    <w:uiPriority w:val="0"/>
    <w:pPr>
      <w:widowControl w:val="0"/>
      <w:tabs>
        <w:tab w:val="left" w:pos="360"/>
      </w:tabs>
      <w:jc w:val="both"/>
    </w:pPr>
    <w:rPr>
      <w:kern w:val="2"/>
      <w:sz w:val="24"/>
      <w:szCs w:val="24"/>
    </w:rPr>
  </w:style>
  <w:style w:type="paragraph" w:customStyle="1" w:styleId="270">
    <w:name w:val="附录标识"/>
    <w:basedOn w:val="1"/>
    <w:qFormat/>
    <w:uiPriority w:val="99"/>
    <w:pPr>
      <w:widowControl/>
      <w:shd w:val="clear" w:color="auto" w:fill="FFFFFF"/>
      <w:tabs>
        <w:tab w:val="left" w:pos="360"/>
        <w:tab w:val="left" w:pos="6405"/>
      </w:tabs>
      <w:spacing w:before="640" w:after="200"/>
      <w:jc w:val="center"/>
      <w:outlineLvl w:val="0"/>
    </w:pPr>
    <w:rPr>
      <w:rFonts w:ascii="黑体" w:eastAsia="黑体" w:cs="黑体"/>
      <w:kern w:val="0"/>
      <w:szCs w:val="21"/>
    </w:rPr>
  </w:style>
  <w:style w:type="paragraph" w:customStyle="1" w:styleId="271">
    <w:name w:val="标题 3 New"/>
    <w:basedOn w:val="1"/>
    <w:next w:val="1"/>
    <w:qFormat/>
    <w:uiPriority w:val="0"/>
    <w:pPr>
      <w:numPr>
        <w:ilvl w:val="1"/>
        <w:numId w:val="3"/>
      </w:numPr>
      <w:tabs>
        <w:tab w:val="left" w:pos="425"/>
        <w:tab w:val="left" w:pos="851"/>
      </w:tabs>
      <w:spacing w:line="360" w:lineRule="auto"/>
      <w:outlineLvl w:val="2"/>
    </w:pPr>
    <w:rPr>
      <w:rFonts w:ascii="宋体"/>
    </w:rPr>
  </w:style>
  <w:style w:type="paragraph" w:customStyle="1" w:styleId="272">
    <w:name w:val="_Style 5"/>
    <w:basedOn w:val="5"/>
    <w:next w:val="1"/>
    <w:qFormat/>
    <w:uiPriority w:val="39"/>
    <w:pPr>
      <w:pageBreakBefore w:val="0"/>
      <w:widowControl/>
      <w:numPr>
        <w:ilvl w:val="0"/>
        <w:numId w:val="0"/>
      </w:numPr>
      <w:spacing w:before="480" w:after="0" w:afterLines="0" w:line="276" w:lineRule="auto"/>
      <w:jc w:val="left"/>
      <w:outlineLvl w:val="9"/>
    </w:pPr>
    <w:rPr>
      <w:rFonts w:ascii="Cambria" w:hAnsi="Cambria" w:eastAsia="宋体" w:cs="Times New Roman"/>
      <w:color w:val="365F91"/>
      <w:spacing w:val="0"/>
      <w:kern w:val="0"/>
      <w:sz w:val="28"/>
      <w:szCs w:val="28"/>
    </w:rPr>
  </w:style>
  <w:style w:type="paragraph" w:customStyle="1" w:styleId="273">
    <w:name w:val="retrait3"/>
    <w:basedOn w:val="1"/>
    <w:qFormat/>
    <w:uiPriority w:val="99"/>
    <w:pPr>
      <w:widowControl/>
      <w:spacing w:before="20" w:after="20"/>
      <w:ind w:left="851"/>
      <w:jc w:val="left"/>
    </w:pPr>
    <w:rPr>
      <w:rFonts w:ascii="Arial" w:hAnsi="Arial" w:cs="Arial"/>
      <w:kern w:val="0"/>
      <w:sz w:val="24"/>
      <w:szCs w:val="24"/>
      <w:lang w:val="en-GB"/>
    </w:rPr>
  </w:style>
  <w:style w:type="paragraph" w:customStyle="1" w:styleId="274">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paragraph" w:styleId="275">
    <w:name w:val="No Spacing"/>
    <w:qFormat/>
    <w:uiPriority w:val="0"/>
    <w:rPr>
      <w:rFonts w:ascii="Times New Roman" w:hAnsi="Times New Roman" w:eastAsia="Calibri" w:cs="Times New Roman"/>
      <w:sz w:val="22"/>
      <w:szCs w:val="22"/>
      <w:lang w:val="en-US" w:eastAsia="en-US" w:bidi="ar-SA"/>
    </w:rPr>
  </w:style>
  <w:style w:type="paragraph" w:customStyle="1" w:styleId="276">
    <w:name w:val=" Char Char1 Char Char Char Char"/>
    <w:basedOn w:val="20"/>
    <w:qFormat/>
    <w:uiPriority w:val="0"/>
    <w:rPr>
      <w:rFonts w:ascii="Tahoma" w:hAnsi="Tahoma"/>
      <w:kern w:val="0"/>
      <w:sz w:val="24"/>
      <w:szCs w:val="24"/>
    </w:rPr>
  </w:style>
  <w:style w:type="paragraph" w:customStyle="1" w:styleId="277">
    <w:name w:val="_Style 16"/>
    <w:basedOn w:val="251"/>
    <w:qFormat/>
    <w:uiPriority w:val="0"/>
  </w:style>
  <w:style w:type="paragraph" w:customStyle="1" w:styleId="278">
    <w:name w:val="_Style 9"/>
    <w:basedOn w:val="251"/>
    <w:qFormat/>
    <w:uiPriority w:val="0"/>
    <w:rPr>
      <w:rFonts w:ascii="黑体" w:hAnsi="黑体" w:eastAsia="黑体"/>
      <w:b/>
      <w:spacing w:val="10"/>
      <w:kern w:val="44"/>
      <w:sz w:val="30"/>
    </w:rPr>
  </w:style>
  <w:style w:type="paragraph" w:customStyle="1" w:styleId="279">
    <w:name w:val="正文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0">
    <w:name w:val="Char Char Char Char Char2"/>
    <w:basedOn w:val="1"/>
    <w:qFormat/>
    <w:uiPriority w:val="0"/>
    <w:pPr>
      <w:snapToGrid w:val="0"/>
      <w:spacing w:line="440" w:lineRule="atLeast"/>
    </w:pPr>
    <w:rPr>
      <w:rFonts w:ascii="宋体"/>
      <w:sz w:val="24"/>
      <w:szCs w:val="24"/>
    </w:rPr>
  </w:style>
  <w:style w:type="paragraph" w:customStyle="1" w:styleId="281">
    <w:name w:val="缺省文本"/>
    <w:qFormat/>
    <w:uiPriority w:val="0"/>
    <w:pPr>
      <w:widowControl w:val="0"/>
      <w:autoSpaceDE w:val="0"/>
      <w:autoSpaceDN w:val="0"/>
      <w:adjustRightInd w:val="0"/>
    </w:pPr>
    <w:rPr>
      <w:rFonts w:ascii="Times New Roman" w:hAnsi="Times New Roman" w:eastAsia="宋体" w:cs="Times New Roman"/>
      <w:color w:val="000000"/>
      <w:szCs w:val="24"/>
      <w:lang w:val="en-US" w:eastAsia="zh-CN" w:bidi="ar-SA"/>
    </w:rPr>
  </w:style>
  <w:style w:type="paragraph" w:customStyle="1" w:styleId="282">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3">
    <w:name w:val="默认段落字体 Para Char"/>
    <w:basedOn w:val="1"/>
    <w:qFormat/>
    <w:uiPriority w:val="0"/>
    <w:rPr>
      <w:szCs w:val="24"/>
    </w:rPr>
  </w:style>
  <w:style w:type="paragraph" w:customStyle="1" w:styleId="284">
    <w:name w:val="目录"/>
    <w:basedOn w:val="1"/>
    <w:qFormat/>
    <w:uiPriority w:val="0"/>
    <w:pPr>
      <w:widowControl/>
      <w:spacing w:line="480" w:lineRule="auto"/>
      <w:jc w:val="center"/>
    </w:pPr>
    <w:rPr>
      <w:rFonts w:ascii="宋体"/>
      <w:b/>
      <w:kern w:val="0"/>
      <w:sz w:val="24"/>
    </w:rPr>
  </w:style>
  <w:style w:type="paragraph" w:customStyle="1" w:styleId="285">
    <w:name w:val="标书正文1"/>
    <w:basedOn w:val="1"/>
    <w:next w:val="239"/>
    <w:qFormat/>
    <w:uiPriority w:val="0"/>
    <w:pPr>
      <w:tabs>
        <w:tab w:val="left" w:pos="5730"/>
        <w:tab w:val="left" w:pos="8280"/>
      </w:tabs>
      <w:adjustRightInd w:val="0"/>
      <w:snapToGrid w:val="0"/>
      <w:spacing w:line="360" w:lineRule="auto"/>
      <w:ind w:firstLine="480" w:firstLineChars="200"/>
      <w:jc w:val="left"/>
    </w:pPr>
    <w:rPr>
      <w:rFonts w:ascii="仿宋" w:hAnsi="仿宋" w:eastAsia="仿宋"/>
    </w:rPr>
  </w:style>
  <w:style w:type="paragraph" w:customStyle="1" w:styleId="286">
    <w:name w:val="_Style 285"/>
    <w:semiHidden/>
    <w:qFormat/>
    <w:uiPriority w:val="99"/>
    <w:rPr>
      <w:rFonts w:ascii="Times New Roman" w:hAnsi="Times New Roman" w:eastAsia="宋体" w:cs="Times New Roman"/>
      <w:kern w:val="2"/>
      <w:sz w:val="21"/>
      <w:szCs w:val="21"/>
      <w:lang w:val="en-US" w:eastAsia="zh-CN" w:bidi="ar-SA"/>
    </w:rPr>
  </w:style>
  <w:style w:type="paragraph" w:customStyle="1" w:styleId="287">
    <w:name w:val="Char"/>
    <w:basedOn w:val="1"/>
    <w:qFormat/>
    <w:uiPriority w:val="99"/>
    <w:pPr>
      <w:tabs>
        <w:tab w:val="left" w:pos="960"/>
      </w:tabs>
      <w:ind w:left="960" w:hanging="480"/>
    </w:pPr>
    <w:rPr>
      <w:szCs w:val="21"/>
    </w:rPr>
  </w:style>
  <w:style w:type="paragraph" w:customStyle="1" w:styleId="288">
    <w:name w:val="Header 1"/>
    <w:basedOn w:val="1"/>
    <w:qFormat/>
    <w:uiPriority w:val="0"/>
    <w:pPr>
      <w:widowControl/>
      <w:spacing w:after="240"/>
    </w:pPr>
    <w:rPr>
      <w:kern w:val="0"/>
      <w:sz w:val="24"/>
      <w:lang w:val="en-GB"/>
    </w:rPr>
  </w:style>
  <w:style w:type="paragraph" w:customStyle="1" w:styleId="289">
    <w:name w:val="Char Char Char Char Char1"/>
    <w:basedOn w:val="1"/>
    <w:qFormat/>
    <w:uiPriority w:val="0"/>
    <w:pPr>
      <w:snapToGrid w:val="0"/>
      <w:spacing w:line="440" w:lineRule="atLeast"/>
    </w:pPr>
    <w:rPr>
      <w:rFonts w:ascii="宋体"/>
      <w:sz w:val="24"/>
      <w:szCs w:val="24"/>
    </w:rPr>
  </w:style>
  <w:style w:type="paragraph" w:customStyle="1" w:styleId="290">
    <w:name w:val="WPSOffice手动目录 1"/>
    <w:qFormat/>
    <w:uiPriority w:val="0"/>
    <w:rPr>
      <w:rFonts w:ascii="Times New Roman" w:hAnsi="Times New Roman" w:eastAsia="宋体" w:cs="Times New Roman"/>
      <w:lang w:val="en-US" w:eastAsia="zh-CN" w:bidi="ar-SA"/>
    </w:rPr>
  </w:style>
  <w:style w:type="paragraph" w:customStyle="1" w:styleId="291">
    <w:name w:val="CM11"/>
    <w:basedOn w:val="264"/>
    <w:next w:val="264"/>
    <w:qFormat/>
    <w:uiPriority w:val="0"/>
    <w:rPr>
      <w:rFonts w:cs="Times New Roman"/>
      <w:color w:val="auto"/>
    </w:rPr>
  </w:style>
  <w:style w:type="paragraph" w:customStyle="1" w:styleId="292">
    <w:name w:val="标题 81"/>
    <w:basedOn w:val="1"/>
    <w:next w:val="1"/>
    <w:qFormat/>
    <w:uiPriority w:val="0"/>
    <w:pPr>
      <w:keepNext/>
      <w:keepLines/>
      <w:tabs>
        <w:tab w:val="left" w:pos="5429"/>
      </w:tabs>
      <w:spacing w:before="240" w:line="320" w:lineRule="atLeast"/>
      <w:ind w:left="3840"/>
      <w:outlineLvl w:val="7"/>
    </w:pPr>
    <w:rPr>
      <w:rFonts w:ascii="Arial" w:hAnsi="Arial" w:eastAsia="黑体"/>
      <w:kern w:val="0"/>
      <w:sz w:val="24"/>
      <w:szCs w:val="24"/>
    </w:rPr>
  </w:style>
  <w:style w:type="paragraph" w:customStyle="1" w:styleId="293">
    <w:name w:val="正文 + 黑色"/>
    <w:basedOn w:val="1"/>
    <w:qFormat/>
    <w:uiPriority w:val="0"/>
    <w:pPr>
      <w:widowControl/>
      <w:jc w:val="left"/>
    </w:pPr>
    <w:rPr>
      <w:rFonts w:ascii="宋体" w:hAnsi="宋体"/>
      <w:kern w:val="0"/>
    </w:rPr>
  </w:style>
  <w:style w:type="paragraph" w:customStyle="1" w:styleId="294">
    <w:name w:val="样式1"/>
    <w:basedOn w:val="1"/>
    <w:next w:val="18"/>
    <w:qFormat/>
    <w:uiPriority w:val="99"/>
    <w:rPr>
      <w:rFonts w:ascii="宋体" w:hAnsi="Arial Unicode MS" w:cs="宋体"/>
      <w:color w:val="000000"/>
      <w:kern w:val="0"/>
      <w:sz w:val="24"/>
      <w:szCs w:val="24"/>
    </w:rPr>
  </w:style>
  <w:style w:type="paragraph" w:customStyle="1" w:styleId="295">
    <w:name w:val="图"/>
    <w:basedOn w:val="1"/>
    <w:qFormat/>
    <w:uiPriority w:val="99"/>
    <w:pPr>
      <w:keepNext/>
      <w:adjustRightInd w:val="0"/>
      <w:spacing w:before="60" w:after="60" w:line="300" w:lineRule="auto"/>
      <w:jc w:val="center"/>
      <w:textAlignment w:val="center"/>
    </w:pPr>
    <w:rPr>
      <w:spacing w:val="20"/>
      <w:kern w:val="0"/>
      <w:sz w:val="24"/>
      <w:szCs w:val="24"/>
    </w:rPr>
  </w:style>
  <w:style w:type="table" w:customStyle="1" w:styleId="296">
    <w:name w:val="网格型1"/>
    <w:basedOn w:val="54"/>
    <w:qFormat/>
    <w:uiPriority w:val="0"/>
    <w:pPr>
      <w:widowControl w:val="0"/>
    </w:pPr>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
    <w:name w:val="Table Normal"/>
    <w:unhideWhenUsed/>
    <w:qFormat/>
    <w:uiPriority w:val="0"/>
    <w:rPr>
      <w:lang w:val="en-US" w:eastAsia="zh-CN" w:bidi="ar-SA"/>
    </w:rPr>
    <w:tblPr>
      <w:tblCellMar>
        <w:top w:w="0" w:type="dxa"/>
        <w:left w:w="0" w:type="dxa"/>
        <w:bottom w:w="0" w:type="dxa"/>
        <w:right w:w="0" w:type="dxa"/>
      </w:tblCellMar>
    </w:tblPr>
  </w:style>
  <w:style w:type="paragraph" w:customStyle="1" w:styleId="298">
    <w:name w:val="正文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45095</Words>
  <Characters>48256</Characters>
  <Lines>329</Lines>
  <Paragraphs>92</Paragraphs>
  <TotalTime>7</TotalTime>
  <ScaleCrop>false</ScaleCrop>
  <LinksUpToDate>false</LinksUpToDate>
  <CharactersWithSpaces>50286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2023-03-16T23:12:00Z</dcterms:created>
  <dc:creator>lgy</dc:creator>
  <cp:lastModifiedBy>송</cp:lastModifiedBy>
  <cp:lastPrinted>2023-02-18T18:21:00Z</cp:lastPrinted>
  <dcterms:modified xsi:type="dcterms:W3CDTF">2024-08-05T09:07:11Z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9D5A3EF2C6F0499A9BE12C83F78B23FE_13</vt:lpwstr>
  </property>
</Properties>
</file>