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hint="eastAsia" w:eastAsia="宋体" w:cs="宋体" w:asciiTheme="minorEastAsia" w:hAnsiTheme="minorEastAsia"/>
          <w:b/>
          <w:sz w:val="36"/>
          <w:lang w:val="en-US" w:eastAsia="zh-CN"/>
        </w:rPr>
      </w:pPr>
      <w:bookmarkStart w:id="0" w:name="_Hlk137410768"/>
      <w:r>
        <w:rPr>
          <w:rFonts w:hint="eastAsia" w:eastAsia="宋体" w:cs="宋体" w:asciiTheme="minorEastAsia" w:hAnsiTheme="minorEastAsia"/>
          <w:b/>
          <w:sz w:val="36"/>
          <w:lang w:val="en-US" w:eastAsia="zh-CN"/>
        </w:rPr>
        <w:t>第二届鳜鱼论坛搭建执行服务项目</w:t>
      </w:r>
    </w:p>
    <w:bookmarkEnd w:id="0"/>
    <w:p>
      <w:pPr>
        <w:pStyle w:val="10"/>
        <w:spacing w:beforeLines="0" w:afterLines="0"/>
        <w:rPr>
          <w:rFonts w:ascii="Times New Roman" w:hAnsi="Times New Roman" w:cs="Times New Roman"/>
          <w:color w:val="000000"/>
          <w:sz w:val="24"/>
        </w:rPr>
      </w:pPr>
    </w:p>
    <w:p>
      <w:pPr>
        <w:pStyle w:val="13"/>
        <w:ind w:firstLine="210"/>
      </w:pPr>
    </w:p>
    <w:p>
      <w:pPr>
        <w:spacing w:after="0"/>
        <w:jc w:val="center"/>
        <w:rPr>
          <w:rFonts w:asciiTheme="minorEastAsia" w:hAnsiTheme="minorEastAsia" w:eastAsiaTheme="minorEastAsia" w:cstheme="minorEastAsia"/>
          <w:b/>
          <w:bCs/>
          <w:color w:val="000000"/>
          <w:spacing w:val="40"/>
          <w:sz w:val="96"/>
          <w:szCs w:val="96"/>
        </w:rPr>
      </w:pPr>
      <w:r>
        <w:rPr>
          <w:rFonts w:hint="eastAsia" w:asciiTheme="minorEastAsia" w:hAnsiTheme="minorEastAsia" w:eastAsiaTheme="minorEastAsia" w:cstheme="minorEastAsia"/>
          <w:b/>
          <w:bCs/>
          <w:color w:val="000000"/>
          <w:spacing w:val="40"/>
          <w:sz w:val="96"/>
          <w:szCs w:val="96"/>
        </w:rPr>
        <w:t>报</w:t>
      </w:r>
    </w:p>
    <w:p>
      <w:pPr>
        <w:spacing w:after="0"/>
        <w:rPr>
          <w:rFonts w:asciiTheme="minorEastAsia" w:hAnsiTheme="minorEastAsia" w:eastAsiaTheme="minorEastAsia" w:cstheme="minorEastAsia"/>
          <w:b/>
          <w:bCs/>
          <w:color w:val="000000"/>
          <w:spacing w:val="40"/>
          <w:sz w:val="96"/>
          <w:szCs w:val="96"/>
        </w:rPr>
      </w:pPr>
    </w:p>
    <w:p>
      <w:pPr>
        <w:spacing w:after="0"/>
        <w:jc w:val="center"/>
        <w:rPr>
          <w:rFonts w:asciiTheme="minorEastAsia" w:hAnsiTheme="minorEastAsia" w:eastAsiaTheme="minorEastAsia" w:cstheme="minorEastAsia"/>
          <w:b/>
          <w:bCs/>
          <w:color w:val="000000"/>
          <w:spacing w:val="40"/>
          <w:sz w:val="96"/>
          <w:szCs w:val="96"/>
        </w:rPr>
      </w:pPr>
      <w:r>
        <w:rPr>
          <w:rFonts w:hint="eastAsia" w:asciiTheme="minorEastAsia" w:hAnsiTheme="minorEastAsia" w:eastAsiaTheme="minorEastAsia" w:cstheme="minorEastAsia"/>
          <w:b/>
          <w:bCs/>
          <w:color w:val="000000"/>
          <w:spacing w:val="40"/>
          <w:sz w:val="96"/>
          <w:szCs w:val="96"/>
        </w:rPr>
        <w:t>价</w:t>
      </w:r>
    </w:p>
    <w:p>
      <w:pPr>
        <w:spacing w:after="0"/>
        <w:jc w:val="center"/>
        <w:rPr>
          <w:rFonts w:asciiTheme="minorEastAsia" w:hAnsiTheme="minorEastAsia" w:eastAsiaTheme="minorEastAsia" w:cstheme="minorEastAsia"/>
          <w:b/>
          <w:bCs/>
          <w:color w:val="000000"/>
          <w:spacing w:val="40"/>
          <w:sz w:val="96"/>
          <w:szCs w:val="96"/>
        </w:rPr>
      </w:pPr>
    </w:p>
    <w:p>
      <w:pPr>
        <w:spacing w:after="0"/>
        <w:jc w:val="center"/>
        <w:rPr>
          <w:rFonts w:asciiTheme="minorEastAsia" w:hAnsiTheme="minorEastAsia" w:eastAsiaTheme="minorEastAsia" w:cstheme="minorEastAsia"/>
          <w:b/>
          <w:bCs/>
          <w:color w:val="000000"/>
          <w:spacing w:val="40"/>
          <w:sz w:val="44"/>
          <w:szCs w:val="44"/>
        </w:rPr>
      </w:pPr>
      <w:r>
        <w:rPr>
          <w:rFonts w:hint="eastAsia" w:asciiTheme="minorEastAsia" w:hAnsiTheme="minorEastAsia" w:eastAsiaTheme="minorEastAsia" w:cstheme="minorEastAsia"/>
          <w:b/>
          <w:bCs/>
          <w:color w:val="000000"/>
          <w:spacing w:val="40"/>
          <w:sz w:val="96"/>
          <w:szCs w:val="96"/>
        </w:rPr>
        <w:t>函</w:t>
      </w:r>
    </w:p>
    <w:p>
      <w:pPr>
        <w:spacing w:after="0"/>
        <w:jc w:val="center"/>
        <w:rPr>
          <w:rFonts w:asciiTheme="minorEastAsia" w:hAnsiTheme="minorEastAsia" w:eastAsiaTheme="minorEastAsia" w:cstheme="minorEastAsia"/>
          <w:b/>
          <w:color w:val="000000"/>
        </w:rPr>
      </w:pPr>
    </w:p>
    <w:p>
      <w:pPr>
        <w:spacing w:after="0" w:line="400" w:lineRule="exact"/>
        <w:rPr>
          <w:rFonts w:ascii="Times New Roman" w:hAnsi="Times New Roman" w:cs="Times New Roman"/>
          <w:b/>
          <w:color w:val="000000"/>
          <w:sz w:val="24"/>
        </w:rPr>
      </w:pPr>
    </w:p>
    <w:p>
      <w:pPr>
        <w:spacing w:after="0" w:line="400" w:lineRule="exact"/>
        <w:jc w:val="center"/>
        <w:rPr>
          <w:rFonts w:ascii="Times New Roman" w:hAnsi="Times New Roman" w:cs="Times New Roman"/>
          <w:b/>
          <w:color w:val="000000"/>
          <w:sz w:val="24"/>
        </w:rPr>
      </w:pPr>
    </w:p>
    <w:p>
      <w:pPr>
        <w:pStyle w:val="13"/>
        <w:ind w:firstLine="240"/>
        <w:rPr>
          <w:rFonts w:ascii="Times New Roman" w:hAnsi="Times New Roman" w:cs="Times New Roman"/>
          <w:b/>
          <w:color w:val="000000"/>
          <w:sz w:val="24"/>
        </w:rPr>
      </w:pPr>
    </w:p>
    <w:p>
      <w:pPr>
        <w:spacing w:after="0" w:line="400" w:lineRule="exact"/>
        <w:rPr>
          <w:rFonts w:ascii="Times New Roman" w:hAnsi="Times New Roman" w:cs="Times New Roman"/>
          <w:b/>
          <w:color w:val="000000"/>
          <w:sz w:val="24"/>
        </w:rPr>
      </w:pPr>
    </w:p>
    <w:p>
      <w:pPr>
        <w:spacing w:after="0" w:line="400" w:lineRule="exact"/>
        <w:ind w:left="2940" w:leftChars="1400"/>
        <w:jc w:val="left"/>
        <w:rPr>
          <w:rFonts w:ascii="Times New Roman" w:hAnsi="Times New Roman" w:eastAsia="黑体" w:cs="Times New Roman"/>
          <w:color w:val="000000"/>
          <w:sz w:val="24"/>
        </w:rPr>
      </w:pPr>
      <w:r>
        <w:rPr>
          <w:rFonts w:ascii="Times New Roman" w:hAnsi="Times New Roman" w:eastAsia="黑体" w:cs="Times New Roman"/>
          <w:color w:val="000000"/>
          <w:sz w:val="24"/>
        </w:rPr>
        <w:t>报价供应商：</w:t>
      </w:r>
    </w:p>
    <w:p>
      <w:pPr>
        <w:spacing w:after="0" w:line="400" w:lineRule="exact"/>
        <w:ind w:left="2940" w:leftChars="1400"/>
        <w:jc w:val="left"/>
        <w:rPr>
          <w:rFonts w:ascii="Times New Roman" w:hAnsi="Times New Roman" w:eastAsia="黑体" w:cs="Times New Roman"/>
          <w:color w:val="000000"/>
          <w:sz w:val="24"/>
        </w:rPr>
      </w:pPr>
      <w:r>
        <w:rPr>
          <w:rFonts w:ascii="Times New Roman" w:hAnsi="Times New Roman" w:eastAsia="黑体" w:cs="Times New Roman"/>
          <w:color w:val="000000"/>
          <w:sz w:val="24"/>
        </w:rPr>
        <w:t>联系人：</w:t>
      </w:r>
    </w:p>
    <w:p>
      <w:pPr>
        <w:spacing w:after="0" w:line="400" w:lineRule="exact"/>
        <w:ind w:left="2940" w:leftChars="1400"/>
        <w:jc w:val="left"/>
        <w:rPr>
          <w:rFonts w:ascii="Times New Roman" w:hAnsi="Times New Roman" w:eastAsia="黑体" w:cs="Times New Roman"/>
          <w:color w:val="000000"/>
          <w:sz w:val="24"/>
        </w:rPr>
      </w:pPr>
      <w:r>
        <w:rPr>
          <w:rFonts w:ascii="Times New Roman" w:hAnsi="Times New Roman" w:eastAsia="黑体" w:cs="Times New Roman"/>
          <w:color w:val="000000"/>
          <w:sz w:val="24"/>
        </w:rPr>
        <w:t>联系电话：</w:t>
      </w:r>
    </w:p>
    <w:p>
      <w:pPr>
        <w:spacing w:after="0" w:line="400" w:lineRule="exact"/>
        <w:ind w:left="2940" w:leftChars="1400"/>
        <w:jc w:val="left"/>
        <w:rPr>
          <w:rFonts w:ascii="Times New Roman" w:hAnsi="Times New Roman" w:eastAsia="黑体" w:cs="Times New Roman"/>
          <w:color w:val="000000"/>
          <w:sz w:val="24"/>
        </w:rPr>
      </w:pPr>
      <w:r>
        <w:rPr>
          <w:rFonts w:ascii="Times New Roman" w:hAnsi="Times New Roman" w:eastAsia="黑体" w:cs="Times New Roman"/>
          <w:color w:val="000000"/>
          <w:sz w:val="24"/>
        </w:rPr>
        <w:t>日期：</w:t>
      </w:r>
      <w:r>
        <w:rPr>
          <w:rFonts w:hint="eastAsia" w:ascii="Times New Roman" w:hAnsi="Times New Roman" w:eastAsia="黑体" w:cs="Times New Roman"/>
          <w:color w:val="000000"/>
          <w:sz w:val="24"/>
        </w:rPr>
        <w:t xml:space="preserve">  </w:t>
      </w:r>
      <w:r>
        <w:rPr>
          <w:rFonts w:ascii="Times New Roman" w:hAnsi="Times New Roman" w:eastAsia="黑体" w:cs="Times New Roman"/>
          <w:color w:val="000000"/>
          <w:sz w:val="24"/>
        </w:rPr>
        <w:t>年</w:t>
      </w:r>
      <w:r>
        <w:rPr>
          <w:rFonts w:hint="eastAsia" w:ascii="Times New Roman" w:hAnsi="Times New Roman" w:eastAsia="黑体" w:cs="Times New Roman"/>
          <w:color w:val="000000"/>
          <w:sz w:val="24"/>
        </w:rPr>
        <w:t xml:space="preserve">  </w:t>
      </w:r>
      <w:r>
        <w:rPr>
          <w:rFonts w:ascii="Times New Roman" w:hAnsi="Times New Roman" w:eastAsia="黑体" w:cs="Times New Roman"/>
          <w:color w:val="000000"/>
          <w:sz w:val="24"/>
        </w:rPr>
        <w:t>月</w:t>
      </w:r>
      <w:r>
        <w:rPr>
          <w:rFonts w:hint="eastAsia" w:ascii="Times New Roman" w:hAnsi="Times New Roman" w:eastAsia="黑体" w:cs="Times New Roman"/>
          <w:color w:val="000000"/>
          <w:sz w:val="24"/>
        </w:rPr>
        <w:t xml:space="preserve">  日</w:t>
      </w:r>
    </w:p>
    <w:p>
      <w:pPr>
        <w:spacing w:after="0" w:line="400" w:lineRule="exact"/>
        <w:jc w:val="center"/>
        <w:rPr>
          <w:rFonts w:ascii="Times New Roman" w:hAnsi="Times New Roman" w:eastAsia="黑体" w:cs="Times New Roman"/>
          <w:color w:val="000000"/>
          <w:sz w:val="24"/>
        </w:rPr>
      </w:pPr>
      <w:r>
        <w:rPr>
          <w:rFonts w:ascii="Times New Roman" w:hAnsi="Times New Roman" w:eastAsia="黑体" w:cs="Times New Roman"/>
          <w:color w:val="000000"/>
          <w:sz w:val="24"/>
        </w:rPr>
        <w:t>（加盖公章）</w:t>
      </w:r>
    </w:p>
    <w:p>
      <w:pPr>
        <w:pStyle w:val="13"/>
        <w:ind w:firstLine="210"/>
      </w:pPr>
    </w:p>
    <w:p>
      <w:pPr>
        <w:pStyle w:val="13"/>
        <w:ind w:firstLine="210"/>
      </w:pPr>
    </w:p>
    <w:p>
      <w:pPr>
        <w:pStyle w:val="9"/>
      </w:pP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tLeast"/>
        <w:ind w:firstLine="480" w:firstLineChars="200"/>
        <w:jc w:val="left"/>
        <w:textAlignment w:val="auto"/>
        <w:rPr>
          <w:rFonts w:hint="eastAsia" w:ascii="Times New Roman" w:hAnsi="Times New Roman" w:eastAsia="宋体" w:cs="Times New Roman"/>
          <w:bCs/>
          <w:color w:val="000000"/>
          <w:sz w:val="24"/>
        </w:rPr>
      </w:pPr>
      <w:r>
        <w:rPr>
          <w:rFonts w:hint="eastAsia" w:ascii="Times New Roman" w:hAnsi="Times New Roman" w:eastAsia="宋体" w:cs="Times New Roman"/>
          <w:bCs/>
          <w:color w:val="000000"/>
          <w:sz w:val="24"/>
        </w:rPr>
        <w:t>经认真阅读“</w:t>
      </w:r>
      <w:r>
        <w:rPr>
          <w:rFonts w:hint="eastAsia" w:ascii="Times New Roman" w:hAnsi="Times New Roman" w:eastAsia="宋体" w:cs="Times New Roman"/>
          <w:bCs/>
          <w:color w:val="000000"/>
          <w:sz w:val="24"/>
          <w:lang w:val="en-US" w:eastAsia="zh-CN"/>
        </w:rPr>
        <w:t>第二届鳜鱼论坛搭建执行服务项目</w:t>
      </w:r>
      <w:r>
        <w:rPr>
          <w:rFonts w:hint="eastAsia" w:ascii="Times New Roman" w:hAnsi="Times New Roman" w:eastAsia="宋体" w:cs="Times New Roman"/>
          <w:bCs/>
          <w:color w:val="000000"/>
          <w:sz w:val="24"/>
        </w:rPr>
        <w:t>”采购公告，我司符合本项目的资格条件，已完全了解采购公告相关内容，承诺按照采购公告的要求提供产品和服务。分项明细报价与总报价（单位：人民币元）如下：</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tLeast"/>
        <w:ind w:firstLine="0" w:firstLineChars="0"/>
        <w:jc w:val="center"/>
        <w:textAlignment w:val="auto"/>
        <w:rPr>
          <w:rFonts w:hint="eastAsia" w:ascii="Times New Roman" w:hAnsi="Times New Roman" w:eastAsia="宋体" w:cs="Times New Roman"/>
          <w:bCs/>
          <w:color w:val="000000"/>
          <w:sz w:val="24"/>
        </w:rPr>
      </w:pPr>
      <w:r>
        <w:rPr>
          <w:rFonts w:hint="eastAsia" w:ascii="Times New Roman" w:hAnsi="Times New Roman" w:eastAsia="宋体" w:cs="Times New Roman"/>
          <w:b/>
          <w:color w:val="000000"/>
          <w:kern w:val="2"/>
          <w:sz w:val="28"/>
          <w:szCs w:val="28"/>
          <w:lang w:val="en-US" w:eastAsia="zh-CN" w:bidi="ar-SA"/>
        </w:rPr>
        <w:t>一、</w:t>
      </w:r>
      <w:r>
        <w:rPr>
          <w:rFonts w:hint="eastAsia" w:ascii="Times New Roman" w:hAnsi="Times New Roman" w:cs="Times New Roman"/>
          <w:b/>
          <w:color w:val="000000"/>
          <w:sz w:val="28"/>
          <w:szCs w:val="28"/>
        </w:rPr>
        <w:t>报价表</w:t>
      </w:r>
    </w:p>
    <w:tbl>
      <w:tblPr>
        <w:tblStyle w:val="15"/>
        <w:tblpPr w:leftFromText="180" w:rightFromText="180" w:vertAnchor="text" w:horzAnchor="page" w:tblpX="991" w:tblpY="627"/>
        <w:tblOverlap w:val="never"/>
        <w:tblW w:w="578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0"/>
        <w:gridCol w:w="770"/>
        <w:gridCol w:w="1675"/>
        <w:gridCol w:w="3080"/>
        <w:gridCol w:w="535"/>
        <w:gridCol w:w="828"/>
        <w:gridCol w:w="1120"/>
        <w:gridCol w:w="10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10" w:type="pct"/>
            <w:vMerge w:val="restart"/>
            <w:tcBorders>
              <w:top w:val="single" w:color="000000" w:sz="8" w:space="0"/>
              <w:left w:val="single" w:color="000000" w:sz="8" w:space="0"/>
              <w:bottom w:val="single" w:color="000000" w:sz="8" w:space="0"/>
              <w:right w:val="single" w:color="000000" w:sz="8" w:space="0"/>
            </w:tcBorders>
            <w:shd w:val="clear" w:color="auto" w:fill="FABF8F"/>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390" w:type="pct"/>
            <w:vMerge w:val="restart"/>
            <w:tcBorders>
              <w:top w:val="single" w:color="000000" w:sz="8" w:space="0"/>
              <w:left w:val="nil"/>
              <w:bottom w:val="single" w:color="000000" w:sz="8" w:space="0"/>
              <w:right w:val="single" w:color="000000" w:sz="8" w:space="0"/>
            </w:tcBorders>
            <w:shd w:val="clear" w:color="auto" w:fill="FABF8F"/>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w:t>
            </w:r>
          </w:p>
        </w:tc>
        <w:tc>
          <w:tcPr>
            <w:tcW w:w="848" w:type="pct"/>
            <w:vMerge w:val="restart"/>
            <w:tcBorders>
              <w:top w:val="single" w:color="000000" w:sz="8" w:space="0"/>
              <w:left w:val="nil"/>
              <w:bottom w:val="single" w:color="000000" w:sz="8" w:space="0"/>
              <w:right w:val="single" w:color="000000" w:sz="8" w:space="0"/>
            </w:tcBorders>
            <w:shd w:val="clear" w:color="auto" w:fill="FABF8F"/>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内容</w:t>
            </w:r>
          </w:p>
        </w:tc>
        <w:tc>
          <w:tcPr>
            <w:tcW w:w="1560" w:type="pct"/>
            <w:vMerge w:val="restart"/>
            <w:tcBorders>
              <w:top w:val="single" w:color="000000" w:sz="8" w:space="0"/>
              <w:left w:val="nil"/>
              <w:bottom w:val="single" w:color="000000" w:sz="8" w:space="0"/>
              <w:right w:val="single" w:color="000000" w:sz="8" w:space="0"/>
            </w:tcBorders>
            <w:shd w:val="clear" w:color="auto" w:fill="FABF8F"/>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规格/尺寸</w:t>
            </w:r>
          </w:p>
        </w:tc>
        <w:tc>
          <w:tcPr>
            <w:tcW w:w="271" w:type="pct"/>
            <w:vMerge w:val="restart"/>
            <w:tcBorders>
              <w:top w:val="single" w:color="000000" w:sz="8" w:space="0"/>
              <w:left w:val="nil"/>
              <w:bottom w:val="single" w:color="000000" w:sz="8" w:space="0"/>
              <w:right w:val="single" w:color="000000" w:sz="8" w:space="0"/>
            </w:tcBorders>
            <w:shd w:val="clear" w:color="auto" w:fill="FABF8F"/>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419" w:type="pct"/>
            <w:vMerge w:val="restart"/>
            <w:tcBorders>
              <w:top w:val="single" w:color="000000" w:sz="8" w:space="0"/>
              <w:left w:val="nil"/>
              <w:bottom w:val="single" w:color="000000" w:sz="8" w:space="0"/>
              <w:right w:val="single" w:color="000000" w:sz="8" w:space="0"/>
            </w:tcBorders>
            <w:shd w:val="clear" w:color="auto" w:fill="FABF8F"/>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567" w:type="pct"/>
            <w:vMerge w:val="restart"/>
            <w:tcBorders>
              <w:top w:val="single" w:color="000000" w:sz="8" w:space="0"/>
              <w:left w:val="nil"/>
              <w:bottom w:val="single" w:color="000000" w:sz="8" w:space="0"/>
              <w:right w:val="single" w:color="000000" w:sz="8" w:space="0"/>
            </w:tcBorders>
            <w:shd w:val="clear" w:color="auto" w:fill="FABF8F"/>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w:t>
            </w:r>
          </w:p>
        </w:tc>
        <w:tc>
          <w:tcPr>
            <w:tcW w:w="532" w:type="pct"/>
            <w:vMerge w:val="restart"/>
            <w:tcBorders>
              <w:top w:val="single" w:color="000000" w:sz="8" w:space="0"/>
              <w:left w:val="nil"/>
              <w:bottom w:val="single" w:color="000000" w:sz="8" w:space="0"/>
              <w:right w:val="single" w:color="000000" w:sz="8" w:space="0"/>
            </w:tcBorders>
            <w:shd w:val="clear" w:color="auto" w:fill="FABF8F"/>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总价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10" w:type="pct"/>
            <w:vMerge w:val="continue"/>
            <w:tcBorders>
              <w:top w:val="single" w:color="000000" w:sz="8" w:space="0"/>
              <w:left w:val="single" w:color="000000" w:sz="8" w:space="0"/>
              <w:bottom w:val="single" w:color="000000" w:sz="8" w:space="0"/>
              <w:right w:val="single" w:color="000000" w:sz="8" w:space="0"/>
            </w:tcBorders>
            <w:shd w:val="clear" w:color="auto" w:fill="FABF8F"/>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b/>
                <w:bCs/>
                <w:i w:val="0"/>
                <w:iCs w:val="0"/>
                <w:color w:val="000000"/>
                <w:sz w:val="21"/>
                <w:szCs w:val="21"/>
                <w:u w:val="none"/>
              </w:rPr>
            </w:pPr>
          </w:p>
        </w:tc>
        <w:tc>
          <w:tcPr>
            <w:tcW w:w="390" w:type="pct"/>
            <w:vMerge w:val="continue"/>
            <w:tcBorders>
              <w:top w:val="single" w:color="000000" w:sz="8" w:space="0"/>
              <w:left w:val="nil"/>
              <w:bottom w:val="single" w:color="000000" w:sz="8" w:space="0"/>
              <w:right w:val="single" w:color="000000" w:sz="8" w:space="0"/>
            </w:tcBorders>
            <w:shd w:val="clear" w:color="auto" w:fill="FABF8F"/>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b/>
                <w:bCs/>
                <w:i w:val="0"/>
                <w:iCs w:val="0"/>
                <w:color w:val="000000"/>
                <w:sz w:val="21"/>
                <w:szCs w:val="21"/>
                <w:u w:val="none"/>
              </w:rPr>
            </w:pPr>
          </w:p>
        </w:tc>
        <w:tc>
          <w:tcPr>
            <w:tcW w:w="848" w:type="pct"/>
            <w:vMerge w:val="continue"/>
            <w:tcBorders>
              <w:top w:val="single" w:color="000000" w:sz="8" w:space="0"/>
              <w:left w:val="nil"/>
              <w:bottom w:val="single" w:color="000000" w:sz="8" w:space="0"/>
              <w:right w:val="single" w:color="000000" w:sz="8" w:space="0"/>
            </w:tcBorders>
            <w:shd w:val="clear" w:color="auto" w:fill="FABF8F"/>
            <w:vAlign w:val="center"/>
          </w:tcPr>
          <w:p>
            <w:pPr>
              <w:keepNext w:val="0"/>
              <w:keepLines w:val="0"/>
              <w:pageBreakBefore w:val="0"/>
              <w:kinsoku/>
              <w:wordWrap/>
              <w:overflowPunct/>
              <w:topLinePunct w:val="0"/>
              <w:autoSpaceDE/>
              <w:autoSpaceDN/>
              <w:bidi w:val="0"/>
              <w:adjustRightInd/>
              <w:snapToGrid/>
              <w:spacing w:after="0" w:line="320" w:lineRule="exact"/>
              <w:jc w:val="both"/>
              <w:rPr>
                <w:rFonts w:hint="eastAsia" w:ascii="宋体" w:hAnsi="宋体" w:eastAsia="宋体" w:cs="宋体"/>
                <w:b/>
                <w:bCs/>
                <w:i w:val="0"/>
                <w:iCs w:val="0"/>
                <w:color w:val="000000"/>
                <w:sz w:val="21"/>
                <w:szCs w:val="21"/>
                <w:u w:val="none"/>
              </w:rPr>
            </w:pPr>
          </w:p>
        </w:tc>
        <w:tc>
          <w:tcPr>
            <w:tcW w:w="1560" w:type="pct"/>
            <w:vMerge w:val="continue"/>
            <w:tcBorders>
              <w:top w:val="single" w:color="000000" w:sz="8" w:space="0"/>
              <w:left w:val="nil"/>
              <w:bottom w:val="single" w:color="000000" w:sz="8" w:space="0"/>
              <w:right w:val="single" w:color="000000" w:sz="8" w:space="0"/>
            </w:tcBorders>
            <w:shd w:val="clear" w:color="auto" w:fill="FABF8F"/>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b/>
                <w:bCs/>
                <w:i w:val="0"/>
                <w:iCs w:val="0"/>
                <w:color w:val="000000"/>
                <w:sz w:val="21"/>
                <w:szCs w:val="21"/>
                <w:u w:val="none"/>
              </w:rPr>
            </w:pPr>
          </w:p>
        </w:tc>
        <w:tc>
          <w:tcPr>
            <w:tcW w:w="271" w:type="pct"/>
            <w:vMerge w:val="continue"/>
            <w:tcBorders>
              <w:top w:val="single" w:color="000000" w:sz="8" w:space="0"/>
              <w:left w:val="nil"/>
              <w:bottom w:val="single" w:color="000000" w:sz="8" w:space="0"/>
              <w:right w:val="single" w:color="000000" w:sz="8" w:space="0"/>
            </w:tcBorders>
            <w:shd w:val="clear" w:color="auto" w:fill="FABF8F"/>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b/>
                <w:bCs/>
                <w:i w:val="0"/>
                <w:iCs w:val="0"/>
                <w:color w:val="000000"/>
                <w:sz w:val="21"/>
                <w:szCs w:val="21"/>
                <w:u w:val="none"/>
              </w:rPr>
            </w:pPr>
          </w:p>
        </w:tc>
        <w:tc>
          <w:tcPr>
            <w:tcW w:w="419" w:type="pct"/>
            <w:vMerge w:val="continue"/>
            <w:tcBorders>
              <w:top w:val="single" w:color="000000" w:sz="8" w:space="0"/>
              <w:left w:val="nil"/>
              <w:bottom w:val="single" w:color="000000" w:sz="8" w:space="0"/>
              <w:right w:val="single" w:color="000000" w:sz="8" w:space="0"/>
            </w:tcBorders>
            <w:shd w:val="clear" w:color="auto" w:fill="FABF8F"/>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b/>
                <w:bCs/>
                <w:i w:val="0"/>
                <w:iCs w:val="0"/>
                <w:color w:val="000000"/>
                <w:sz w:val="21"/>
                <w:szCs w:val="21"/>
                <w:u w:val="none"/>
              </w:rPr>
            </w:pPr>
          </w:p>
        </w:tc>
        <w:tc>
          <w:tcPr>
            <w:tcW w:w="567" w:type="pct"/>
            <w:vMerge w:val="continue"/>
            <w:tcBorders>
              <w:top w:val="single" w:color="000000" w:sz="8" w:space="0"/>
              <w:left w:val="nil"/>
              <w:bottom w:val="single" w:color="000000" w:sz="8" w:space="0"/>
              <w:right w:val="single" w:color="000000" w:sz="8" w:space="0"/>
            </w:tcBorders>
            <w:shd w:val="clear" w:color="auto" w:fill="FABF8F"/>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b/>
                <w:bCs/>
                <w:i w:val="0"/>
                <w:iCs w:val="0"/>
                <w:color w:val="000000"/>
                <w:sz w:val="21"/>
                <w:szCs w:val="21"/>
                <w:u w:val="none"/>
              </w:rPr>
            </w:pPr>
          </w:p>
        </w:tc>
        <w:tc>
          <w:tcPr>
            <w:tcW w:w="532" w:type="pct"/>
            <w:vMerge w:val="continue"/>
            <w:tcBorders>
              <w:top w:val="single" w:color="000000" w:sz="8" w:space="0"/>
              <w:left w:val="nil"/>
              <w:bottom w:val="single" w:color="000000" w:sz="8" w:space="0"/>
              <w:right w:val="single" w:color="000000" w:sz="8" w:space="0"/>
            </w:tcBorders>
            <w:shd w:val="clear" w:color="auto" w:fill="FABF8F"/>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10" w:type="pct"/>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90" w:type="pct"/>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舞台、灯光及氛围布置</w:t>
            </w:r>
          </w:p>
        </w:tc>
        <w:tc>
          <w:tcPr>
            <w:tcW w:w="84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LED器材</w:t>
            </w:r>
          </w:p>
        </w:tc>
        <w:tc>
          <w:tcPr>
            <w:tcW w:w="1560"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室内高清P3显示屏，尺寸：长15m*高5m（桁架垫高20cm），面积：75㎡；分屏器，大型器材及线缆1套，工程师调试、全程跟踪。租赁时长1.5天（含晚宴）</w:t>
            </w:r>
          </w:p>
        </w:tc>
        <w:tc>
          <w:tcPr>
            <w:tcW w:w="271"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67"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10" w:type="pct"/>
            <w:vMerge w:val="continue"/>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both"/>
              <w:rPr>
                <w:rFonts w:hint="eastAsia" w:ascii="宋体" w:hAnsi="宋体" w:eastAsia="宋体" w:cs="宋体"/>
                <w:i w:val="0"/>
                <w:iCs w:val="0"/>
                <w:color w:val="000000"/>
                <w:sz w:val="21"/>
                <w:szCs w:val="21"/>
                <w:u w:val="none"/>
              </w:rPr>
            </w:pPr>
          </w:p>
        </w:tc>
        <w:tc>
          <w:tcPr>
            <w:tcW w:w="1560"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left"/>
              <w:rPr>
                <w:rFonts w:hint="eastAsia" w:ascii="宋体" w:hAnsi="宋体" w:eastAsia="宋体" w:cs="宋体"/>
                <w:i w:val="0"/>
                <w:iCs w:val="0"/>
                <w:color w:val="000000"/>
                <w:sz w:val="21"/>
                <w:szCs w:val="21"/>
                <w:u w:val="none"/>
              </w:rPr>
            </w:pPr>
          </w:p>
        </w:tc>
        <w:tc>
          <w:tcPr>
            <w:tcW w:w="271"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419"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6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舞台地毯</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舞台长25m宽6m，约150㎡，阶梯约10㎡，加厚地毯</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160</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舞台斜档</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木结构制作斜档加龙骨架支撑固定，长19m*1.4m，+kt板</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5" w:hRule="atLeast"/>
        </w:trPr>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舞台灯光</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舞台光束灯，电脑摇头灯，花式图案灯</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 w:hRule="atLeast"/>
        </w:trPr>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舞台灯光组合</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LED面光灯+帕灯</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舞台灯光柱</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柱高4米，宽0.4m，铝架立柱灯光架，左右各一座</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座</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音响</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线阵音响4+2+2反听，满足不少于1200㎡场地使用，含控台，音响师。</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390" w:type="pct"/>
            <w:vMerge w:val="restart"/>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物料制作</w:t>
            </w:r>
          </w:p>
        </w:tc>
        <w:tc>
          <w:tcPr>
            <w:tcW w:w="848"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大尺寸展板</w:t>
            </w:r>
          </w:p>
        </w:tc>
        <w:tc>
          <w:tcPr>
            <w:tcW w:w="156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尺寸：宽6m*高3m，黑底灯布加桁架，左右各加0.4m包边</w:t>
            </w:r>
          </w:p>
        </w:tc>
        <w:tc>
          <w:tcPr>
            <w:tcW w:w="271"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419"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67"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trPr>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合影墙</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尺寸：宽6m*高3m，黑底灯布加桁架，左右各加0.4m包边</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合影墙造型KT</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尺寸：高0.4m*宽0.8m</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块</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大会主题专区</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整体大约200㎡，桁架喷绘，特装搭建，含专区信息收集、材料整理等</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trPr>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大会主题专区蓝色地毯</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蓝色地毯，加厚</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5" w:hRule="atLeast"/>
        </w:trPr>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企业展位</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尺寸：宽2.6m*高2.6m，黑底灯布加桁架，左右各加0.4m包边。前面配条桌，桌布</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trPr>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门型展架</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铁制展架，含PVC画面，尺寸：宽0.8*高1.8m</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3"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刀旗</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5m高</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PVC嘉宾证</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尺寸：高1.3m*宽0.9m，含0.015m宽挂绳</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trPr>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奖牌制作（小）</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木板加金属雕刻面，尺寸：宽0.3m*高0.23m</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奖牌制作（大）</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木板加金属雕刻面，尺寸：宽0.5m*高0.3m</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台卡印刷</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传统红粉纸</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120</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活动主题纸袋制作</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双面印刷，尺寸：宽30cm*高38cm*边10cm</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5" w:hRule="atLeast"/>
        </w:trPr>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矿泉水挂式冠名标签</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尺寸：高0.15m*宽0.06m</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颁奖环节配音</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男声，5000字左右</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0"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前档立体字</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泡沫字，0.08m厚泡沫字，白色亚克力面加0.05m泡沫字，含安装，总长度6m，约14个字</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5"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讲台花</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兰花、玫瑰花、百合花等不少于20头</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盆</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5" w:hRule="atLeast"/>
        </w:trPr>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沙龙环节沙发</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白色沙发</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张</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390" w:type="pct"/>
            <w:vMerge w:val="continue"/>
            <w:tcBorders>
              <w:top w:val="single" w:color="000000" w:sz="8"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茶歇食品</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500人份以上，人均10元，主题分享环节茶歇用</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80"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390" w:type="pct"/>
            <w:tcBorders>
              <w:top w:val="single" w:color="000000" w:sz="8" w:space="0"/>
              <w:left w:val="nil"/>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晚宴舞蹈</w:t>
            </w:r>
          </w:p>
        </w:tc>
        <w:tc>
          <w:tcPr>
            <w:tcW w:w="848" w:type="pct"/>
            <w:tcBorders>
              <w:top w:val="nil"/>
              <w:left w:val="nil"/>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开场舞及串场舞蹈</w:t>
            </w:r>
          </w:p>
        </w:tc>
        <w:tc>
          <w:tcPr>
            <w:tcW w:w="156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开场龙鼓舞蹈，含龙鼓，包化妆道具衣服等（不少于6人，含交通）；串场舞蹈，4场，含化妆道具衣服等（不少于6人，含交通）</w:t>
            </w:r>
          </w:p>
        </w:tc>
        <w:tc>
          <w:tcPr>
            <w:tcW w:w="271"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nil"/>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7" w:type="pct"/>
            <w:tcBorders>
              <w:top w:val="nil"/>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nil"/>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390" w:type="pct"/>
            <w:tcBorders>
              <w:top w:val="single" w:color="000000" w:sz="8" w:space="0"/>
              <w:left w:val="nil"/>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主持、礼仪</w:t>
            </w:r>
          </w:p>
        </w:tc>
        <w:tc>
          <w:tcPr>
            <w:tcW w:w="848" w:type="pct"/>
            <w:tcBorders>
              <w:top w:val="nil"/>
              <w:left w:val="nil"/>
              <w:bottom w:val="single" w:color="auto"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主持1名，礼仪4名</w:t>
            </w:r>
          </w:p>
        </w:tc>
        <w:tc>
          <w:tcPr>
            <w:tcW w:w="1560" w:type="pct"/>
            <w:tcBorders>
              <w:top w:val="nil"/>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开场主持及晚宴主持，含化妆、礼服、彩排、交通。礼仪小姐，含化妆、晚礼服、彩排（白天活动+晚宴），含交通</w:t>
            </w:r>
          </w:p>
        </w:tc>
        <w:tc>
          <w:tcPr>
            <w:tcW w:w="271" w:type="pct"/>
            <w:tcBorders>
              <w:top w:val="nil"/>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nil"/>
              <w:left w:val="nil"/>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7" w:type="pct"/>
            <w:tcBorders>
              <w:top w:val="nil"/>
              <w:left w:val="nil"/>
              <w:bottom w:val="single" w:color="auto" w:sz="4"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nil"/>
              <w:left w:val="nil"/>
              <w:bottom w:val="single" w:color="auto" w:sz="4"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390" w:type="pct"/>
            <w:tcBorders>
              <w:top w:val="single" w:color="auto" w:sz="4" w:space="0"/>
              <w:left w:val="nil"/>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专家邀请</w:t>
            </w:r>
          </w:p>
        </w:tc>
        <w:tc>
          <w:tcPr>
            <w:tcW w:w="848" w:type="pct"/>
            <w:tcBorders>
              <w:top w:val="single" w:color="auto" w:sz="4" w:space="0"/>
              <w:left w:val="nil"/>
              <w:bottom w:val="single" w:color="000000" w:sz="8"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专家邀请</w:t>
            </w:r>
          </w:p>
        </w:tc>
        <w:tc>
          <w:tcPr>
            <w:tcW w:w="1560"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1、邀请中国工程院院士1名，做现场主题报告；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2、邀请南海水产研究所研究员1名，做现场主题报告；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3、邀请华南农业大学教授1名，做现场主题报告；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4、邀请华中农业大学教授1名，做现场主题报告；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5、致辞、圆桌论坛专家不少于4人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费用包含邀请院士、专家主题报告、致辞演讲费用，人员接待费用以及机票、高铁、接机(站)等交通费用</w:t>
            </w:r>
          </w:p>
        </w:tc>
        <w:tc>
          <w:tcPr>
            <w:tcW w:w="271" w:type="pct"/>
            <w:tcBorders>
              <w:top w:val="single" w:color="auto" w:sz="4"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7" w:type="pct"/>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auto" w:sz="4" w:space="0"/>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15"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390" w:type="pct"/>
            <w:vMerge w:val="restart"/>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会务执行</w:t>
            </w:r>
          </w:p>
        </w:tc>
        <w:tc>
          <w:tcPr>
            <w:tcW w:w="848"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设计服务</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会议全场设计服务（包括但不限于展区3D建模、大展板设计、企业展位、合影墙、流程PPT、合影墙造型KT、门型展架、前档立体字、PVC嘉宾证、刀旗、活动主题纸袋、会议指南、台卡、矿泉水挂式冠名标签）</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9"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390" w:type="pct"/>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会务执行</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场控、环节催场等，3人，含差旅。论坛环节、沙龙环节、晚宴颁奖环节共计3个、不少于30页PPT制作</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5"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390" w:type="pct"/>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both"/>
              <w:rPr>
                <w:rFonts w:hint="eastAsia" w:ascii="宋体" w:hAnsi="宋体" w:eastAsia="宋体" w:cs="宋体"/>
                <w:i w:val="0"/>
                <w:iCs w:val="0"/>
                <w:color w:val="000000"/>
                <w:sz w:val="21"/>
                <w:szCs w:val="21"/>
                <w:u w:val="none"/>
              </w:rPr>
            </w:pPr>
          </w:p>
        </w:tc>
        <w:tc>
          <w:tcPr>
            <w:tcW w:w="1560" w:type="pct"/>
            <w:tcBorders>
              <w:top w:val="single" w:color="000000" w:sz="8" w:space="0"/>
              <w:left w:val="single" w:color="000000" w:sz="8" w:space="0"/>
              <w:bottom w:val="nil"/>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会议环节搬沙发、资料入袋、摆放</w:t>
            </w:r>
          </w:p>
        </w:tc>
        <w:tc>
          <w:tcPr>
            <w:tcW w:w="271"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41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名</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5" w:hRule="atLeast"/>
        </w:trPr>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390" w:type="pct"/>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搭建人工</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搭建环节布置+撤场</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390" w:type="pct"/>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运费</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物料运输等</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390" w:type="pct"/>
            <w:vMerge w:val="restart"/>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会议酒店（会议举办地：佛山）</w:t>
            </w:r>
          </w:p>
        </w:tc>
        <w:tc>
          <w:tcPr>
            <w:tcW w:w="84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会议（宴会厅）</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场地面积不少于1200㎡，租赁时长1.5天（含晚宴），提供音响、灯光、麦克风等会议基础物料</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390" w:type="pct"/>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客房</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双床房+大床房</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128</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间</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41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390" w:type="pct"/>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围餐</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主要用于颁奖晚宴，以围餐形式,12人/围计，人均125元，不含酒水</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围</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390" w:type="pct"/>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酒水</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约500人份，人均50元，晚宴围餐用</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410" w:type="pct"/>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390" w:type="pct"/>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84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自助餐</w:t>
            </w:r>
          </w:p>
        </w:tc>
        <w:tc>
          <w:tcPr>
            <w:tcW w:w="156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主要用于午餐等，人均100元</w:t>
            </w:r>
          </w:p>
        </w:tc>
        <w:tc>
          <w:tcPr>
            <w:tcW w:w="271"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w:t>
            </w:r>
          </w:p>
        </w:tc>
        <w:tc>
          <w:tcPr>
            <w:tcW w:w="419"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餐次</w:t>
            </w:r>
          </w:p>
        </w:tc>
        <w:tc>
          <w:tcPr>
            <w:tcW w:w="56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c>
          <w:tcPr>
            <w:tcW w:w="53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4467" w:type="pct"/>
            <w:gridSpan w:val="7"/>
            <w:tcBorders>
              <w:top w:val="nil"/>
              <w:left w:val="single" w:color="000000" w:sz="8" w:space="0"/>
              <w:bottom w:val="single" w:color="000000" w:sz="8" w:space="0"/>
              <w:right w:val="single" w:color="000000" w:sz="8"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合计</w:t>
            </w:r>
          </w:p>
        </w:tc>
        <w:tc>
          <w:tcPr>
            <w:tcW w:w="532" w:type="pct"/>
            <w:tcBorders>
              <w:top w:val="nil"/>
              <w:left w:val="nil"/>
              <w:bottom w:val="single" w:color="000000" w:sz="8" w:space="0"/>
              <w:right w:val="single" w:color="000000" w:sz="8" w:space="0"/>
            </w:tcBorders>
            <w:shd w:val="clear" w:color="auto" w:fill="auto"/>
            <w:vAlign w:val="center"/>
          </w:tcPr>
          <w:p>
            <w:pPr>
              <w:keepNext w:val="0"/>
              <w:keepLines w:val="0"/>
              <w:pageBreakBefore w:val="0"/>
              <w:kinsoku/>
              <w:wordWrap/>
              <w:overflowPunct/>
              <w:topLinePunct w:val="0"/>
              <w:autoSpaceDE/>
              <w:autoSpaceDN/>
              <w:bidi w:val="0"/>
              <w:adjustRightInd/>
              <w:snapToGrid/>
              <w:spacing w:after="0" w:line="320" w:lineRule="exact"/>
              <w:jc w:val="center"/>
              <w:rPr>
                <w:rFonts w:hint="eastAsia" w:ascii="宋体" w:hAnsi="宋体" w:eastAsia="宋体" w:cs="宋体"/>
                <w:b/>
                <w:bCs/>
                <w:i w:val="0"/>
                <w:iCs w:val="0"/>
                <w:color w:val="000000"/>
                <w:sz w:val="21"/>
                <w:szCs w:val="21"/>
                <w:u w:val="none"/>
              </w:rPr>
            </w:pPr>
          </w:p>
        </w:tc>
      </w:tr>
    </w:tbl>
    <w:p>
      <w:pPr>
        <w:pStyle w:val="3"/>
        <w:ind w:left="0" w:leftChars="0" w:firstLine="0" w:firstLineChars="0"/>
      </w:pPr>
    </w:p>
    <w:p>
      <w:pPr>
        <w:pStyle w:val="8"/>
        <w:spacing w:after="0" w:line="360" w:lineRule="auto"/>
        <w:ind w:firstLine="482" w:firstLineChars="200"/>
        <w:rPr>
          <w:rFonts w:ascii="Times New Roman" w:hAnsi="Times New Roman" w:cs="Times New Roman"/>
          <w:b/>
          <w:color w:val="000000"/>
          <w:kern w:val="0"/>
          <w:sz w:val="24"/>
        </w:rPr>
      </w:pPr>
      <w:r>
        <w:rPr>
          <w:rFonts w:ascii="Times New Roman" w:hAnsi="Times New Roman" w:cs="Times New Roman"/>
          <w:b/>
          <w:color w:val="000000"/>
          <w:kern w:val="0"/>
          <w:sz w:val="24"/>
        </w:rPr>
        <w:t>备注：各供应商可根据实际情况附以上报价的明细列表。</w:t>
      </w:r>
    </w:p>
    <w:p>
      <w:pPr>
        <w:pStyle w:val="8"/>
        <w:spacing w:after="0" w:line="360" w:lineRule="auto"/>
        <w:ind w:firstLine="482" w:firstLineChars="200"/>
        <w:rPr>
          <w:rFonts w:ascii="Times New Roman" w:hAnsi="Times New Roman" w:cs="Times New Roman"/>
          <w:b/>
          <w:color w:val="000000"/>
          <w:kern w:val="0"/>
          <w:sz w:val="24"/>
        </w:rPr>
      </w:pPr>
      <w:r>
        <w:rPr>
          <w:rFonts w:ascii="Times New Roman" w:hAnsi="Times New Roman" w:cs="Times New Roman"/>
          <w:b/>
          <w:color w:val="000000"/>
          <w:kern w:val="0"/>
          <w:sz w:val="24"/>
        </w:rPr>
        <w:t>该项目总报价人民币</w:t>
      </w:r>
      <w:r>
        <w:rPr>
          <w:rFonts w:ascii="Times New Roman" w:hAnsi="Times New Roman" w:cs="Times New Roman"/>
          <w:color w:val="000000"/>
          <w:sz w:val="24"/>
          <w:u w:val="single"/>
        </w:rPr>
        <w:t xml:space="preserve"> </w:t>
      </w:r>
      <w:r>
        <w:rPr>
          <w:rFonts w:hint="eastAsia" w:ascii="Times New Roman" w:hAnsi="Times New Roman" w:cs="Times New Roman"/>
          <w:color w:val="000000"/>
          <w:sz w:val="24"/>
          <w:u w:val="single"/>
        </w:rPr>
        <w:t xml:space="preserve">   </w:t>
      </w:r>
      <w:r>
        <w:rPr>
          <w:rFonts w:ascii="Times New Roman" w:hAnsi="Times New Roman" w:cs="Times New Roman"/>
          <w:color w:val="000000"/>
          <w:sz w:val="24"/>
          <w:u w:val="single"/>
        </w:rPr>
        <w:t xml:space="preserve">  </w:t>
      </w:r>
      <w:r>
        <w:rPr>
          <w:rFonts w:ascii="Times New Roman" w:hAnsi="Times New Roman" w:cs="Times New Roman"/>
          <w:b/>
          <w:color w:val="000000"/>
          <w:kern w:val="0"/>
          <w:sz w:val="24"/>
        </w:rPr>
        <w:t>元，大写：</w:t>
      </w:r>
      <w:r>
        <w:rPr>
          <w:rFonts w:ascii="Times New Roman" w:hAnsi="Times New Roman" w:cs="Times New Roman"/>
          <w:color w:val="000000"/>
          <w:sz w:val="24"/>
          <w:u w:val="single"/>
        </w:rPr>
        <w:t xml:space="preserve">             </w:t>
      </w:r>
      <w:r>
        <w:rPr>
          <w:rFonts w:ascii="Times New Roman" w:hAnsi="Times New Roman" w:cs="Times New Roman"/>
          <w:b/>
          <w:color w:val="000000"/>
          <w:kern w:val="0"/>
          <w:sz w:val="24"/>
        </w:rPr>
        <w:t>，已包含全部税费；明细报价分项累计额如与总报价存在差额，以总报价（大写）为准，我们同意按照总报价履行应有的法律义务。</w:t>
      </w:r>
    </w:p>
    <w:p>
      <w:pPr>
        <w:spacing w:after="0"/>
        <w:jc w:val="left"/>
        <w:rPr>
          <w:rFonts w:ascii="Times New Roman" w:hAnsi="Times New Roman" w:cs="Times New Roman"/>
          <w:bCs/>
          <w:color w:val="000000"/>
          <w:kern w:val="0"/>
          <w:sz w:val="24"/>
        </w:rPr>
      </w:pPr>
      <w:r>
        <w:rPr>
          <w:rFonts w:ascii="Times New Roman" w:hAnsi="Times New Roman" w:cs="Times New Roman"/>
          <w:b/>
          <w:color w:val="000000"/>
          <w:kern w:val="0"/>
          <w:sz w:val="24"/>
        </w:rPr>
        <w:t>其他情况说明：</w:t>
      </w:r>
      <w:r>
        <w:rPr>
          <w:rFonts w:ascii="Times New Roman" w:hAnsi="Times New Roman" w:cs="Times New Roman"/>
          <w:bCs/>
          <w:color w:val="000000"/>
          <w:kern w:val="0"/>
          <w:sz w:val="24"/>
        </w:rPr>
        <w:t>（可选填）</w:t>
      </w:r>
    </w:p>
    <w:p>
      <w:pPr>
        <w:shd w:val="clear" w:color="auto" w:fill="FFFFFF"/>
        <w:spacing w:after="0" w:line="360" w:lineRule="auto"/>
        <w:jc w:val="left"/>
        <w:rPr>
          <w:rFonts w:ascii="Times New Roman" w:hAnsi="Times New Roman" w:cs="Times New Roman"/>
          <w:color w:val="000000"/>
          <w:sz w:val="24"/>
        </w:rPr>
      </w:pPr>
      <w:r>
        <w:rPr>
          <w:rFonts w:ascii="Times New Roman" w:hAnsi="Times New Roman" w:cs="Times New Roman"/>
          <w:color w:val="000000"/>
          <w:sz w:val="24"/>
        </w:rPr>
        <w:t>供应商名称（加盖公章）：</w:t>
      </w:r>
    </w:p>
    <w:p>
      <w:pPr>
        <w:shd w:val="clear" w:color="auto" w:fill="FFFFFF"/>
        <w:spacing w:after="0" w:line="360" w:lineRule="auto"/>
        <w:jc w:val="left"/>
        <w:rPr>
          <w:rFonts w:ascii="Times New Roman" w:hAnsi="Times New Roman" w:cs="Times New Roman"/>
          <w:color w:val="000000"/>
          <w:sz w:val="24"/>
        </w:rPr>
      </w:pPr>
      <w:r>
        <w:rPr>
          <w:rFonts w:ascii="Times New Roman" w:hAnsi="Times New Roman" w:cs="Times New Roman"/>
          <w:color w:val="000000"/>
          <w:sz w:val="24"/>
        </w:rPr>
        <w:t>法定代表人或其委托代理人(签字)：</w:t>
      </w:r>
    </w:p>
    <w:p>
      <w:pPr>
        <w:shd w:val="clear" w:color="auto" w:fill="FFFFFF"/>
        <w:spacing w:after="0" w:line="360" w:lineRule="auto"/>
        <w:jc w:val="left"/>
        <w:rPr>
          <w:rFonts w:ascii="Times New Roman" w:hAnsi="Times New Roman" w:cs="Times New Roman"/>
          <w:color w:val="000000"/>
          <w:sz w:val="24"/>
        </w:rPr>
      </w:pPr>
      <w:r>
        <w:rPr>
          <w:rFonts w:ascii="Times New Roman" w:hAnsi="Times New Roman" w:cs="Times New Roman"/>
          <w:color w:val="000000"/>
          <w:sz w:val="24"/>
        </w:rPr>
        <w:t>联系电话：</w:t>
      </w:r>
    </w:p>
    <w:p>
      <w:pPr>
        <w:shd w:val="clear" w:color="auto" w:fill="FFFFFF"/>
        <w:spacing w:after="0" w:line="360" w:lineRule="auto"/>
        <w:jc w:val="left"/>
        <w:rPr>
          <w:rFonts w:ascii="Times New Roman" w:hAnsi="Times New Roman" w:cs="Times New Roman"/>
          <w:color w:val="000000"/>
          <w:sz w:val="24"/>
        </w:rPr>
      </w:pPr>
      <w:r>
        <w:rPr>
          <w:rFonts w:ascii="Times New Roman" w:hAnsi="Times New Roman" w:cs="Times New Roman"/>
          <w:color w:val="000000"/>
          <w:sz w:val="24"/>
        </w:rPr>
        <w:t>报价时间：</w:t>
      </w:r>
      <w:r>
        <w:rPr>
          <w:rFonts w:hint="eastAsia" w:ascii="Times New Roman" w:hAnsi="Times New Roman" w:cs="Times New Roman"/>
          <w:color w:val="000000"/>
          <w:sz w:val="24"/>
        </w:rPr>
        <w:t xml:space="preserve">  </w:t>
      </w:r>
      <w:r>
        <w:rPr>
          <w:rFonts w:ascii="Times New Roman" w:hAnsi="Times New Roman" w:cs="Times New Roman"/>
          <w:color w:val="000000"/>
          <w:sz w:val="24"/>
        </w:rPr>
        <w:t xml:space="preserve">年  </w:t>
      </w:r>
      <w:r>
        <w:rPr>
          <w:rFonts w:hint="eastAsia" w:ascii="Times New Roman" w:hAnsi="Times New Roman" w:cs="Times New Roman"/>
          <w:color w:val="000000"/>
          <w:sz w:val="24"/>
        </w:rPr>
        <w:t xml:space="preserve"> </w:t>
      </w:r>
      <w:r>
        <w:rPr>
          <w:rFonts w:ascii="Times New Roman" w:hAnsi="Times New Roman" w:cs="Times New Roman"/>
          <w:color w:val="000000"/>
          <w:sz w:val="24"/>
        </w:rPr>
        <w:t>月</w:t>
      </w:r>
      <w:r>
        <w:rPr>
          <w:rFonts w:hint="eastAsia" w:ascii="Times New Roman" w:hAnsi="Times New Roman" w:cs="Times New Roman"/>
          <w:color w:val="000000"/>
          <w:sz w:val="24"/>
        </w:rPr>
        <w:t xml:space="preserve"> </w:t>
      </w:r>
      <w:r>
        <w:rPr>
          <w:rFonts w:ascii="Times New Roman" w:hAnsi="Times New Roman" w:cs="Times New Roman"/>
          <w:color w:val="000000"/>
          <w:sz w:val="24"/>
        </w:rPr>
        <w:t xml:space="preserve">  日</w:t>
      </w:r>
    </w:p>
    <w:p>
      <w:pPr>
        <w:spacing w:after="0"/>
        <w:rPr>
          <w:rFonts w:ascii="Times New Roman" w:hAnsi="Times New Roman" w:cs="Times New Roman"/>
          <w:color w:val="000000"/>
          <w:sz w:val="24"/>
        </w:rPr>
      </w:pPr>
      <w:r>
        <w:rPr>
          <w:rFonts w:ascii="Times New Roman" w:hAnsi="Times New Roman" w:cs="Times New Roman"/>
          <w:color w:val="000000"/>
          <w:sz w:val="24"/>
        </w:rPr>
        <w:br w:type="page"/>
      </w:r>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w:t>
      </w: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年以来同类项目</w:t>
      </w:r>
      <w:r>
        <w:rPr>
          <w:rFonts w:hint="eastAsia" w:ascii="仿宋_GB2312" w:hAnsi="仿宋_GB2312" w:eastAsia="仿宋_GB2312" w:cs="仿宋_GB2312"/>
          <w:sz w:val="28"/>
          <w:szCs w:val="28"/>
          <w:shd w:val="clear" w:color="auto" w:fill="FFFFFF"/>
          <w:lang w:val="en-US" w:eastAsia="zh-CN"/>
        </w:rPr>
        <w:t>（搭建、物料制作、会务服务）</w:t>
      </w:r>
      <w:r>
        <w:rPr>
          <w:rFonts w:hint="eastAsia" w:ascii="仿宋" w:hAnsi="仿宋" w:eastAsia="仿宋" w:cs="仿宋"/>
          <w:color w:val="000000"/>
          <w:sz w:val="28"/>
          <w:szCs w:val="28"/>
          <w:highlight w:val="none"/>
        </w:rPr>
        <w:t>业绩两项（附合同关键页）。</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default" w:ascii="仿宋" w:hAnsi="仿宋" w:eastAsia="仿宋" w:cs="仿宋"/>
          <w:b w:val="0"/>
          <w:color w:val="000000"/>
          <w:kern w:val="2"/>
          <w:sz w:val="28"/>
          <w:szCs w:val="28"/>
          <w:highlight w:val="none"/>
          <w:lang w:val="en-US" w:eastAsia="zh-CN" w:bidi="ar-SA"/>
        </w:rPr>
      </w:pPr>
      <w:r>
        <w:rPr>
          <w:rFonts w:hint="eastAsia" w:ascii="仿宋" w:hAnsi="仿宋" w:eastAsia="仿宋" w:cs="仿宋"/>
          <w:b w:val="0"/>
          <w:color w:val="000000"/>
          <w:kern w:val="2"/>
          <w:sz w:val="28"/>
          <w:szCs w:val="28"/>
          <w:highlight w:val="none"/>
          <w:lang w:val="en-US" w:eastAsia="zh-CN" w:bidi="ar-SA"/>
        </w:rPr>
        <w:t>5、可提供增值税专用发票。</w:t>
      </w:r>
    </w:p>
    <w:p>
      <w:pPr>
        <w:pStyle w:val="3"/>
        <w:rPr>
          <w:rFonts w:ascii="仿宋" w:hAnsi="仿宋" w:eastAsia="仿宋" w:cs="仿宋"/>
          <w:kern w:val="0"/>
          <w:sz w:val="28"/>
          <w:szCs w:val="28"/>
          <w:highlight w:val="none"/>
        </w:rPr>
      </w:pPr>
    </w:p>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keepNext w:val="0"/>
        <w:keepLines w:val="0"/>
        <w:pageBreakBefore w:val="0"/>
        <w:widowControl w:val="0"/>
        <w:kinsoku/>
        <w:wordWrap/>
        <w:overflowPunct/>
        <w:topLinePunct w:val="0"/>
        <w:autoSpaceDE/>
        <w:autoSpaceDN/>
        <w:bidi w:val="0"/>
        <w:adjustRightInd/>
        <w:snapToGrid w:val="0"/>
        <w:spacing w:after="0" w:line="400" w:lineRule="exact"/>
        <w:jc w:val="left"/>
        <w:textAlignment w:val="auto"/>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8"/>
        <w:keepNext w:val="0"/>
        <w:keepLines w:val="0"/>
        <w:pageBreakBefore w:val="0"/>
        <w:widowControl w:val="0"/>
        <w:kinsoku/>
        <w:wordWrap/>
        <w:overflowPunct/>
        <w:topLinePunct w:val="0"/>
        <w:autoSpaceDE/>
        <w:autoSpaceDN/>
        <w:bidi w:val="0"/>
        <w:adjustRightInd/>
        <w:snapToGrid w:val="0"/>
        <w:spacing w:after="0" w:line="40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8"/>
        <w:keepNext w:val="0"/>
        <w:keepLines w:val="0"/>
        <w:pageBreakBefore w:val="0"/>
        <w:widowControl w:val="0"/>
        <w:kinsoku/>
        <w:wordWrap/>
        <w:overflowPunct/>
        <w:topLinePunct w:val="0"/>
        <w:autoSpaceDE/>
        <w:autoSpaceDN/>
        <w:bidi w:val="0"/>
        <w:adjustRightInd/>
        <w:snapToGrid w:val="0"/>
        <w:spacing w:after="0" w:line="40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pPr>
        <w:pStyle w:val="8"/>
        <w:keepNext w:val="0"/>
        <w:keepLines w:val="0"/>
        <w:pageBreakBefore w:val="0"/>
        <w:widowControl w:val="0"/>
        <w:kinsoku/>
        <w:wordWrap/>
        <w:overflowPunct/>
        <w:topLinePunct w:val="0"/>
        <w:autoSpaceDE/>
        <w:autoSpaceDN/>
        <w:bidi w:val="0"/>
        <w:adjustRightInd/>
        <w:snapToGrid w:val="0"/>
        <w:spacing w:after="0" w:line="40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8"/>
        <w:keepNext w:val="0"/>
        <w:keepLines w:val="0"/>
        <w:pageBreakBefore w:val="0"/>
        <w:widowControl w:val="0"/>
        <w:kinsoku/>
        <w:wordWrap/>
        <w:overflowPunct/>
        <w:topLinePunct w:val="0"/>
        <w:autoSpaceDE/>
        <w:autoSpaceDN/>
        <w:bidi w:val="0"/>
        <w:adjustRightInd/>
        <w:snapToGrid w:val="0"/>
        <w:spacing w:after="0" w:line="40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pPr>
        <w:pStyle w:val="8"/>
        <w:keepNext w:val="0"/>
        <w:keepLines w:val="0"/>
        <w:pageBreakBefore w:val="0"/>
        <w:widowControl w:val="0"/>
        <w:kinsoku/>
        <w:wordWrap/>
        <w:overflowPunct/>
        <w:topLinePunct w:val="0"/>
        <w:autoSpaceDE/>
        <w:autoSpaceDN/>
        <w:bidi w:val="0"/>
        <w:adjustRightInd/>
        <w:snapToGrid w:val="0"/>
        <w:spacing w:after="0" w:line="40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8"/>
        <w:keepNext w:val="0"/>
        <w:keepLines w:val="0"/>
        <w:pageBreakBefore w:val="0"/>
        <w:widowControl w:val="0"/>
        <w:kinsoku/>
        <w:wordWrap/>
        <w:overflowPunct/>
        <w:topLinePunct w:val="0"/>
        <w:autoSpaceDE/>
        <w:autoSpaceDN/>
        <w:bidi w:val="0"/>
        <w:adjustRightInd/>
        <w:snapToGrid w:val="0"/>
        <w:spacing w:after="0" w:line="40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8"/>
        <w:keepNext w:val="0"/>
        <w:keepLines w:val="0"/>
        <w:pageBreakBefore w:val="0"/>
        <w:widowControl w:val="0"/>
        <w:kinsoku/>
        <w:wordWrap/>
        <w:overflowPunct/>
        <w:topLinePunct w:val="0"/>
        <w:autoSpaceDE/>
        <w:autoSpaceDN/>
        <w:bidi w:val="0"/>
        <w:adjustRightInd/>
        <w:snapToGrid w:val="0"/>
        <w:spacing w:after="0" w:line="40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8"/>
        <w:keepNext w:val="0"/>
        <w:keepLines w:val="0"/>
        <w:pageBreakBefore w:val="0"/>
        <w:widowControl w:val="0"/>
        <w:kinsoku/>
        <w:wordWrap/>
        <w:overflowPunct/>
        <w:topLinePunct w:val="0"/>
        <w:autoSpaceDE/>
        <w:autoSpaceDN/>
        <w:bidi w:val="0"/>
        <w:adjustRightInd/>
        <w:snapToGrid w:val="0"/>
        <w:spacing w:after="0" w:line="40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8"/>
        <w:keepNext w:val="0"/>
        <w:keepLines w:val="0"/>
        <w:pageBreakBefore w:val="0"/>
        <w:widowControl w:val="0"/>
        <w:kinsoku/>
        <w:wordWrap/>
        <w:overflowPunct/>
        <w:topLinePunct w:val="0"/>
        <w:autoSpaceDE/>
        <w:autoSpaceDN/>
        <w:bidi w:val="0"/>
        <w:adjustRightInd/>
        <w:snapToGrid w:val="0"/>
        <w:spacing w:after="0" w:line="400" w:lineRule="exact"/>
        <w:ind w:firstLine="560" w:firstLineChars="200"/>
        <w:jc w:val="left"/>
        <w:textAlignment w:val="auto"/>
        <w:rPr>
          <w:rFonts w:ascii="仿宋" w:hAnsi="仿宋" w:eastAsia="仿宋" w:cs="仿宋"/>
          <w:bCs/>
          <w:color w:val="000000"/>
          <w:sz w:val="28"/>
          <w:szCs w:val="28"/>
          <w:highlight w:val="none"/>
        </w:rPr>
      </w:pPr>
    </w:p>
    <w:p>
      <w:pPr>
        <w:rPr>
          <w:rFonts w:ascii="仿宋" w:hAnsi="仿宋" w:eastAsia="仿宋" w:cs="仿宋"/>
          <w:bCs/>
          <w:color w:val="000000"/>
          <w:sz w:val="28"/>
          <w:szCs w:val="28"/>
          <w:highlight w:val="none"/>
        </w:rPr>
      </w:pPr>
    </w:p>
    <w:p>
      <w:pPr>
        <w:pStyle w:val="2"/>
      </w:pPr>
    </w:p>
    <w:p>
      <w:pPr>
        <w:pStyle w:val="8"/>
        <w:keepNext w:val="0"/>
        <w:keepLines w:val="0"/>
        <w:pageBreakBefore w:val="0"/>
        <w:widowControl w:val="0"/>
        <w:kinsoku/>
        <w:wordWrap/>
        <w:overflowPunct/>
        <w:topLinePunct w:val="0"/>
        <w:autoSpaceDE/>
        <w:autoSpaceDN/>
        <w:bidi w:val="0"/>
        <w:adjustRightInd/>
        <w:snapToGrid w:val="0"/>
        <w:spacing w:after="0" w:line="40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8"/>
        <w:keepNext w:val="0"/>
        <w:keepLines w:val="0"/>
        <w:pageBreakBefore w:val="0"/>
        <w:widowControl w:val="0"/>
        <w:kinsoku/>
        <w:wordWrap/>
        <w:overflowPunct/>
        <w:topLinePunct w:val="0"/>
        <w:autoSpaceDE/>
        <w:autoSpaceDN/>
        <w:bidi w:val="0"/>
        <w:adjustRightInd/>
        <w:snapToGrid w:val="0"/>
        <w:spacing w:after="0" w:line="40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8"/>
        <w:keepNext w:val="0"/>
        <w:keepLines w:val="0"/>
        <w:pageBreakBefore w:val="0"/>
        <w:widowControl w:val="0"/>
        <w:kinsoku/>
        <w:wordWrap/>
        <w:overflowPunct/>
        <w:topLinePunct w:val="0"/>
        <w:autoSpaceDE/>
        <w:autoSpaceDN/>
        <w:bidi w:val="0"/>
        <w:adjustRightInd/>
        <w:snapToGrid w:val="0"/>
        <w:spacing w:after="0" w:line="400" w:lineRule="exact"/>
        <w:ind w:firstLine="560" w:firstLineChars="200"/>
        <w:textAlignment w:val="auto"/>
        <w:rPr>
          <w:rFonts w:ascii="仿宋" w:hAnsi="仿宋" w:eastAsia="仿宋" w:cs="仿宋"/>
          <w:bCs/>
          <w:color w:val="000000"/>
          <w:sz w:val="28"/>
          <w:szCs w:val="28"/>
          <w:highlight w:val="none"/>
        </w:rPr>
      </w:pPr>
    </w:p>
    <w:p>
      <w:pPr>
        <w:pStyle w:val="8"/>
        <w:keepNext w:val="0"/>
        <w:keepLines w:val="0"/>
        <w:pageBreakBefore w:val="0"/>
        <w:widowControl w:val="0"/>
        <w:kinsoku/>
        <w:wordWrap/>
        <w:overflowPunct/>
        <w:topLinePunct w:val="0"/>
        <w:autoSpaceDE/>
        <w:autoSpaceDN/>
        <w:bidi w:val="0"/>
        <w:adjustRightInd/>
        <w:snapToGrid w:val="0"/>
        <w:spacing w:after="0" w:line="40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pStyle w:val="12"/>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pPr>
        <w:spacing w:line="276" w:lineRule="auto"/>
        <w:jc w:val="center"/>
        <w:rPr>
          <w:rFonts w:ascii="宋体" w:hAnsi="宋体" w:cs="宋体"/>
          <w:b/>
          <w:sz w:val="24"/>
          <w:highlight w:val="none"/>
        </w:rPr>
      </w:pPr>
    </w:p>
    <w:p>
      <w:pPr>
        <w:tabs>
          <w:tab w:val="left" w:pos="8364"/>
        </w:tabs>
        <w:snapToGrid w:val="0"/>
        <w:spacing w:line="360" w:lineRule="auto"/>
        <w:ind w:right="-58"/>
        <w:rPr>
          <w:rFonts w:ascii="宋体" w:hAnsi="宋体" w:cs="宋体"/>
          <w:sz w:val="24"/>
          <w:highlight w:val="none"/>
          <w:u w:val="singl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pPr>
        <w:widowControl/>
        <w:spacing w:after="200" w:line="480" w:lineRule="exact"/>
        <w:ind w:firstLine="480" w:firstLineChars="200"/>
        <w:rPr>
          <w:rFonts w:ascii="宋体" w:hAnsi="宋体" w:cs="宋体"/>
          <w:bCs/>
          <w:kern w:val="0"/>
          <w:sz w:val="24"/>
          <w:highlight w:val="none"/>
        </w:rPr>
      </w:pPr>
    </w:p>
    <w:p>
      <w:pPr>
        <w:pStyle w:val="11"/>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w:t>
      </w:r>
      <w:bookmarkStart w:id="1" w:name="_GoBack"/>
      <w:bookmarkEnd w:id="1"/>
      <w:r>
        <w:rPr>
          <w:rFonts w:hint="eastAsia" w:ascii="仿宋" w:hAnsi="仿宋" w:eastAsia="仿宋" w:cs="仿宋"/>
          <w:bCs/>
          <w:color w:val="000000"/>
          <w:sz w:val="28"/>
          <w:szCs w:val="28"/>
          <w:highlight w:val="none"/>
        </w:rPr>
        <w:t>办理【</w:t>
      </w:r>
      <w:r>
        <w:rPr>
          <w:rFonts w:hint="eastAsia" w:ascii="仿宋" w:hAnsi="仿宋" w:eastAsia="仿宋" w:cs="仿宋"/>
          <w:bCs/>
          <w:color w:val="000000"/>
          <w:sz w:val="28"/>
          <w:szCs w:val="28"/>
          <w:highlight w:val="none"/>
          <w:lang w:val="en-US" w:eastAsia="zh-CN"/>
        </w:rPr>
        <w:t>第二届鳜鱼论坛搭建执行服务项目</w:t>
      </w:r>
      <w:r>
        <w:rPr>
          <w:rFonts w:hint="eastAsia" w:ascii="仿宋" w:hAnsi="仿宋" w:eastAsia="仿宋" w:cs="仿宋"/>
          <w:bCs/>
          <w:color w:val="000000"/>
          <w:sz w:val="28"/>
          <w:szCs w:val="28"/>
          <w:highlight w:val="none"/>
        </w:rPr>
        <w:t>】的【洽谈、签约、项目服务联络等】事宜。</w:t>
      </w:r>
    </w:p>
    <w:p>
      <w:pPr>
        <w:pStyle w:val="11"/>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11"/>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11"/>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11"/>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11"/>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11"/>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11"/>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11"/>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11"/>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11"/>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11"/>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4"/>
        <w:rPr>
          <w:highlight w:val="none"/>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firstLine="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4"/>
              <w:ind w:firstLine="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4"/>
              <w:ind w:firstLine="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4"/>
              <w:ind w:firstLine="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firstLine="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firstLine="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firstLine="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firstLine="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firstLine="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4"/>
              <w:ind w:firstLine="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4"/>
              <w:ind w:firstLine="0"/>
              <w:jc w:val="center"/>
              <w:rPr>
                <w:rFonts w:ascii="仿宋" w:hAnsi="仿宋" w:eastAsia="仿宋" w:cs="仿宋"/>
                <w:sz w:val="28"/>
                <w:szCs w:val="28"/>
                <w:highlight w:val="none"/>
              </w:rPr>
            </w:pPr>
          </w:p>
        </w:tc>
        <w:tc>
          <w:tcPr>
            <w:tcW w:w="2200" w:type="dxa"/>
          </w:tcPr>
          <w:p>
            <w:pPr>
              <w:pStyle w:val="14"/>
              <w:ind w:firstLine="0"/>
              <w:jc w:val="center"/>
              <w:rPr>
                <w:rFonts w:ascii="仿宋" w:hAnsi="仿宋" w:eastAsia="仿宋" w:cs="仿宋"/>
                <w:sz w:val="28"/>
                <w:szCs w:val="28"/>
                <w:highlight w:val="none"/>
              </w:rPr>
            </w:pPr>
          </w:p>
        </w:tc>
        <w:tc>
          <w:tcPr>
            <w:tcW w:w="3350" w:type="dxa"/>
          </w:tcPr>
          <w:p>
            <w:pPr>
              <w:pStyle w:val="14"/>
              <w:ind w:firstLine="0"/>
              <w:jc w:val="center"/>
              <w:rPr>
                <w:rFonts w:ascii="仿宋" w:hAnsi="仿宋" w:eastAsia="仿宋" w:cs="仿宋"/>
                <w:sz w:val="28"/>
                <w:szCs w:val="28"/>
                <w:highlight w:val="none"/>
              </w:rPr>
            </w:pPr>
          </w:p>
        </w:tc>
      </w:tr>
    </w:tbl>
    <w:p>
      <w:pPr>
        <w:pStyle w:val="13"/>
        <w:spacing w:after="200" w:line="276" w:lineRule="auto"/>
        <w:ind w:firstLine="0" w:firstLineChars="0"/>
        <w:jc w:val="left"/>
        <w:rPr>
          <w:rFonts w:ascii="仿宋" w:hAnsi="仿宋" w:eastAsia="仿宋" w:cs="仿宋"/>
          <w:b/>
          <w:kern w:val="0"/>
          <w:sz w:val="28"/>
          <w:szCs w:val="28"/>
          <w:highlight w:val="none"/>
        </w:rPr>
      </w:pPr>
    </w:p>
    <w:p>
      <w:pPr>
        <w:pStyle w:val="13"/>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【提供人员经社保局盖章的202</w:t>
      </w:r>
      <w:r>
        <w:rPr>
          <w:rFonts w:hint="eastAsia" w:ascii="仿宋" w:hAnsi="仿宋" w:eastAsia="仿宋" w:cs="仿宋"/>
          <w:b/>
          <w:kern w:val="0"/>
          <w:sz w:val="28"/>
          <w:szCs w:val="28"/>
          <w:highlight w:val="none"/>
          <w:lang w:val="en-US" w:eastAsia="zh-CN"/>
        </w:rPr>
        <w:t>4</w:t>
      </w:r>
      <w:r>
        <w:rPr>
          <w:rFonts w:hint="eastAsia" w:ascii="仿宋" w:hAnsi="仿宋" w:eastAsia="仿宋" w:cs="仿宋"/>
          <w:b/>
          <w:kern w:val="0"/>
          <w:sz w:val="28"/>
          <w:szCs w:val="28"/>
          <w:highlight w:val="none"/>
        </w:rPr>
        <w:t>年</w:t>
      </w:r>
      <w:r>
        <w:rPr>
          <w:rFonts w:hint="eastAsia" w:ascii="仿宋" w:hAnsi="仿宋" w:eastAsia="仿宋" w:cs="仿宋"/>
          <w:b/>
          <w:kern w:val="0"/>
          <w:sz w:val="28"/>
          <w:szCs w:val="28"/>
          <w:highlight w:val="none"/>
          <w:lang w:val="en-US" w:eastAsia="zh-CN"/>
        </w:rPr>
        <w:t>3</w:t>
      </w:r>
      <w:r>
        <w:rPr>
          <w:rFonts w:hint="eastAsia" w:ascii="仿宋" w:hAnsi="仿宋" w:eastAsia="仿宋" w:cs="仿宋"/>
          <w:b/>
          <w:kern w:val="0"/>
          <w:sz w:val="28"/>
          <w:szCs w:val="28"/>
          <w:highlight w:val="none"/>
        </w:rPr>
        <w:t>月至今至少1个月的本单位缴纳社保的证明材料，否则不得分。】</w:t>
      </w:r>
    </w:p>
    <w:p>
      <w:pPr>
        <w:rPr>
          <w:rFonts w:ascii="宋体" w:hAnsi="宋体" w:cs="宋体"/>
          <w:b/>
          <w:bCs/>
          <w:sz w:val="24"/>
          <w:highlight w:val="none"/>
        </w:rPr>
      </w:pPr>
      <w:r>
        <w:rPr>
          <w:rFonts w:hint="eastAsia" w:ascii="宋体" w:hAnsi="宋体" w:cs="宋体"/>
          <w:b/>
          <w:bCs/>
          <w:sz w:val="24"/>
          <w:highlight w:val="none"/>
        </w:rPr>
        <w:br w:type="page"/>
      </w:r>
    </w:p>
    <w:p>
      <w:pPr>
        <w:pStyle w:val="13"/>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pPr>
      <w:r>
        <w:rPr>
          <w:rFonts w:hint="eastAsia" w:ascii="仿宋" w:hAnsi="仿宋" w:eastAsia="仿宋" w:cs="仿宋"/>
          <w:bCs/>
          <w:kern w:val="0"/>
          <w:sz w:val="28"/>
          <w:szCs w:val="28"/>
          <w:highlight w:val="none"/>
        </w:rPr>
        <w:t>（提供项目服务方案，格式自拟）</w:t>
      </w: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pStyle w:val="13"/>
        <w:spacing w:after="0"/>
        <w:ind w:firstLine="0" w:firstLineChars="0"/>
        <w:jc w:val="center"/>
        <w:rPr>
          <w:rFonts w:hint="eastAsia" w:ascii="仿宋" w:hAnsi="仿宋" w:eastAsia="仿宋" w:cs="仿宋"/>
          <w:b/>
          <w:bCs/>
          <w:sz w:val="28"/>
          <w:szCs w:val="28"/>
          <w:highlight w:val="none"/>
        </w:rPr>
      </w:pPr>
    </w:p>
    <w:p>
      <w:pPr>
        <w:jc w:val="center"/>
        <w:rPr>
          <w:rFonts w:hint="default"/>
          <w:lang w:val="en-US"/>
        </w:rPr>
      </w:pPr>
      <w:r>
        <w:rPr>
          <w:rFonts w:hint="eastAsia" w:ascii="仿宋" w:hAnsi="仿宋" w:eastAsia="仿宋" w:cs="仿宋"/>
          <w:b/>
          <w:bCs/>
          <w:sz w:val="28"/>
          <w:szCs w:val="28"/>
          <w:highlight w:val="none"/>
        </w:rPr>
        <w:t>九、报价人认为需要补充的其他</w:t>
      </w:r>
      <w:r>
        <w:rPr>
          <w:rFonts w:hint="eastAsia" w:ascii="仿宋" w:hAnsi="仿宋" w:eastAsia="仿宋" w:cs="仿宋"/>
          <w:b/>
          <w:bCs/>
          <w:sz w:val="28"/>
          <w:szCs w:val="28"/>
          <w:highlight w:val="none"/>
          <w:lang w:val="en-US" w:eastAsia="zh-CN"/>
        </w:rPr>
        <w:t>资料</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aiTi_GB2312">
    <w:altName w:val="楷体"/>
    <w:panose1 w:val="00000000000000000000"/>
    <w:charset w:val="86"/>
    <w:family w:val="auto"/>
    <w:pitch w:val="default"/>
    <w:sig w:usb0="00000000" w:usb1="00000000" w:usb2="00000000" w:usb3="00000000" w:csb0="00060000"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MjMwZjI1YmM5M2EyMjJhMDM1MDg5OTgzNGRhZDIifQ=="/>
    <w:docVar w:name="KSO_WPS_MARK_KEY" w:val="314decd5-c50c-4635-80a6-c34e2fa23b36"/>
  </w:docVars>
  <w:rsids>
    <w:rsidRoot w:val="00000000"/>
    <w:rsid w:val="195C6D25"/>
    <w:rsid w:val="2AA908F1"/>
    <w:rsid w:val="336C78FE"/>
    <w:rsid w:val="33791178"/>
    <w:rsid w:val="7AE62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Calibri" w:hAnsi="Calibri" w:eastAsia="宋体" w:cs="宋体"/>
      <w:kern w:val="2"/>
      <w:sz w:val="21"/>
      <w:szCs w:val="24"/>
      <w:lang w:val="en-US" w:eastAsia="zh-CN" w:bidi="ar-SA"/>
    </w:rPr>
  </w:style>
  <w:style w:type="paragraph" w:styleId="2">
    <w:name w:val="heading 2"/>
    <w:basedOn w:val="1"/>
    <w:next w:val="3"/>
    <w:semiHidden/>
    <w:unhideWhenUsed/>
    <w:qFormat/>
    <w:uiPriority w:val="0"/>
    <w:pPr>
      <w:spacing w:beforeAutospacing="1" w:after="0" w:afterAutospacing="1"/>
      <w:jc w:val="left"/>
      <w:outlineLvl w:val="1"/>
    </w:pPr>
    <w:rPr>
      <w:rFonts w:hint="eastAsia" w:ascii="宋体" w:hAnsi="宋体" w:cs="Times New Roman"/>
      <w:b/>
      <w:kern w:val="0"/>
      <w:sz w:val="36"/>
      <w:szCs w:val="36"/>
    </w:rPr>
  </w:style>
  <w:style w:type="character" w:default="1" w:styleId="17">
    <w:name w:val="Default Paragraph Font"/>
    <w:semiHidden/>
    <w:uiPriority w:val="0"/>
  </w:style>
  <w:style w:type="table" w:default="1" w:styleId="15">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after="0" w:line="315" w:lineRule="atLeast"/>
      <w:ind w:firstLine="420"/>
      <w:jc w:val="left"/>
    </w:pPr>
    <w:rPr>
      <w:rFonts w:ascii="KaiTi_GB2312" w:hAnsi="Times New Roman" w:eastAsia="KaiTi_GB2312" w:cs="Times New Roman"/>
      <w:kern w:val="0"/>
      <w:sz w:val="28"/>
      <w:szCs w:val="20"/>
    </w:rPr>
  </w:style>
  <w:style w:type="paragraph" w:styleId="4">
    <w:name w:val="Body Text"/>
    <w:basedOn w:val="1"/>
    <w:next w:val="5"/>
    <w:qFormat/>
    <w:uiPriority w:val="0"/>
  </w:style>
  <w:style w:type="paragraph" w:styleId="5">
    <w:name w:val="Subtitle"/>
    <w:basedOn w:val="1"/>
    <w:next w:val="1"/>
    <w:qFormat/>
    <w:uiPriority w:val="0"/>
    <w:pPr>
      <w:spacing w:before="240" w:after="60" w:line="312" w:lineRule="auto"/>
      <w:jc w:val="center"/>
      <w:outlineLvl w:val="1"/>
    </w:pPr>
    <w:rPr>
      <w:rFonts w:ascii="Arial" w:hAnsi="Arial" w:cs="Arial"/>
      <w:b/>
      <w:bCs/>
      <w:kern w:val="28"/>
      <w:sz w:val="32"/>
      <w:szCs w:val="32"/>
    </w:rPr>
  </w:style>
  <w:style w:type="paragraph" w:styleId="6">
    <w:name w:val="Body Text Indent"/>
    <w:basedOn w:val="1"/>
    <w:next w:val="7"/>
    <w:qFormat/>
    <w:uiPriority w:val="99"/>
    <w:pPr>
      <w:spacing w:after="120"/>
      <w:ind w:left="420" w:leftChars="200"/>
    </w:pPr>
  </w:style>
  <w:style w:type="paragraph" w:styleId="7">
    <w:name w:val="envelope return"/>
    <w:qFormat/>
    <w:uiPriority w:val="0"/>
    <w:pPr>
      <w:widowControl w:val="0"/>
      <w:snapToGrid w:val="0"/>
      <w:jc w:val="both"/>
    </w:pPr>
    <w:rPr>
      <w:rFonts w:ascii="Arial" w:hAnsi="Arial" w:eastAsia="宋体" w:cs="Times New Roman"/>
      <w:kern w:val="2"/>
      <w:sz w:val="21"/>
      <w:szCs w:val="24"/>
      <w:lang w:val="en-US" w:eastAsia="zh-CN" w:bidi="ar-SA"/>
    </w:rPr>
  </w:style>
  <w:style w:type="paragraph" w:styleId="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9">
    <w:name w:val="toc 6"/>
    <w:basedOn w:val="1"/>
    <w:next w:val="1"/>
    <w:qFormat/>
    <w:uiPriority w:val="0"/>
    <w:pPr>
      <w:ind w:left="2100" w:leftChars="1000"/>
    </w:pPr>
  </w:style>
  <w:style w:type="paragraph" w:styleId="10">
    <w:name w:val="toc 2"/>
    <w:basedOn w:val="1"/>
    <w:next w:val="1"/>
    <w:qFormat/>
    <w:uiPriority w:val="0"/>
    <w:pPr>
      <w:spacing w:beforeLines="50" w:afterLines="50" w:line="360" w:lineRule="auto"/>
      <w:ind w:left="200"/>
    </w:pPr>
    <w:rPr>
      <w:smallCaps/>
    </w:rPr>
  </w:style>
  <w:style w:type="paragraph" w:styleId="11">
    <w:name w:val="Normal (Web)"/>
    <w:basedOn w:val="1"/>
    <w:qFormat/>
    <w:uiPriority w:val="0"/>
    <w:pPr>
      <w:spacing w:beforeAutospacing="1" w:afterAutospacing="1"/>
      <w:jc w:val="left"/>
    </w:pPr>
    <w:rPr>
      <w:rFonts w:cs="Times New Roman"/>
      <w:kern w:val="0"/>
      <w:sz w:val="24"/>
    </w:rPr>
  </w:style>
  <w:style w:type="paragraph" w:styleId="12">
    <w:name w:val="Title"/>
    <w:basedOn w:val="1"/>
    <w:next w:val="1"/>
    <w:qFormat/>
    <w:uiPriority w:val="0"/>
    <w:pPr>
      <w:spacing w:before="240" w:after="60"/>
      <w:jc w:val="center"/>
      <w:outlineLvl w:val="0"/>
    </w:pPr>
    <w:rPr>
      <w:rFonts w:ascii="Cambria" w:hAnsi="Cambria"/>
      <w:b/>
      <w:bCs/>
      <w:sz w:val="32"/>
      <w:szCs w:val="32"/>
    </w:rPr>
  </w:style>
  <w:style w:type="paragraph" w:styleId="13">
    <w:name w:val="Body Text First Indent"/>
    <w:basedOn w:val="4"/>
    <w:next w:val="9"/>
    <w:qFormat/>
    <w:uiPriority w:val="0"/>
    <w:pPr>
      <w:ind w:firstLine="420" w:firstLineChars="100"/>
    </w:pPr>
  </w:style>
  <w:style w:type="paragraph" w:styleId="14">
    <w:name w:val="Body Text First Indent 2"/>
    <w:basedOn w:val="6"/>
    <w:next w:val="1"/>
    <w:qFormat/>
    <w:uiPriority w:val="0"/>
    <w:pPr>
      <w:spacing w:after="0"/>
      <w:ind w:left="0" w:leftChars="0" w:firstLine="42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2828</Words>
  <Characters>3124</Characters>
  <Lines>0</Lines>
  <Paragraphs>0</Paragraphs>
  <TotalTime>5</TotalTime>
  <ScaleCrop>false</ScaleCrop>
  <LinksUpToDate>false</LinksUpToDate>
  <CharactersWithSpaces>3339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2025-03-18T07:51:00Z</dcterms:created>
  <dc:creator>yanglvb</dc:creator>
  <cp:lastModifiedBy>玉婷</cp:lastModifiedBy>
  <dcterms:modified xsi:type="dcterms:W3CDTF">2025-03-18T09:19:29Z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E72C784A01A74AF2ADA11BC89D06D14F_13</vt:lpwstr>
  </property>
</Properties>
</file>