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657FC">
      <w:pPr>
        <w:pStyle w:val="6"/>
        <w:keepNext w:val="0"/>
        <w:keepLines w:val="0"/>
        <w:widowControl/>
        <w:suppressLineNumbers w:val="0"/>
        <w:spacing w:before="0" w:beforeAutospacing="0" w:after="0" w:afterAutospacing="0" w:line="240" w:lineRule="auto"/>
        <w:ind w:left="0" w:right="0"/>
        <w:jc w:val="center"/>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2026年集团员工饭堂易耗品和洗涤用品</w:t>
      </w:r>
    </w:p>
    <w:p w14:paraId="42D07315">
      <w:pPr>
        <w:pStyle w:val="6"/>
        <w:keepNext w:val="0"/>
        <w:keepLines w:val="0"/>
        <w:widowControl/>
        <w:suppressLineNumbers w:val="0"/>
        <w:spacing w:before="0" w:beforeAutospacing="0" w:after="0" w:afterAutospacing="0" w:line="240" w:lineRule="auto"/>
        <w:ind w:left="0" w:right="0"/>
        <w:jc w:val="center"/>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采购合同</w:t>
      </w:r>
    </w:p>
    <w:p w14:paraId="535432A7">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i w:val="0"/>
          <w:color w:val="auto"/>
          <w:spacing w:val="0"/>
          <w:sz w:val="32"/>
          <w:szCs w:val="32"/>
          <w:highlight w:val="none"/>
          <w:vertAlign w:val="baseline"/>
        </w:rPr>
      </w:pPr>
    </w:p>
    <w:p w14:paraId="4736E89A">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甲方：广东南方报业传媒集团有限公司</w:t>
      </w:r>
    </w:p>
    <w:p w14:paraId="4C005354">
      <w:pPr>
        <w:pStyle w:val="6"/>
        <w:keepNext w:val="0"/>
        <w:keepLines w:val="0"/>
        <w:widowControl/>
        <w:suppressLineNumbers w:val="0"/>
        <w:spacing w:before="0" w:beforeAutospacing="0" w:after="0" w:afterAutospacing="0" w:line="240" w:lineRule="auto"/>
        <w:ind w:left="0" w:right="0"/>
        <w:jc w:val="both"/>
        <w:rPr>
          <w:rFonts w:hint="default" w:ascii="仿宋_GB2312" w:hAnsi="仿宋_GB2312" w:eastAsia="仿宋_GB2312" w:cs="仿宋_GB2312"/>
          <w:i w:val="0"/>
          <w:color w:val="auto"/>
          <w:spacing w:val="0"/>
          <w:sz w:val="28"/>
          <w:szCs w:val="28"/>
          <w:highlight w:val="none"/>
          <w:vertAlign w:val="baseline"/>
          <w:lang w:val="en-US" w:eastAsia="zh-CN"/>
        </w:rPr>
      </w:pPr>
      <w:r>
        <w:rPr>
          <w:rFonts w:hint="eastAsia" w:ascii="仿宋_GB2312" w:hAnsi="仿宋_GB2312" w:eastAsia="仿宋_GB2312" w:cs="仿宋_GB2312"/>
          <w:i w:val="0"/>
          <w:color w:val="auto"/>
          <w:spacing w:val="0"/>
          <w:sz w:val="28"/>
          <w:szCs w:val="28"/>
          <w:highlight w:val="none"/>
          <w:vertAlign w:val="baseline"/>
        </w:rPr>
        <w:t>乙方：</w:t>
      </w:r>
    </w:p>
    <w:p w14:paraId="1AD675B0">
      <w:pPr>
        <w:pStyle w:val="6"/>
        <w:keepNext w:val="0"/>
        <w:keepLines w:val="0"/>
        <w:widowControl/>
        <w:suppressLineNumbers w:val="0"/>
        <w:spacing w:before="0" w:beforeAutospacing="0" w:after="0" w:afterAutospacing="0" w:line="240" w:lineRule="auto"/>
        <w:ind w:left="0" w:right="0"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根据《中华人民共和国</w:t>
      </w:r>
      <w:r>
        <w:rPr>
          <w:rFonts w:hint="eastAsia" w:ascii="仿宋_GB2312" w:hAnsi="仿宋_GB2312" w:eastAsia="仿宋_GB2312" w:cs="仿宋_GB2312"/>
          <w:i w:val="0"/>
          <w:color w:val="auto"/>
          <w:spacing w:val="0"/>
          <w:sz w:val="28"/>
          <w:szCs w:val="28"/>
          <w:highlight w:val="none"/>
          <w:vertAlign w:val="baseline"/>
          <w:lang w:val="en-US" w:eastAsia="zh-CN"/>
        </w:rPr>
        <w:t>民法典</w:t>
      </w:r>
      <w:r>
        <w:rPr>
          <w:rFonts w:hint="eastAsia" w:ascii="仿宋_GB2312" w:hAnsi="仿宋_GB2312" w:eastAsia="仿宋_GB2312" w:cs="仿宋_GB2312"/>
          <w:i w:val="0"/>
          <w:color w:val="auto"/>
          <w:spacing w:val="0"/>
          <w:sz w:val="28"/>
          <w:szCs w:val="28"/>
          <w:highlight w:val="none"/>
          <w:vertAlign w:val="baseline"/>
        </w:rPr>
        <w:t>》等相关法律、法规，遵循平等、自愿、公平和诚实信用的原则，经双方协商一致，订立本合同。</w:t>
      </w:r>
    </w:p>
    <w:p w14:paraId="200F3B93">
      <w:pPr>
        <w:pStyle w:val="6"/>
        <w:keepNext w:val="0"/>
        <w:keepLines w:val="0"/>
        <w:widowControl/>
        <w:suppressLineNumbers w:val="0"/>
        <w:spacing w:before="0" w:beforeAutospacing="0" w:after="0" w:afterAutospacing="0" w:line="240" w:lineRule="auto"/>
        <w:ind w:left="0" w:right="0"/>
        <w:jc w:val="both"/>
        <w:rPr>
          <w:rFonts w:hint="default" w:ascii="黑体" w:hAnsi="黑体" w:eastAsia="黑体" w:cs="黑体"/>
          <w:color w:val="auto"/>
          <w:sz w:val="28"/>
          <w:szCs w:val="28"/>
          <w:highlight w:val="none"/>
          <w:lang w:val="en-US" w:eastAsia="zh-CN"/>
        </w:rPr>
      </w:pPr>
      <w:r>
        <w:rPr>
          <w:rFonts w:hint="eastAsia" w:ascii="黑体" w:hAnsi="黑体" w:eastAsia="黑体" w:cs="黑体"/>
          <w:i w:val="0"/>
          <w:color w:val="auto"/>
          <w:spacing w:val="0"/>
          <w:sz w:val="28"/>
          <w:szCs w:val="28"/>
          <w:highlight w:val="none"/>
          <w:vertAlign w:val="baseline"/>
        </w:rPr>
        <w:t>一、合同期限</w:t>
      </w:r>
      <w:r>
        <w:rPr>
          <w:rFonts w:hint="eastAsia" w:ascii="黑体" w:hAnsi="黑体" w:eastAsia="黑体" w:cs="黑体"/>
          <w:i w:val="0"/>
          <w:color w:val="auto"/>
          <w:spacing w:val="0"/>
          <w:sz w:val="28"/>
          <w:szCs w:val="28"/>
          <w:highlight w:val="none"/>
          <w:vertAlign w:val="baseline"/>
          <w:lang w:val="en-US" w:eastAsia="zh-CN"/>
        </w:rPr>
        <w:t>及采购额度</w:t>
      </w:r>
    </w:p>
    <w:p w14:paraId="0E56D5E2">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lang w:val="en-US" w:eastAsia="zh-CN"/>
        </w:rPr>
      </w:pPr>
      <w:bookmarkStart w:id="0" w:name="_GoBack"/>
      <w:r>
        <w:rPr>
          <w:rFonts w:hint="eastAsia" w:ascii="仿宋_GB2312" w:hAnsi="仿宋_GB2312" w:eastAsia="仿宋_GB2312" w:cs="仿宋_GB2312"/>
          <w:i w:val="0"/>
          <w:color w:val="auto"/>
          <w:spacing w:val="0"/>
          <w:sz w:val="28"/>
          <w:szCs w:val="28"/>
          <w:highlight w:val="none"/>
          <w:vertAlign w:val="baseline"/>
        </w:rPr>
        <w:t>1.1． 合同有效期：</w:t>
      </w:r>
      <w:r>
        <w:rPr>
          <w:rFonts w:hint="eastAsia" w:ascii="仿宋_GB2312" w:hAnsi="仿宋_GB2312" w:eastAsia="仿宋_GB2312" w:cs="仿宋_GB2312"/>
          <w:i w:val="0"/>
          <w:color w:val="auto"/>
          <w:spacing w:val="0"/>
          <w:sz w:val="28"/>
          <w:szCs w:val="28"/>
          <w:highlight w:val="none"/>
          <w:vertAlign w:val="baseline"/>
          <w:lang w:val="en-US" w:eastAsia="zh-CN"/>
        </w:rPr>
        <w:t>12个月</w:t>
      </w:r>
    </w:p>
    <w:p w14:paraId="4510A243">
      <w:pPr>
        <w:pStyle w:val="6"/>
        <w:keepNext w:val="0"/>
        <w:keepLines w:val="0"/>
        <w:widowControl/>
        <w:suppressLineNumbers w:val="0"/>
        <w:spacing w:before="0" w:beforeAutospacing="0" w:after="0" w:afterAutospacing="0" w:line="240" w:lineRule="auto"/>
        <w:ind w:right="0"/>
        <w:jc w:val="both"/>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i w:val="0"/>
          <w:color w:val="auto"/>
          <w:spacing w:val="0"/>
          <w:sz w:val="28"/>
          <w:szCs w:val="28"/>
          <w:highlight w:val="none"/>
          <w:u w:val="single"/>
          <w:vertAlign w:val="baseline"/>
          <w:lang w:val="en-US" w:eastAsia="zh-CN"/>
        </w:rPr>
        <w:t>2026</w:t>
      </w:r>
      <w:r>
        <w:rPr>
          <w:rFonts w:hint="eastAsia" w:ascii="仿宋_GB2312" w:hAnsi="仿宋_GB2312" w:eastAsia="仿宋_GB2312" w:cs="仿宋_GB2312"/>
          <w:i w:val="0"/>
          <w:color w:val="auto"/>
          <w:spacing w:val="0"/>
          <w:sz w:val="28"/>
          <w:szCs w:val="28"/>
          <w:highlight w:val="none"/>
          <w:vertAlign w:val="baseline"/>
        </w:rPr>
        <w:t>年</w:t>
      </w:r>
      <w:r>
        <w:rPr>
          <w:rFonts w:hint="eastAsia" w:ascii="仿宋_GB2312" w:hAnsi="仿宋_GB2312" w:eastAsia="仿宋_GB2312" w:cs="仿宋_GB2312"/>
          <w:i w:val="0"/>
          <w:color w:val="auto"/>
          <w:spacing w:val="0"/>
          <w:sz w:val="28"/>
          <w:szCs w:val="28"/>
          <w:highlight w:val="none"/>
          <w:vertAlign w:val="baseline"/>
          <w:lang w:val="en-US" w:eastAsia="zh-CN"/>
        </w:rPr>
        <w:t xml:space="preserve"> </w:t>
      </w:r>
      <w:r>
        <w:rPr>
          <w:rFonts w:hint="eastAsia" w:ascii="仿宋_GB2312" w:hAnsi="仿宋_GB2312" w:eastAsia="仿宋_GB2312" w:cs="仿宋_GB2312"/>
          <w:i w:val="0"/>
          <w:color w:val="auto"/>
          <w:spacing w:val="0"/>
          <w:sz w:val="28"/>
          <w:szCs w:val="28"/>
          <w:highlight w:val="none"/>
          <w:u w:val="single"/>
          <w:vertAlign w:val="baseline"/>
          <w:lang w:val="en-US" w:eastAsia="zh-CN"/>
        </w:rPr>
        <w:t>1</w:t>
      </w:r>
      <w:r>
        <w:rPr>
          <w:rFonts w:hint="eastAsia" w:ascii="仿宋_GB2312" w:hAnsi="仿宋_GB2312" w:eastAsia="仿宋_GB2312" w:cs="仿宋_GB2312"/>
          <w:i w:val="0"/>
          <w:color w:val="auto"/>
          <w:spacing w:val="0"/>
          <w:sz w:val="28"/>
          <w:szCs w:val="28"/>
          <w:highlight w:val="none"/>
          <w:vertAlign w:val="baseline"/>
        </w:rPr>
        <w:t>月</w:t>
      </w:r>
      <w:r>
        <w:rPr>
          <w:rFonts w:hint="eastAsia" w:ascii="仿宋_GB2312" w:hAnsi="仿宋_GB2312" w:eastAsia="仿宋_GB2312" w:cs="仿宋_GB2312"/>
          <w:i w:val="0"/>
          <w:color w:val="auto"/>
          <w:spacing w:val="0"/>
          <w:sz w:val="28"/>
          <w:szCs w:val="28"/>
          <w:highlight w:val="none"/>
          <w:u w:val="single"/>
          <w:vertAlign w:val="baseline"/>
          <w:lang w:val="en-US" w:eastAsia="zh-CN"/>
        </w:rPr>
        <w:t>1</w:t>
      </w:r>
      <w:r>
        <w:rPr>
          <w:rFonts w:hint="eastAsia" w:ascii="仿宋_GB2312" w:hAnsi="仿宋_GB2312" w:eastAsia="仿宋_GB2312" w:cs="仿宋_GB2312"/>
          <w:i w:val="0"/>
          <w:color w:val="auto"/>
          <w:spacing w:val="0"/>
          <w:sz w:val="28"/>
          <w:szCs w:val="28"/>
          <w:highlight w:val="none"/>
          <w:vertAlign w:val="baseline"/>
        </w:rPr>
        <w:t>日起至</w:t>
      </w:r>
      <w:r>
        <w:rPr>
          <w:rFonts w:hint="eastAsia" w:ascii="仿宋_GB2312" w:hAnsi="仿宋_GB2312" w:eastAsia="仿宋_GB2312" w:cs="仿宋_GB2312"/>
          <w:i w:val="0"/>
          <w:color w:val="auto"/>
          <w:spacing w:val="0"/>
          <w:sz w:val="28"/>
          <w:szCs w:val="28"/>
          <w:highlight w:val="none"/>
          <w:u w:val="single"/>
          <w:vertAlign w:val="baseline"/>
          <w:lang w:val="en-US" w:eastAsia="zh-CN"/>
        </w:rPr>
        <w:t>2026</w:t>
      </w:r>
      <w:r>
        <w:rPr>
          <w:rFonts w:hint="eastAsia" w:ascii="仿宋_GB2312" w:hAnsi="仿宋_GB2312" w:eastAsia="仿宋_GB2312" w:cs="仿宋_GB2312"/>
          <w:i w:val="0"/>
          <w:color w:val="auto"/>
          <w:spacing w:val="0"/>
          <w:sz w:val="28"/>
          <w:szCs w:val="28"/>
          <w:highlight w:val="none"/>
          <w:vertAlign w:val="baseline"/>
        </w:rPr>
        <w:t>年</w:t>
      </w:r>
      <w:r>
        <w:rPr>
          <w:rFonts w:hint="eastAsia" w:ascii="仿宋_GB2312" w:hAnsi="仿宋_GB2312" w:eastAsia="仿宋_GB2312" w:cs="仿宋_GB2312"/>
          <w:i w:val="0"/>
          <w:color w:val="auto"/>
          <w:spacing w:val="0"/>
          <w:sz w:val="28"/>
          <w:szCs w:val="28"/>
          <w:highlight w:val="none"/>
          <w:u w:val="single"/>
          <w:vertAlign w:val="baseline"/>
          <w:lang w:val="en-US" w:eastAsia="zh-CN"/>
        </w:rPr>
        <w:t>12</w:t>
      </w:r>
      <w:r>
        <w:rPr>
          <w:rFonts w:hint="eastAsia" w:ascii="仿宋_GB2312" w:hAnsi="仿宋_GB2312" w:eastAsia="仿宋_GB2312" w:cs="仿宋_GB2312"/>
          <w:i w:val="0"/>
          <w:color w:val="auto"/>
          <w:spacing w:val="0"/>
          <w:sz w:val="28"/>
          <w:szCs w:val="28"/>
          <w:highlight w:val="none"/>
          <w:vertAlign w:val="baseline"/>
        </w:rPr>
        <w:t>月</w:t>
      </w:r>
      <w:r>
        <w:rPr>
          <w:rFonts w:hint="eastAsia" w:ascii="仿宋_GB2312" w:hAnsi="仿宋_GB2312" w:eastAsia="仿宋_GB2312" w:cs="仿宋_GB2312"/>
          <w:i w:val="0"/>
          <w:color w:val="auto"/>
          <w:spacing w:val="0"/>
          <w:sz w:val="28"/>
          <w:szCs w:val="28"/>
          <w:highlight w:val="none"/>
          <w:u w:val="single"/>
          <w:vertAlign w:val="baseline"/>
          <w:lang w:val="en-US" w:eastAsia="zh-CN"/>
        </w:rPr>
        <w:t>31</w:t>
      </w:r>
      <w:r>
        <w:rPr>
          <w:rFonts w:hint="eastAsia" w:ascii="仿宋_GB2312" w:hAnsi="仿宋_GB2312" w:eastAsia="仿宋_GB2312" w:cs="仿宋_GB2312"/>
          <w:i w:val="0"/>
          <w:color w:val="auto"/>
          <w:spacing w:val="0"/>
          <w:sz w:val="28"/>
          <w:szCs w:val="28"/>
          <w:highlight w:val="none"/>
          <w:vertAlign w:val="baseline"/>
        </w:rPr>
        <w:t>日止。</w:t>
      </w:r>
      <w:r>
        <w:rPr>
          <w:rFonts w:hint="eastAsia" w:ascii="仿宋_GB2312" w:hAnsi="仿宋_GB2312" w:eastAsia="仿宋_GB2312" w:cs="仿宋_GB2312"/>
          <w:i w:val="0"/>
          <w:color w:val="auto"/>
          <w:spacing w:val="0"/>
          <w:sz w:val="28"/>
          <w:szCs w:val="28"/>
          <w:highlight w:val="none"/>
          <w:vertAlign w:val="baseline"/>
          <w:lang w:val="en-US" w:eastAsia="zh-CN"/>
        </w:rPr>
        <w:t>采购总额控制在48万元以内。</w:t>
      </w:r>
    </w:p>
    <w:p w14:paraId="0525A775">
      <w:pPr>
        <w:pStyle w:val="6"/>
        <w:keepNext w:val="0"/>
        <w:keepLines w:val="0"/>
        <w:widowControl/>
        <w:suppressLineNumbers w:val="0"/>
        <w:spacing w:before="0" w:beforeAutospacing="0" w:after="0" w:afterAutospacing="0" w:line="240" w:lineRule="auto"/>
        <w:ind w:left="0" w:right="0"/>
        <w:jc w:val="both"/>
        <w:rPr>
          <w:rFonts w:hint="eastAsia" w:ascii="黑体" w:hAnsi="黑体" w:eastAsia="黑体" w:cs="黑体"/>
          <w:color w:val="auto"/>
          <w:sz w:val="28"/>
          <w:szCs w:val="28"/>
          <w:highlight w:val="none"/>
        </w:rPr>
      </w:pPr>
      <w:r>
        <w:rPr>
          <w:rFonts w:hint="eastAsia" w:ascii="黑体" w:hAnsi="黑体" w:eastAsia="黑体" w:cs="黑体"/>
          <w:i w:val="0"/>
          <w:color w:val="auto"/>
          <w:spacing w:val="0"/>
          <w:sz w:val="28"/>
          <w:szCs w:val="28"/>
          <w:highlight w:val="none"/>
          <w:vertAlign w:val="baseline"/>
        </w:rPr>
        <w:t>二、服务模式</w:t>
      </w:r>
    </w:p>
    <w:p w14:paraId="4342D312">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2.1．甲方向乙方购买易耗品等物资。乙方应在收到甲方订单后按质按量按时提供物资。乙方当月交付物资之品种、数量及交货时间以甲方书面签收的交货单为准。</w:t>
      </w:r>
    </w:p>
    <w:p w14:paraId="0ED3733F">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2.2．本合同单价包含国家规定的有关税费、产地至交货地的运输、装卸费用等所有一切应包含之费用。</w:t>
      </w:r>
    </w:p>
    <w:p w14:paraId="77695A30">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2.3．本合同的交货地点是广州市广州大道中289号南方报业传媒集团员工饭堂</w:t>
      </w:r>
      <w:r>
        <w:rPr>
          <w:rFonts w:hint="eastAsia" w:ascii="仿宋_GB2312" w:hAnsi="仿宋_GB2312" w:eastAsia="仿宋_GB2312" w:cs="仿宋_GB2312"/>
          <w:i w:val="0"/>
          <w:color w:val="auto"/>
          <w:spacing w:val="0"/>
          <w:sz w:val="28"/>
          <w:szCs w:val="28"/>
          <w:highlight w:val="none"/>
          <w:vertAlign w:val="baseline"/>
          <w:lang w:eastAsia="zh-CN"/>
        </w:rPr>
        <w:t>，乙方承担货物运输途中毁损灭失的风险</w:t>
      </w:r>
      <w:r>
        <w:rPr>
          <w:rFonts w:hint="eastAsia" w:ascii="仿宋_GB2312" w:hAnsi="仿宋_GB2312" w:eastAsia="仿宋_GB2312" w:cs="仿宋_GB2312"/>
          <w:i w:val="0"/>
          <w:color w:val="auto"/>
          <w:spacing w:val="0"/>
          <w:sz w:val="28"/>
          <w:szCs w:val="28"/>
          <w:highlight w:val="none"/>
          <w:vertAlign w:val="baseline"/>
          <w:lang w:val="en-US" w:eastAsia="zh-CN"/>
        </w:rPr>
        <w:t>及费用</w:t>
      </w:r>
      <w:r>
        <w:rPr>
          <w:rFonts w:hint="eastAsia" w:ascii="仿宋_GB2312" w:hAnsi="仿宋_GB2312" w:eastAsia="仿宋_GB2312" w:cs="仿宋_GB2312"/>
          <w:i w:val="0"/>
          <w:color w:val="auto"/>
          <w:spacing w:val="0"/>
          <w:sz w:val="28"/>
          <w:szCs w:val="28"/>
          <w:highlight w:val="none"/>
          <w:vertAlign w:val="baseline"/>
        </w:rPr>
        <w:t>。</w:t>
      </w:r>
    </w:p>
    <w:p w14:paraId="56CB23E0">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2.4．乙方每月供货单价以乙方投标文件内报价为准。</w:t>
      </w:r>
    </w:p>
    <w:p w14:paraId="3A41F7D0">
      <w:pPr>
        <w:pStyle w:val="6"/>
        <w:keepNext w:val="0"/>
        <w:keepLines w:val="0"/>
        <w:widowControl/>
        <w:suppressLineNumbers w:val="0"/>
        <w:spacing w:before="0" w:beforeAutospacing="0" w:after="0" w:afterAutospacing="0" w:line="240" w:lineRule="auto"/>
        <w:ind w:left="0" w:right="0"/>
        <w:jc w:val="both"/>
        <w:rPr>
          <w:rFonts w:hint="eastAsia" w:ascii="黑体" w:hAnsi="黑体" w:eastAsia="黑体" w:cs="黑体"/>
          <w:color w:val="auto"/>
          <w:sz w:val="28"/>
          <w:szCs w:val="28"/>
          <w:highlight w:val="none"/>
        </w:rPr>
      </w:pPr>
      <w:r>
        <w:rPr>
          <w:rFonts w:hint="eastAsia" w:ascii="黑体" w:hAnsi="黑体" w:eastAsia="黑体" w:cs="黑体"/>
          <w:i w:val="0"/>
          <w:color w:val="auto"/>
          <w:spacing w:val="0"/>
          <w:sz w:val="28"/>
          <w:szCs w:val="28"/>
          <w:highlight w:val="none"/>
          <w:vertAlign w:val="baseline"/>
        </w:rPr>
        <w:t>三、结算支付</w:t>
      </w:r>
    </w:p>
    <w:p w14:paraId="79053CD1">
      <w:pPr>
        <w:pStyle w:val="2"/>
        <w:wordWrap w:val="0"/>
        <w:adjustRightInd w:val="0"/>
        <w:snapToGrid w:val="0"/>
        <w:spacing w:line="360" w:lineRule="auto"/>
        <w:ind w:firstLine="560" w:firstLineChars="200"/>
        <w:rPr>
          <w:rFonts w:hint="default" w:ascii="仿宋_GB2312" w:hAnsi="仿宋_GB2312" w:eastAsia="仿宋_GB2312" w:cs="仿宋_GB2312"/>
          <w:i w:val="0"/>
          <w:color w:val="auto"/>
          <w:spacing w:val="0"/>
          <w:sz w:val="28"/>
          <w:szCs w:val="28"/>
          <w:highlight w:val="none"/>
          <w:vertAlign w:val="baseline"/>
          <w:lang w:val="en-US" w:eastAsia="zh-CN"/>
        </w:rPr>
      </w:pPr>
      <w:r>
        <w:rPr>
          <w:rFonts w:hint="eastAsia" w:ascii="仿宋_GB2312" w:hAnsi="仿宋_GB2312" w:eastAsia="仿宋_GB2312" w:cs="仿宋_GB2312"/>
          <w:i w:val="0"/>
          <w:color w:val="auto"/>
          <w:spacing w:val="0"/>
          <w:sz w:val="28"/>
          <w:szCs w:val="28"/>
          <w:highlight w:val="none"/>
          <w:vertAlign w:val="baseline"/>
        </w:rPr>
        <w:t>3.1．结算付款方式为：当月供货结束，双方核对月度供货清单，由乙方按</w:t>
      </w:r>
      <w:r>
        <w:rPr>
          <w:rFonts w:hint="eastAsia" w:ascii="仿宋_GB2312" w:hAnsi="仿宋_GB2312" w:eastAsia="仿宋_GB2312" w:cs="仿宋_GB2312"/>
          <w:i w:val="0"/>
          <w:color w:val="auto"/>
          <w:spacing w:val="0"/>
          <w:sz w:val="28"/>
          <w:szCs w:val="28"/>
          <w:highlight w:val="none"/>
          <w:vertAlign w:val="baseline"/>
          <w:lang w:val="en-US" w:eastAsia="zh-CN"/>
        </w:rPr>
        <w:t>双方核对后的</w:t>
      </w:r>
      <w:r>
        <w:rPr>
          <w:rFonts w:hint="eastAsia" w:ascii="仿宋_GB2312" w:hAnsi="仿宋_GB2312" w:eastAsia="仿宋_GB2312" w:cs="仿宋_GB2312"/>
          <w:i w:val="0"/>
          <w:color w:val="auto"/>
          <w:spacing w:val="0"/>
          <w:sz w:val="28"/>
          <w:szCs w:val="28"/>
          <w:highlight w:val="none"/>
          <w:vertAlign w:val="baseline"/>
          <w:lang w:eastAsia="zh-CN"/>
        </w:rPr>
        <w:t>该</w:t>
      </w:r>
      <w:r>
        <w:rPr>
          <w:rFonts w:hint="eastAsia" w:ascii="仿宋_GB2312" w:hAnsi="仿宋_GB2312" w:eastAsia="仿宋_GB2312" w:cs="仿宋_GB2312"/>
          <w:i w:val="0"/>
          <w:color w:val="auto"/>
          <w:spacing w:val="0"/>
          <w:sz w:val="28"/>
          <w:szCs w:val="28"/>
          <w:highlight w:val="none"/>
          <w:vertAlign w:val="baseline"/>
        </w:rPr>
        <w:t>月</w:t>
      </w:r>
      <w:r>
        <w:rPr>
          <w:rFonts w:hint="eastAsia" w:ascii="仿宋_GB2312" w:hAnsi="仿宋_GB2312" w:eastAsia="仿宋_GB2312" w:cs="仿宋_GB2312"/>
          <w:i w:val="0"/>
          <w:color w:val="auto"/>
          <w:spacing w:val="0"/>
          <w:sz w:val="28"/>
          <w:szCs w:val="28"/>
          <w:highlight w:val="none"/>
          <w:vertAlign w:val="baseline"/>
          <w:lang w:val="en-US" w:eastAsia="zh-CN"/>
        </w:rPr>
        <w:t>度供货清单</w:t>
      </w:r>
      <w:r>
        <w:rPr>
          <w:rFonts w:hint="eastAsia" w:ascii="仿宋_GB2312" w:hAnsi="仿宋_GB2312" w:eastAsia="仿宋_GB2312" w:cs="仿宋_GB2312"/>
          <w:i w:val="0"/>
          <w:color w:val="auto"/>
          <w:spacing w:val="0"/>
          <w:sz w:val="28"/>
          <w:szCs w:val="28"/>
          <w:highlight w:val="none"/>
          <w:vertAlign w:val="baseline"/>
        </w:rPr>
        <w:t>配送物资的货值</w:t>
      </w:r>
      <w:r>
        <w:rPr>
          <w:rFonts w:hint="eastAsia" w:ascii="仿宋_GB2312" w:hAnsi="仿宋_GB2312" w:eastAsia="仿宋_GB2312" w:cs="仿宋_GB2312"/>
          <w:i w:val="0"/>
          <w:color w:val="auto"/>
          <w:spacing w:val="0"/>
          <w:sz w:val="28"/>
          <w:szCs w:val="28"/>
          <w:highlight w:val="none"/>
          <w:vertAlign w:val="baseline"/>
          <w:lang w:val="en-US" w:eastAsia="zh-CN"/>
        </w:rPr>
        <w:t>金额</w:t>
      </w:r>
      <w:r>
        <w:rPr>
          <w:rFonts w:hint="eastAsia" w:ascii="仿宋_GB2312" w:hAnsi="仿宋_GB2312" w:eastAsia="仿宋_GB2312" w:cs="仿宋_GB2312"/>
          <w:i w:val="0"/>
          <w:color w:val="auto"/>
          <w:spacing w:val="0"/>
          <w:sz w:val="28"/>
          <w:szCs w:val="28"/>
          <w:highlight w:val="none"/>
          <w:vertAlign w:val="baseline"/>
        </w:rPr>
        <w:t>开具合法正规的增值税专用发票。</w:t>
      </w:r>
      <w:r>
        <w:rPr>
          <w:rFonts w:hint="eastAsia" w:ascii="仿宋_GB2312" w:hAnsi="仿宋_GB2312" w:eastAsia="仿宋_GB2312" w:cs="仿宋_GB2312"/>
          <w:i w:val="0"/>
          <w:color w:val="auto"/>
          <w:spacing w:val="0"/>
          <w:sz w:val="28"/>
          <w:szCs w:val="28"/>
          <w:highlight w:val="none"/>
          <w:vertAlign w:val="baseline"/>
          <w:lang w:val="en-US" w:eastAsia="zh-CN"/>
        </w:rPr>
        <w:t>乙方提供的</w:t>
      </w:r>
      <w:r>
        <w:rPr>
          <w:rFonts w:hint="eastAsia" w:ascii="仿宋_GB2312" w:hAnsi="仿宋_GB2312" w:eastAsia="仿宋_GB2312" w:cs="仿宋_GB2312"/>
          <w:i w:val="0"/>
          <w:color w:val="auto"/>
          <w:spacing w:val="0"/>
          <w:sz w:val="28"/>
          <w:szCs w:val="28"/>
          <w:highlight w:val="none"/>
          <w:vertAlign w:val="baseline"/>
        </w:rPr>
        <w:t>结算资料齐备并经甲方审核</w:t>
      </w:r>
      <w:r>
        <w:rPr>
          <w:rFonts w:hint="eastAsia" w:ascii="仿宋_GB2312" w:hAnsi="仿宋_GB2312" w:eastAsia="仿宋_GB2312" w:cs="仿宋_GB2312"/>
          <w:i w:val="0"/>
          <w:color w:val="auto"/>
          <w:spacing w:val="0"/>
          <w:sz w:val="28"/>
          <w:szCs w:val="28"/>
          <w:highlight w:val="none"/>
          <w:vertAlign w:val="baseline"/>
          <w:lang w:val="en-US" w:eastAsia="zh-CN"/>
        </w:rPr>
        <w:t>通过</w:t>
      </w:r>
      <w:r>
        <w:rPr>
          <w:rFonts w:hint="eastAsia" w:ascii="仿宋_GB2312" w:hAnsi="仿宋_GB2312" w:eastAsia="仿宋_GB2312" w:cs="仿宋_GB2312"/>
          <w:i w:val="0"/>
          <w:color w:val="auto"/>
          <w:spacing w:val="0"/>
          <w:sz w:val="28"/>
          <w:szCs w:val="28"/>
          <w:highlight w:val="none"/>
          <w:vertAlign w:val="baseline"/>
        </w:rPr>
        <w:t>后20个工作日内由</w:t>
      </w:r>
      <w:r>
        <w:rPr>
          <w:rFonts w:hint="eastAsia" w:ascii="仿宋_GB2312" w:hAnsi="仿宋_GB2312" w:eastAsia="仿宋_GB2312" w:cs="仿宋_GB2312"/>
          <w:i w:val="0"/>
          <w:color w:val="auto"/>
          <w:spacing w:val="0"/>
          <w:sz w:val="28"/>
          <w:szCs w:val="28"/>
          <w:highlight w:val="none"/>
          <w:vertAlign w:val="baseline"/>
          <w:lang w:eastAsia="zh-CN"/>
        </w:rPr>
        <w:t>甲方</w:t>
      </w:r>
      <w:r>
        <w:rPr>
          <w:rFonts w:hint="eastAsia" w:ascii="仿宋_GB2312" w:hAnsi="仿宋_GB2312" w:eastAsia="仿宋_GB2312" w:cs="仿宋_GB2312"/>
          <w:i w:val="0"/>
          <w:color w:val="auto"/>
          <w:spacing w:val="0"/>
          <w:sz w:val="28"/>
          <w:szCs w:val="28"/>
          <w:highlight w:val="none"/>
          <w:vertAlign w:val="baseline"/>
        </w:rPr>
        <w:t>支付</w:t>
      </w:r>
      <w:r>
        <w:rPr>
          <w:rFonts w:hint="eastAsia" w:ascii="仿宋_GB2312" w:hAnsi="仿宋_GB2312" w:eastAsia="仿宋_GB2312" w:cs="仿宋_GB2312"/>
          <w:i w:val="0"/>
          <w:color w:val="auto"/>
          <w:spacing w:val="0"/>
          <w:sz w:val="28"/>
          <w:szCs w:val="28"/>
          <w:highlight w:val="none"/>
          <w:vertAlign w:val="baseline"/>
          <w:lang w:val="en-US" w:eastAsia="zh-CN"/>
        </w:rPr>
        <w:t>双方确认的结算金额</w:t>
      </w:r>
      <w:r>
        <w:rPr>
          <w:rFonts w:hint="eastAsia" w:ascii="仿宋_GB2312" w:hAnsi="仿宋_GB2312" w:eastAsia="仿宋_GB2312" w:cs="仿宋_GB2312"/>
          <w:i w:val="0"/>
          <w:color w:val="auto"/>
          <w:spacing w:val="0"/>
          <w:sz w:val="28"/>
          <w:szCs w:val="28"/>
          <w:highlight w:val="none"/>
          <w:vertAlign w:val="baseline"/>
        </w:rPr>
        <w:t>。</w:t>
      </w:r>
    </w:p>
    <w:p w14:paraId="1E3F5197">
      <w:pPr>
        <w:pStyle w:val="2"/>
        <w:wordWrap w:val="0"/>
        <w:adjustRightInd w:val="0"/>
        <w:snapToGrid w:val="0"/>
        <w:spacing w:line="360" w:lineRule="auto"/>
        <w:ind w:firstLine="560" w:firstLineChars="200"/>
        <w:rPr>
          <w:rFonts w:hint="eastAsia" w:ascii="仿宋_GB2312" w:hAnsi="仿宋_GB2312" w:eastAsia="仿宋_GB2312" w:cs="仿宋_GB2312"/>
          <w:sz w:val="24"/>
          <w:szCs w:val="32"/>
          <w:highlight w:val="none"/>
          <w:lang w:val="en-US" w:eastAsia="zh-CN"/>
        </w:rPr>
      </w:pPr>
      <w:r>
        <w:rPr>
          <w:rFonts w:hint="eastAsia" w:ascii="仿宋_GB2312" w:hAnsi="仿宋_GB2312" w:eastAsia="仿宋_GB2312" w:cs="仿宋_GB2312"/>
          <w:sz w:val="28"/>
          <w:szCs w:val="28"/>
          <w:highlight w:val="none"/>
          <w:lang w:val="en-US" w:eastAsia="zh-CN"/>
        </w:rPr>
        <w:t>本合同有效期内，如一方需要改变以下结算账户及发票信息，应提前十五天以加盖合同专用章或公司章的书面文件通知对方。如一方未按本合同规定通知而遭受损失的自行承担，若使另外一方遭受损失的，应赔偿相应损失。</w:t>
      </w:r>
    </w:p>
    <w:p w14:paraId="7162D96A">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（1）甲方信息</w:t>
      </w:r>
      <w:r>
        <w:rPr>
          <w:rFonts w:hint="eastAsia" w:ascii="仿宋_GB2312" w:hAnsi="仿宋_GB2312" w:eastAsia="仿宋_GB2312" w:cs="仿宋_GB2312"/>
          <w:color w:val="auto"/>
          <w:sz w:val="28"/>
          <w:szCs w:val="28"/>
          <w:highlight w:val="none"/>
        </w:rPr>
        <w:t>名称：广东南方报业传媒集团有限公司</w:t>
      </w:r>
    </w:p>
    <w:p w14:paraId="58B0FB48">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纳税人识别号</w:t>
      </w:r>
      <w:r>
        <w:rPr>
          <w:rFonts w:hint="eastAsia" w:ascii="仿宋_GB2312" w:hAnsi="仿宋_GB2312" w:eastAsia="仿宋_GB2312" w:cs="仿宋_GB2312"/>
          <w:color w:val="auto"/>
          <w:sz w:val="28"/>
          <w:szCs w:val="28"/>
          <w:highlight w:val="none"/>
        </w:rPr>
        <w:t>：9144 0000 1903 2573 7Q</w:t>
      </w:r>
    </w:p>
    <w:p w14:paraId="2D72C3F4">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地址：广州市越秀区广州大道中289号</w:t>
      </w:r>
    </w:p>
    <w:p w14:paraId="17659BCC">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电话：020-87373998</w:t>
      </w:r>
    </w:p>
    <w:p w14:paraId="0724B42D">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开户银行：中国建设银行股份有限公司广州五羊新城支行</w:t>
      </w:r>
    </w:p>
    <w:p w14:paraId="5E5E581E">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银行账户：4400 1400 9050 5008 1333</w:t>
      </w:r>
    </w:p>
    <w:p w14:paraId="5F048C99">
      <w:pPr>
        <w:pStyle w:val="6"/>
        <w:keepNext w:val="0"/>
        <w:keepLines w:val="0"/>
        <w:widowControl/>
        <w:numPr>
          <w:ilvl w:val="0"/>
          <w:numId w:val="1"/>
        </w:numPr>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乙方信息</w:t>
      </w:r>
      <w:r>
        <w:rPr>
          <w:rFonts w:hint="eastAsia" w:ascii="仿宋_GB2312" w:hAnsi="仿宋_GB2312" w:eastAsia="仿宋_GB2312" w:cs="仿宋_GB2312"/>
          <w:color w:val="auto"/>
          <w:sz w:val="28"/>
          <w:szCs w:val="28"/>
          <w:highlight w:val="none"/>
        </w:rPr>
        <w:t>名称：</w:t>
      </w:r>
    </w:p>
    <w:p w14:paraId="07EFCF9C">
      <w:pPr>
        <w:pStyle w:val="6"/>
        <w:keepNext w:val="0"/>
        <w:keepLines w:val="0"/>
        <w:widowControl/>
        <w:numPr>
          <w:ilvl w:val="0"/>
          <w:numId w:val="0"/>
        </w:numPr>
        <w:suppressLineNumbers w:val="0"/>
        <w:spacing w:before="0" w:beforeAutospacing="0" w:after="0" w:afterAutospacing="0" w:line="240" w:lineRule="auto"/>
        <w:ind w:right="0" w:rightChars="0"/>
        <w:jc w:val="both"/>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纳税人识别号</w:t>
      </w:r>
      <w:r>
        <w:rPr>
          <w:rFonts w:hint="eastAsia" w:ascii="仿宋_GB2312" w:hAnsi="仿宋_GB2312" w:eastAsia="仿宋_GB2312" w:cs="仿宋_GB2312"/>
          <w:color w:val="auto"/>
          <w:sz w:val="28"/>
          <w:szCs w:val="28"/>
          <w:highlight w:val="none"/>
        </w:rPr>
        <w:t>：</w:t>
      </w:r>
    </w:p>
    <w:p w14:paraId="68368F13">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地址：</w:t>
      </w:r>
    </w:p>
    <w:p w14:paraId="1018CB03">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电话：</w:t>
      </w:r>
    </w:p>
    <w:p w14:paraId="09534859">
      <w:pPr>
        <w:pStyle w:val="6"/>
        <w:keepNext w:val="0"/>
        <w:keepLines w:val="0"/>
        <w:widowControl/>
        <w:suppressLineNumbers w:val="0"/>
        <w:spacing w:before="0" w:beforeAutospacing="0" w:after="0" w:afterAutospacing="0" w:line="240" w:lineRule="auto"/>
        <w:ind w:left="0" w:right="0"/>
        <w:jc w:val="both"/>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开户银行：</w:t>
      </w:r>
    </w:p>
    <w:p w14:paraId="324B452B">
      <w:pPr>
        <w:pStyle w:val="6"/>
        <w:keepNext w:val="0"/>
        <w:keepLines w:val="0"/>
        <w:widowControl/>
        <w:suppressLineNumbers w:val="0"/>
        <w:spacing w:before="0" w:beforeAutospacing="0" w:after="0" w:afterAutospacing="0" w:line="240" w:lineRule="auto"/>
        <w:ind w:left="0" w:right="0"/>
        <w:jc w:val="both"/>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 xml:space="preserve">银行账户： </w:t>
      </w:r>
    </w:p>
    <w:p w14:paraId="165BDA3A">
      <w:pPr>
        <w:pStyle w:val="6"/>
        <w:keepNext w:val="0"/>
        <w:keepLines w:val="0"/>
        <w:widowControl/>
        <w:suppressLineNumbers w:val="0"/>
        <w:spacing w:before="0" w:beforeAutospacing="0" w:after="0" w:afterAutospacing="0" w:line="240" w:lineRule="auto"/>
        <w:ind w:left="0" w:right="0"/>
        <w:jc w:val="both"/>
        <w:rPr>
          <w:rFonts w:hint="eastAsia" w:ascii="黑体" w:hAnsi="黑体" w:eastAsia="黑体" w:cs="黑体"/>
          <w:color w:val="auto"/>
          <w:sz w:val="28"/>
          <w:szCs w:val="28"/>
          <w:highlight w:val="none"/>
        </w:rPr>
      </w:pPr>
      <w:r>
        <w:rPr>
          <w:rFonts w:hint="eastAsia" w:ascii="黑体" w:hAnsi="黑体" w:eastAsia="黑体" w:cs="黑体"/>
          <w:i w:val="0"/>
          <w:color w:val="auto"/>
          <w:spacing w:val="0"/>
          <w:sz w:val="28"/>
          <w:szCs w:val="28"/>
          <w:highlight w:val="none"/>
          <w:vertAlign w:val="baseline"/>
          <w:lang w:eastAsia="zh-CN"/>
        </w:rPr>
        <w:t>四</w:t>
      </w:r>
      <w:r>
        <w:rPr>
          <w:rFonts w:hint="eastAsia" w:ascii="黑体" w:hAnsi="黑体" w:eastAsia="黑体" w:cs="黑体"/>
          <w:i w:val="0"/>
          <w:color w:val="auto"/>
          <w:spacing w:val="0"/>
          <w:sz w:val="28"/>
          <w:szCs w:val="28"/>
          <w:highlight w:val="none"/>
          <w:vertAlign w:val="baseline"/>
        </w:rPr>
        <w:t>、交接货及物资质量</w:t>
      </w:r>
    </w:p>
    <w:p w14:paraId="2591B775">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4.1．乙方出售给甲方物资的生产、包装、运输、储存、质量等均必须符合国家及相关行业有关质量和卫生标准。</w:t>
      </w:r>
    </w:p>
    <w:p w14:paraId="7BB0F241">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4.2．甲方向乙方所购物资</w:t>
      </w:r>
      <w:r>
        <w:rPr>
          <w:rFonts w:hint="eastAsia" w:ascii="仿宋_GB2312" w:hAnsi="仿宋_GB2312" w:eastAsia="仿宋_GB2312" w:cs="仿宋_GB2312"/>
          <w:i w:val="0"/>
          <w:color w:val="auto"/>
          <w:spacing w:val="0"/>
          <w:sz w:val="28"/>
          <w:szCs w:val="28"/>
          <w:highlight w:val="none"/>
          <w:vertAlign w:val="baseline"/>
          <w:lang w:val="en-US" w:eastAsia="zh-CN"/>
        </w:rPr>
        <w:t>应至少</w:t>
      </w:r>
      <w:r>
        <w:rPr>
          <w:rFonts w:hint="eastAsia" w:ascii="仿宋_GB2312" w:hAnsi="仿宋_GB2312" w:eastAsia="仿宋_GB2312" w:cs="仿宋_GB2312"/>
          <w:i w:val="0"/>
          <w:color w:val="auto"/>
          <w:spacing w:val="0"/>
          <w:sz w:val="28"/>
          <w:szCs w:val="28"/>
          <w:highlight w:val="none"/>
          <w:vertAlign w:val="baseline"/>
        </w:rPr>
        <w:t>提前一天下订单，订单注明物资品名、规格、数量、质量等，乙方收到订单</w:t>
      </w:r>
      <w:r>
        <w:rPr>
          <w:rFonts w:hint="eastAsia" w:ascii="仿宋_GB2312" w:hAnsi="仿宋_GB2312" w:eastAsia="仿宋_GB2312" w:cs="仿宋_GB2312"/>
          <w:i w:val="0"/>
          <w:color w:val="auto"/>
          <w:spacing w:val="0"/>
          <w:sz w:val="28"/>
          <w:szCs w:val="28"/>
          <w:highlight w:val="none"/>
          <w:vertAlign w:val="baseline"/>
          <w:lang w:val="en-US" w:eastAsia="zh-CN"/>
        </w:rPr>
        <w:t>后当天</w:t>
      </w:r>
      <w:r>
        <w:rPr>
          <w:rFonts w:hint="eastAsia" w:ascii="仿宋_GB2312" w:hAnsi="仿宋_GB2312" w:eastAsia="仿宋_GB2312" w:cs="仿宋_GB2312"/>
          <w:i w:val="0"/>
          <w:color w:val="auto"/>
          <w:spacing w:val="0"/>
          <w:sz w:val="28"/>
          <w:szCs w:val="28"/>
          <w:highlight w:val="none"/>
          <w:vertAlign w:val="baseline"/>
        </w:rPr>
        <w:t>不</w:t>
      </w:r>
      <w:r>
        <w:rPr>
          <w:rFonts w:hint="eastAsia" w:ascii="仿宋_GB2312" w:hAnsi="仿宋_GB2312" w:eastAsia="仿宋_GB2312" w:cs="仿宋_GB2312"/>
          <w:i w:val="0"/>
          <w:color w:val="auto"/>
          <w:spacing w:val="0"/>
          <w:sz w:val="28"/>
          <w:szCs w:val="28"/>
          <w:highlight w:val="none"/>
          <w:vertAlign w:val="baseline"/>
          <w:lang w:val="en-US" w:eastAsia="zh-CN"/>
        </w:rPr>
        <w:t>予</w:t>
      </w:r>
      <w:r>
        <w:rPr>
          <w:rFonts w:hint="eastAsia" w:ascii="仿宋_GB2312" w:hAnsi="仿宋_GB2312" w:eastAsia="仿宋_GB2312" w:cs="仿宋_GB2312"/>
          <w:i w:val="0"/>
          <w:color w:val="auto"/>
          <w:spacing w:val="0"/>
          <w:sz w:val="28"/>
          <w:szCs w:val="28"/>
          <w:highlight w:val="none"/>
          <w:vertAlign w:val="baseline"/>
        </w:rPr>
        <w:t>回复，则视为</w:t>
      </w:r>
      <w:r>
        <w:rPr>
          <w:rFonts w:hint="eastAsia" w:ascii="仿宋_GB2312" w:hAnsi="仿宋_GB2312" w:eastAsia="仿宋_GB2312" w:cs="仿宋_GB2312"/>
          <w:i w:val="0"/>
          <w:color w:val="auto"/>
          <w:spacing w:val="0"/>
          <w:sz w:val="28"/>
          <w:szCs w:val="28"/>
          <w:highlight w:val="none"/>
          <w:vertAlign w:val="baseline"/>
          <w:lang w:eastAsia="zh-CN"/>
        </w:rPr>
        <w:t>乙方</w:t>
      </w:r>
      <w:r>
        <w:rPr>
          <w:rFonts w:hint="eastAsia" w:ascii="仿宋_GB2312" w:hAnsi="仿宋_GB2312" w:eastAsia="仿宋_GB2312" w:cs="仿宋_GB2312"/>
          <w:i w:val="0"/>
          <w:color w:val="auto"/>
          <w:spacing w:val="0"/>
          <w:sz w:val="28"/>
          <w:szCs w:val="28"/>
          <w:highlight w:val="none"/>
          <w:vertAlign w:val="baseline"/>
        </w:rPr>
        <w:t>默认接单。</w:t>
      </w:r>
    </w:p>
    <w:p w14:paraId="2E047F2F">
      <w:pPr>
        <w:pStyle w:val="6"/>
        <w:keepNext w:val="0"/>
        <w:keepLines w:val="0"/>
        <w:widowControl/>
        <w:suppressLineNumbers w:val="0"/>
        <w:spacing w:before="0" w:beforeAutospacing="0" w:after="0" w:afterAutospacing="0" w:line="240" w:lineRule="auto"/>
        <w:ind w:left="0" w:right="0"/>
        <w:jc w:val="both"/>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i w:val="0"/>
          <w:color w:val="auto"/>
          <w:spacing w:val="0"/>
          <w:sz w:val="28"/>
          <w:szCs w:val="28"/>
          <w:highlight w:val="none"/>
          <w:vertAlign w:val="baseline"/>
        </w:rPr>
        <w:t>4.3．甲方收货时发现乙方所供物资质量问题，甲方有权拒收，乙方须在拒收后</w:t>
      </w:r>
      <w:r>
        <w:rPr>
          <w:rFonts w:hint="eastAsia" w:ascii="仿宋_GB2312" w:hAnsi="仿宋_GB2312" w:eastAsia="仿宋_GB2312" w:cs="仿宋_GB2312"/>
          <w:i w:val="0"/>
          <w:color w:val="auto"/>
          <w:spacing w:val="0"/>
          <w:sz w:val="28"/>
          <w:szCs w:val="28"/>
          <w:highlight w:val="none"/>
          <w:u w:val="single"/>
          <w:vertAlign w:val="baseline"/>
        </w:rPr>
        <w:t>十二小时内</w:t>
      </w:r>
      <w:r>
        <w:rPr>
          <w:rFonts w:hint="eastAsia" w:ascii="仿宋_GB2312" w:hAnsi="仿宋_GB2312" w:eastAsia="仿宋_GB2312" w:cs="仿宋_GB2312"/>
          <w:i w:val="0"/>
          <w:color w:val="auto"/>
          <w:spacing w:val="0"/>
          <w:sz w:val="28"/>
          <w:szCs w:val="28"/>
          <w:highlight w:val="none"/>
          <w:vertAlign w:val="baseline"/>
        </w:rPr>
        <w:t>将符合甲方要求的物资补齐。</w:t>
      </w:r>
      <w:r>
        <w:rPr>
          <w:rFonts w:hint="eastAsia" w:ascii="仿宋_GB2312" w:hAnsi="仿宋_GB2312" w:eastAsia="仿宋_GB2312" w:cs="仿宋_GB2312"/>
          <w:i w:val="0"/>
          <w:color w:val="auto"/>
          <w:spacing w:val="0"/>
          <w:sz w:val="28"/>
          <w:szCs w:val="28"/>
          <w:highlight w:val="none"/>
          <w:vertAlign w:val="baseline"/>
          <w:lang w:val="en-US" w:eastAsia="zh-CN"/>
        </w:rPr>
        <w:t>如未能在约定时间内补齐，甲方有权委托第三方进行解决，由此产生的一切费用和风险由乙方承担。</w:t>
      </w:r>
    </w:p>
    <w:p w14:paraId="38214A0F">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4.4．乙方须按照双方约定的质量标准供应物资，同时必须提交该物资的合格证或质量检测报告，如所供物资未附产品合格证或质量检测报告的，甲方</w:t>
      </w:r>
      <w:r>
        <w:rPr>
          <w:rFonts w:hint="eastAsia" w:ascii="仿宋_GB2312" w:hAnsi="仿宋_GB2312" w:eastAsia="仿宋_GB2312" w:cs="仿宋_GB2312"/>
          <w:i w:val="0"/>
          <w:color w:val="auto"/>
          <w:spacing w:val="0"/>
          <w:sz w:val="28"/>
          <w:szCs w:val="28"/>
          <w:highlight w:val="none"/>
          <w:vertAlign w:val="baseline"/>
          <w:lang w:val="en-US" w:eastAsia="zh-CN"/>
        </w:rPr>
        <w:t>有权</w:t>
      </w:r>
      <w:r>
        <w:rPr>
          <w:rFonts w:hint="eastAsia" w:ascii="仿宋_GB2312" w:hAnsi="仿宋_GB2312" w:eastAsia="仿宋_GB2312" w:cs="仿宋_GB2312"/>
          <w:i w:val="0"/>
          <w:color w:val="auto"/>
          <w:spacing w:val="0"/>
          <w:sz w:val="28"/>
          <w:szCs w:val="28"/>
          <w:highlight w:val="none"/>
          <w:vertAlign w:val="baseline"/>
        </w:rPr>
        <w:t>不予收货，</w:t>
      </w:r>
      <w:r>
        <w:rPr>
          <w:rFonts w:hint="eastAsia" w:ascii="仿宋_GB2312" w:hAnsi="仿宋_GB2312" w:eastAsia="仿宋_GB2312" w:cs="仿宋_GB2312"/>
          <w:i w:val="0"/>
          <w:color w:val="auto"/>
          <w:spacing w:val="0"/>
          <w:sz w:val="28"/>
          <w:szCs w:val="28"/>
          <w:highlight w:val="none"/>
          <w:vertAlign w:val="baseline"/>
          <w:lang w:val="en-US" w:eastAsia="zh-CN"/>
        </w:rPr>
        <w:t>因此</w:t>
      </w:r>
      <w:r>
        <w:rPr>
          <w:rFonts w:hint="eastAsia" w:ascii="仿宋_GB2312" w:hAnsi="仿宋_GB2312" w:eastAsia="仿宋_GB2312" w:cs="仿宋_GB2312"/>
          <w:i w:val="0"/>
          <w:color w:val="auto"/>
          <w:spacing w:val="0"/>
          <w:sz w:val="28"/>
          <w:szCs w:val="28"/>
          <w:highlight w:val="none"/>
          <w:vertAlign w:val="baseline"/>
        </w:rPr>
        <w:t>给甲方所造成的损失由乙方负责</w:t>
      </w:r>
      <w:r>
        <w:rPr>
          <w:rFonts w:hint="eastAsia" w:ascii="仿宋_GB2312" w:hAnsi="仿宋_GB2312" w:eastAsia="仿宋_GB2312" w:cs="仿宋_GB2312"/>
          <w:i w:val="0"/>
          <w:color w:val="auto"/>
          <w:spacing w:val="0"/>
          <w:sz w:val="28"/>
          <w:szCs w:val="28"/>
          <w:highlight w:val="none"/>
          <w:vertAlign w:val="baseline"/>
          <w:lang w:eastAsia="zh-CN"/>
        </w:rPr>
        <w:t>赔偿</w:t>
      </w:r>
      <w:r>
        <w:rPr>
          <w:rFonts w:hint="eastAsia" w:ascii="仿宋_GB2312" w:hAnsi="仿宋_GB2312" w:eastAsia="仿宋_GB2312" w:cs="仿宋_GB2312"/>
          <w:i w:val="0"/>
          <w:color w:val="auto"/>
          <w:spacing w:val="0"/>
          <w:sz w:val="28"/>
          <w:szCs w:val="28"/>
          <w:highlight w:val="none"/>
          <w:vertAlign w:val="baseline"/>
        </w:rPr>
        <w:t>。</w:t>
      </w:r>
    </w:p>
    <w:p w14:paraId="05908D94">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4.5．乙方须保证甲方所采购的物资在</w:t>
      </w:r>
      <w:r>
        <w:rPr>
          <w:rFonts w:hint="eastAsia" w:ascii="仿宋_GB2312" w:hAnsi="仿宋_GB2312" w:eastAsia="仿宋_GB2312" w:cs="仿宋_GB2312"/>
          <w:i w:val="0"/>
          <w:color w:val="auto"/>
          <w:spacing w:val="0"/>
          <w:sz w:val="28"/>
          <w:szCs w:val="28"/>
          <w:highlight w:val="none"/>
          <w:u w:val="single"/>
          <w:vertAlign w:val="baseline"/>
        </w:rPr>
        <w:t>双方确认订单第二天17点</w:t>
      </w:r>
      <w:r>
        <w:rPr>
          <w:rFonts w:hint="eastAsia" w:ascii="仿宋_GB2312" w:hAnsi="仿宋_GB2312" w:eastAsia="仿宋_GB2312" w:cs="仿宋_GB2312"/>
          <w:i w:val="0"/>
          <w:color w:val="auto"/>
          <w:spacing w:val="0"/>
          <w:sz w:val="28"/>
          <w:szCs w:val="28"/>
          <w:highlight w:val="none"/>
          <w:vertAlign w:val="baseline"/>
        </w:rPr>
        <w:t>前送到约定地点，如乙方每</w:t>
      </w:r>
      <w:r>
        <w:rPr>
          <w:rFonts w:hint="eastAsia" w:ascii="仿宋_GB2312" w:hAnsi="仿宋_GB2312" w:eastAsia="仿宋_GB2312" w:cs="仿宋_GB2312"/>
          <w:i w:val="0"/>
          <w:color w:val="auto"/>
          <w:spacing w:val="0"/>
          <w:sz w:val="28"/>
          <w:szCs w:val="28"/>
          <w:highlight w:val="none"/>
          <w:vertAlign w:val="baseline"/>
          <w:lang w:eastAsia="zh-CN"/>
        </w:rPr>
        <w:t>季度</w:t>
      </w:r>
      <w:r>
        <w:rPr>
          <w:rFonts w:hint="eastAsia" w:ascii="仿宋_GB2312" w:hAnsi="仿宋_GB2312" w:eastAsia="仿宋_GB2312" w:cs="仿宋_GB2312"/>
          <w:i w:val="0"/>
          <w:color w:val="auto"/>
          <w:spacing w:val="0"/>
          <w:sz w:val="28"/>
          <w:szCs w:val="28"/>
          <w:highlight w:val="none"/>
          <w:vertAlign w:val="baseline"/>
        </w:rPr>
        <w:t>未能按时送达两次，甲方有权单方面终止合同。</w:t>
      </w:r>
    </w:p>
    <w:p w14:paraId="77B671DD">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4.6．乙方供应物资的包装应当按照国家规定的通用方式将产品安全、卫生地运抵甲方。包装上的警示语、产品名称、规格、生产厂家、保质期等必须有清晰的标示。</w:t>
      </w:r>
    </w:p>
    <w:p w14:paraId="67746815">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rPr>
        <w:t>4.7．若因使用乙方</w:t>
      </w:r>
      <w:r>
        <w:rPr>
          <w:rFonts w:hint="eastAsia" w:ascii="仿宋_GB2312" w:hAnsi="仿宋_GB2312" w:eastAsia="仿宋_GB2312" w:cs="仿宋_GB2312"/>
          <w:i w:val="0"/>
          <w:color w:val="auto"/>
          <w:spacing w:val="0"/>
          <w:sz w:val="28"/>
          <w:szCs w:val="28"/>
          <w:highlight w:val="none"/>
          <w:vertAlign w:val="baseline"/>
          <w:lang w:val="en-US" w:eastAsia="zh-CN"/>
        </w:rPr>
        <w:t>提供的</w:t>
      </w:r>
      <w:r>
        <w:rPr>
          <w:rFonts w:hint="eastAsia" w:ascii="仿宋_GB2312" w:hAnsi="仿宋_GB2312" w:eastAsia="仿宋_GB2312" w:cs="仿宋_GB2312"/>
          <w:i w:val="0"/>
          <w:color w:val="auto"/>
          <w:spacing w:val="0"/>
          <w:sz w:val="28"/>
          <w:szCs w:val="28"/>
          <w:highlight w:val="none"/>
          <w:vertAlign w:val="baseline"/>
        </w:rPr>
        <w:t>物资</w:t>
      </w:r>
      <w:r>
        <w:rPr>
          <w:rFonts w:hint="eastAsia" w:ascii="仿宋_GB2312" w:hAnsi="仿宋_GB2312" w:eastAsia="仿宋_GB2312" w:cs="仿宋_GB2312"/>
          <w:sz w:val="28"/>
          <w:szCs w:val="28"/>
          <w:highlight w:val="none"/>
          <w:lang w:val="en-US" w:eastAsia="zh-CN"/>
        </w:rPr>
        <w:t>甲方或第三方财产损害或人员伤亡的一切责任由乙方承担</w:t>
      </w:r>
      <w:r>
        <w:rPr>
          <w:rFonts w:hint="eastAsia" w:ascii="仿宋_GB2312" w:hAnsi="仿宋_GB2312" w:eastAsia="仿宋_GB2312" w:cs="仿宋_GB2312"/>
          <w:i w:val="0"/>
          <w:color w:val="auto"/>
          <w:spacing w:val="0"/>
          <w:sz w:val="28"/>
          <w:szCs w:val="28"/>
          <w:highlight w:val="none"/>
          <w:vertAlign w:val="baseline"/>
        </w:rPr>
        <w:t>，</w:t>
      </w:r>
      <w:r>
        <w:rPr>
          <w:rFonts w:hint="eastAsia" w:ascii="仿宋_GB2312" w:hAnsi="仿宋_GB2312" w:eastAsia="仿宋_GB2312" w:cs="仿宋_GB2312"/>
          <w:i w:val="0"/>
          <w:color w:val="auto"/>
          <w:spacing w:val="0"/>
          <w:sz w:val="28"/>
          <w:szCs w:val="28"/>
          <w:highlight w:val="none"/>
          <w:vertAlign w:val="baseline"/>
          <w:lang w:eastAsia="zh-CN"/>
        </w:rPr>
        <w:t>因此给甲方造成损失的，乙方应负责赔偿</w:t>
      </w:r>
      <w:r>
        <w:rPr>
          <w:rFonts w:hint="eastAsia" w:ascii="仿宋_GB2312" w:hAnsi="仿宋_GB2312" w:eastAsia="仿宋_GB2312" w:cs="仿宋_GB2312"/>
          <w:i w:val="0"/>
          <w:color w:val="auto"/>
          <w:spacing w:val="0"/>
          <w:sz w:val="28"/>
          <w:szCs w:val="28"/>
          <w:highlight w:val="none"/>
          <w:vertAlign w:val="baseline"/>
        </w:rPr>
        <w:t>。</w:t>
      </w:r>
    </w:p>
    <w:p w14:paraId="44B1017E">
      <w:pPr>
        <w:pStyle w:val="6"/>
        <w:keepNext w:val="0"/>
        <w:keepLines w:val="0"/>
        <w:widowControl/>
        <w:suppressLineNumbers w:val="0"/>
        <w:spacing w:before="0" w:beforeAutospacing="0" w:after="0" w:afterAutospacing="0" w:line="240" w:lineRule="auto"/>
        <w:ind w:left="0" w:right="0"/>
        <w:jc w:val="both"/>
        <w:rPr>
          <w:rFonts w:hint="eastAsia" w:ascii="黑体" w:hAnsi="黑体" w:eastAsia="黑体" w:cs="黑体"/>
          <w:color w:val="auto"/>
          <w:sz w:val="28"/>
          <w:szCs w:val="28"/>
          <w:highlight w:val="none"/>
        </w:rPr>
      </w:pPr>
      <w:r>
        <w:rPr>
          <w:rFonts w:hint="eastAsia" w:ascii="黑体" w:hAnsi="黑体" w:eastAsia="黑体" w:cs="黑体"/>
          <w:i w:val="0"/>
          <w:color w:val="auto"/>
          <w:spacing w:val="0"/>
          <w:sz w:val="28"/>
          <w:szCs w:val="28"/>
          <w:highlight w:val="none"/>
          <w:vertAlign w:val="baseline"/>
          <w:lang w:eastAsia="zh-CN"/>
        </w:rPr>
        <w:t>五</w:t>
      </w:r>
      <w:r>
        <w:rPr>
          <w:rFonts w:hint="eastAsia" w:ascii="黑体" w:hAnsi="黑体" w:eastAsia="黑体" w:cs="黑体"/>
          <w:i w:val="0"/>
          <w:color w:val="auto"/>
          <w:spacing w:val="0"/>
          <w:sz w:val="28"/>
          <w:szCs w:val="28"/>
          <w:highlight w:val="none"/>
          <w:vertAlign w:val="baseline"/>
        </w:rPr>
        <w:t>、违约责任</w:t>
      </w:r>
    </w:p>
    <w:p w14:paraId="32C2C7B9">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i w:val="0"/>
          <w:color w:val="auto"/>
          <w:spacing w:val="0"/>
          <w:sz w:val="28"/>
          <w:szCs w:val="28"/>
          <w:highlight w:val="none"/>
          <w:vertAlign w:val="baseline"/>
          <w:lang w:val="en-US" w:eastAsia="zh-CN"/>
        </w:rPr>
      </w:pPr>
      <w:r>
        <w:rPr>
          <w:rFonts w:hint="eastAsia" w:ascii="仿宋_GB2312" w:hAnsi="仿宋_GB2312" w:eastAsia="仿宋_GB2312" w:cs="仿宋_GB2312"/>
          <w:i w:val="0"/>
          <w:color w:val="auto"/>
          <w:spacing w:val="0"/>
          <w:sz w:val="28"/>
          <w:szCs w:val="28"/>
          <w:highlight w:val="none"/>
          <w:vertAlign w:val="baseline"/>
          <w:lang w:val="en-US" w:eastAsia="zh-CN"/>
        </w:rPr>
        <w:t>5</w:t>
      </w:r>
      <w:r>
        <w:rPr>
          <w:rFonts w:hint="eastAsia" w:ascii="仿宋_GB2312" w:hAnsi="仿宋_GB2312" w:eastAsia="仿宋_GB2312" w:cs="仿宋_GB2312"/>
          <w:i w:val="0"/>
          <w:color w:val="auto"/>
          <w:spacing w:val="0"/>
          <w:sz w:val="28"/>
          <w:szCs w:val="28"/>
          <w:highlight w:val="none"/>
          <w:vertAlign w:val="baseline"/>
        </w:rPr>
        <w:t>.1．甲方接收物资时应检查物资的规格、数量、质量及完整情况，如发现乙方交付的物资不符合合同的相关约定，甲方将告知乙方所出现的相关问题</w:t>
      </w:r>
      <w:r>
        <w:rPr>
          <w:rFonts w:hint="eastAsia" w:ascii="仿宋_GB2312" w:hAnsi="仿宋_GB2312" w:eastAsia="仿宋_GB2312" w:cs="仿宋_GB2312"/>
          <w:i w:val="0"/>
          <w:color w:val="auto"/>
          <w:spacing w:val="0"/>
          <w:sz w:val="28"/>
          <w:szCs w:val="28"/>
          <w:highlight w:val="none"/>
          <w:vertAlign w:val="baseline"/>
          <w:lang w:val="en-US" w:eastAsia="zh-CN"/>
        </w:rPr>
        <w:t>并要求整改或采取补救措施</w:t>
      </w:r>
      <w:r>
        <w:rPr>
          <w:rFonts w:hint="eastAsia" w:ascii="仿宋_GB2312" w:hAnsi="仿宋_GB2312" w:eastAsia="仿宋_GB2312" w:cs="仿宋_GB2312"/>
          <w:i w:val="0"/>
          <w:color w:val="auto"/>
          <w:spacing w:val="0"/>
          <w:sz w:val="28"/>
          <w:szCs w:val="28"/>
          <w:highlight w:val="none"/>
          <w:vertAlign w:val="baseline"/>
        </w:rPr>
        <w:t>，如每</w:t>
      </w:r>
      <w:r>
        <w:rPr>
          <w:rFonts w:hint="eastAsia" w:ascii="仿宋_GB2312" w:hAnsi="仿宋_GB2312" w:eastAsia="仿宋_GB2312" w:cs="仿宋_GB2312"/>
          <w:i w:val="0"/>
          <w:color w:val="auto"/>
          <w:spacing w:val="0"/>
          <w:sz w:val="28"/>
          <w:szCs w:val="28"/>
          <w:highlight w:val="none"/>
          <w:vertAlign w:val="baseline"/>
          <w:lang w:eastAsia="zh-CN"/>
        </w:rPr>
        <w:t>季度</w:t>
      </w:r>
      <w:r>
        <w:rPr>
          <w:rFonts w:hint="eastAsia" w:ascii="仿宋_GB2312" w:hAnsi="仿宋_GB2312" w:eastAsia="仿宋_GB2312" w:cs="仿宋_GB2312"/>
          <w:i w:val="0"/>
          <w:color w:val="auto"/>
          <w:spacing w:val="0"/>
          <w:sz w:val="28"/>
          <w:szCs w:val="28"/>
          <w:highlight w:val="none"/>
          <w:vertAlign w:val="baseline"/>
        </w:rPr>
        <w:t>两次</w:t>
      </w:r>
      <w:r>
        <w:rPr>
          <w:rFonts w:hint="eastAsia" w:ascii="仿宋_GB2312" w:hAnsi="仿宋_GB2312" w:eastAsia="仿宋_GB2312" w:cs="仿宋_GB2312"/>
          <w:i w:val="0"/>
          <w:color w:val="auto"/>
          <w:spacing w:val="0"/>
          <w:sz w:val="28"/>
          <w:szCs w:val="28"/>
          <w:highlight w:val="none"/>
          <w:vertAlign w:val="baseline"/>
          <w:lang w:val="en-US" w:eastAsia="zh-CN"/>
        </w:rPr>
        <w:t>要求</w:t>
      </w:r>
      <w:r>
        <w:rPr>
          <w:rFonts w:hint="eastAsia" w:ascii="仿宋_GB2312" w:hAnsi="仿宋_GB2312" w:eastAsia="仿宋_GB2312" w:cs="仿宋_GB2312"/>
          <w:i w:val="0"/>
          <w:color w:val="auto"/>
          <w:spacing w:val="0"/>
          <w:sz w:val="28"/>
          <w:szCs w:val="28"/>
          <w:highlight w:val="none"/>
          <w:vertAlign w:val="baseline"/>
        </w:rPr>
        <w:t>乙方</w:t>
      </w:r>
      <w:r>
        <w:rPr>
          <w:rFonts w:hint="eastAsia" w:ascii="仿宋_GB2312" w:hAnsi="仿宋_GB2312" w:eastAsia="仿宋_GB2312" w:cs="仿宋_GB2312"/>
          <w:i w:val="0"/>
          <w:color w:val="auto"/>
          <w:spacing w:val="0"/>
          <w:sz w:val="28"/>
          <w:szCs w:val="28"/>
          <w:highlight w:val="none"/>
          <w:vertAlign w:val="baseline"/>
          <w:lang w:val="en-US" w:eastAsia="zh-CN"/>
        </w:rPr>
        <w:t>整改或采取补救措施后</w:t>
      </w:r>
      <w:r>
        <w:rPr>
          <w:rFonts w:hint="eastAsia" w:ascii="仿宋_GB2312" w:hAnsi="仿宋_GB2312" w:eastAsia="仿宋_GB2312" w:cs="仿宋_GB2312"/>
          <w:i w:val="0"/>
          <w:color w:val="auto"/>
          <w:spacing w:val="0"/>
          <w:sz w:val="28"/>
          <w:szCs w:val="28"/>
          <w:highlight w:val="none"/>
          <w:vertAlign w:val="baseline"/>
        </w:rPr>
        <w:t>仍未能达到相关标准，甲方有权单方面</w:t>
      </w:r>
      <w:r>
        <w:rPr>
          <w:rFonts w:hint="eastAsia" w:ascii="仿宋_GB2312" w:hAnsi="仿宋_GB2312" w:eastAsia="仿宋_GB2312" w:cs="仿宋_GB2312"/>
          <w:i w:val="0"/>
          <w:color w:val="auto"/>
          <w:spacing w:val="0"/>
          <w:sz w:val="28"/>
          <w:szCs w:val="28"/>
          <w:highlight w:val="none"/>
          <w:vertAlign w:val="baseline"/>
          <w:lang w:val="en-US" w:eastAsia="zh-CN"/>
        </w:rPr>
        <w:t>解除本</w:t>
      </w:r>
      <w:r>
        <w:rPr>
          <w:rFonts w:hint="eastAsia" w:ascii="仿宋_GB2312" w:hAnsi="仿宋_GB2312" w:eastAsia="仿宋_GB2312" w:cs="仿宋_GB2312"/>
          <w:i w:val="0"/>
          <w:color w:val="auto"/>
          <w:spacing w:val="0"/>
          <w:sz w:val="28"/>
          <w:szCs w:val="28"/>
          <w:highlight w:val="none"/>
          <w:vertAlign w:val="baseline"/>
        </w:rPr>
        <w:t>合同</w:t>
      </w:r>
      <w:r>
        <w:rPr>
          <w:rFonts w:hint="eastAsia" w:ascii="仿宋_GB2312" w:hAnsi="仿宋_GB2312" w:eastAsia="仿宋_GB2312" w:cs="仿宋_GB2312"/>
          <w:i w:val="0"/>
          <w:color w:val="auto"/>
          <w:spacing w:val="0"/>
          <w:sz w:val="28"/>
          <w:szCs w:val="28"/>
          <w:highlight w:val="none"/>
          <w:vertAlign w:val="baseline"/>
          <w:lang w:eastAsia="zh-CN"/>
        </w:rPr>
        <w:t>，</w:t>
      </w:r>
      <w:r>
        <w:rPr>
          <w:rFonts w:hint="eastAsia" w:ascii="仿宋_GB2312" w:hAnsi="仿宋_GB2312" w:eastAsia="仿宋_GB2312" w:cs="仿宋_GB2312"/>
          <w:i w:val="0"/>
          <w:color w:val="auto"/>
          <w:spacing w:val="0"/>
          <w:sz w:val="28"/>
          <w:szCs w:val="28"/>
          <w:highlight w:val="none"/>
          <w:vertAlign w:val="baseline"/>
          <w:lang w:val="en-US" w:eastAsia="zh-CN"/>
        </w:rPr>
        <w:t>不予支付相应货款</w:t>
      </w:r>
      <w:r>
        <w:rPr>
          <w:rFonts w:hint="eastAsia" w:ascii="仿宋_GB2312" w:hAnsi="仿宋_GB2312" w:eastAsia="仿宋_GB2312" w:cs="仿宋_GB2312"/>
          <w:i w:val="0"/>
          <w:color w:val="auto"/>
          <w:spacing w:val="0"/>
          <w:sz w:val="28"/>
          <w:szCs w:val="28"/>
          <w:highlight w:val="none"/>
          <w:vertAlign w:val="baseline"/>
        </w:rPr>
        <w:t>。</w:t>
      </w:r>
      <w:r>
        <w:rPr>
          <w:rFonts w:hint="eastAsia" w:ascii="仿宋_GB2312" w:hAnsi="仿宋_GB2312" w:eastAsia="仿宋_GB2312" w:cs="仿宋_GB2312"/>
          <w:i w:val="0"/>
          <w:color w:val="auto"/>
          <w:spacing w:val="0"/>
          <w:sz w:val="28"/>
          <w:szCs w:val="28"/>
          <w:highlight w:val="none"/>
          <w:vertAlign w:val="baseline"/>
          <w:lang w:val="en-US" w:eastAsia="zh-CN"/>
        </w:rPr>
        <w:t>如因此造成甲方损失，甲方有权要求乙方赔偿。</w:t>
      </w:r>
    </w:p>
    <w:p w14:paraId="76FB9AEE">
      <w:pPr>
        <w:pStyle w:val="6"/>
        <w:keepNext w:val="0"/>
        <w:keepLines w:val="0"/>
        <w:widowControl/>
        <w:suppressLineNumbers w:val="0"/>
        <w:spacing w:before="0" w:beforeAutospacing="0" w:after="0" w:afterAutospacing="0" w:line="240" w:lineRule="auto"/>
        <w:ind w:left="0" w:right="0"/>
        <w:jc w:val="both"/>
        <w:rPr>
          <w:rFonts w:hint="default" w:ascii="仿宋_GB2312" w:hAnsi="仿宋_GB2312" w:eastAsia="仿宋_GB2312" w:cs="仿宋_GB2312"/>
          <w:i w:val="0"/>
          <w:color w:val="auto"/>
          <w:spacing w:val="0"/>
          <w:sz w:val="28"/>
          <w:szCs w:val="28"/>
          <w:highlight w:val="none"/>
          <w:vertAlign w:val="baseline"/>
          <w:lang w:val="en-US" w:eastAsia="zh-CN"/>
        </w:rPr>
      </w:pPr>
      <w:r>
        <w:rPr>
          <w:rFonts w:hint="eastAsia" w:ascii="仿宋_GB2312" w:hAnsi="仿宋_GB2312" w:eastAsia="仿宋_GB2312" w:cs="仿宋_GB2312"/>
          <w:i w:val="0"/>
          <w:color w:val="auto"/>
          <w:spacing w:val="0"/>
          <w:sz w:val="28"/>
          <w:szCs w:val="28"/>
          <w:highlight w:val="none"/>
          <w:vertAlign w:val="baseline"/>
          <w:lang w:val="en-US" w:eastAsia="zh-CN"/>
        </w:rPr>
        <w:t>5.2乙方延迟发货的，应按本合同约定的交货时间届满之日起到实际交付之日，每日按合同总价的千分之一 向甲方支付延迟履行违约金。对于货物延迟交付超过  3  天的，甲方有权解除合同，且乙方应向甲方支付合同总价百分之五的违约金并赔偿因此给甲方造成的损失。</w:t>
      </w:r>
    </w:p>
    <w:p w14:paraId="6B2C0110">
      <w:pPr>
        <w:pStyle w:val="6"/>
        <w:keepNext w:val="0"/>
        <w:keepLines w:val="0"/>
        <w:widowControl/>
        <w:suppressLineNumbers w:val="0"/>
        <w:spacing w:before="0" w:beforeAutospacing="0" w:after="0" w:afterAutospacing="0" w:line="240" w:lineRule="auto"/>
        <w:ind w:left="0" w:right="0"/>
        <w:jc w:val="both"/>
        <w:rPr>
          <w:rFonts w:hint="default" w:ascii="仿宋_GB2312" w:hAnsi="仿宋_GB2312" w:eastAsia="仿宋_GB2312" w:cs="仿宋_GB2312"/>
          <w:i w:val="0"/>
          <w:color w:val="auto"/>
          <w:spacing w:val="0"/>
          <w:sz w:val="28"/>
          <w:szCs w:val="28"/>
          <w:highlight w:val="none"/>
          <w:vertAlign w:val="baseline"/>
          <w:lang w:val="en-US" w:eastAsia="zh-CN"/>
        </w:rPr>
      </w:pPr>
      <w:r>
        <w:rPr>
          <w:rFonts w:hint="eastAsia" w:ascii="仿宋_GB2312" w:hAnsi="仿宋_GB2312" w:eastAsia="仿宋_GB2312" w:cs="仿宋_GB2312"/>
          <w:i w:val="0"/>
          <w:color w:val="auto"/>
          <w:spacing w:val="0"/>
          <w:sz w:val="28"/>
          <w:szCs w:val="28"/>
          <w:highlight w:val="none"/>
          <w:vertAlign w:val="baseline"/>
          <w:lang w:val="en-US" w:eastAsia="zh-CN"/>
        </w:rPr>
        <w:t>5.3</w:t>
      </w:r>
      <w:r>
        <w:rPr>
          <w:rFonts w:hint="eastAsia" w:ascii="仿宋_GB2312" w:hAnsi="仿宋_GB2312" w:eastAsia="仿宋_GB2312" w:cs="仿宋_GB2312"/>
          <w:sz w:val="28"/>
          <w:szCs w:val="28"/>
          <w:highlight w:val="none"/>
          <w:lang w:val="en-US" w:eastAsia="zh-CN"/>
        </w:rPr>
        <w:t>甲方依据本合同解除合同的，</w:t>
      </w:r>
      <w:r>
        <w:rPr>
          <w:rFonts w:hint="eastAsia" w:ascii="仿宋_GB2312" w:hAnsi="仿宋_GB2312" w:eastAsia="仿宋_GB2312" w:cs="仿宋_GB2312"/>
          <w:sz w:val="28"/>
          <w:szCs w:val="28"/>
          <w:highlight w:val="none"/>
        </w:rPr>
        <w:t>解除合同的书面通知按本合同的约定送达后即生效</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bidi="ar"/>
        </w:rPr>
        <w:t>甲方有权在任何一期应付合同价款中扣除乙方按照本合同应支付的违约金及/或赔偿金。如果本合同所约定的违约金和乙方的其他责任仍然无法弥补甲方因乙方违约行为遭受的全部损失的，甲方有权要求乙方赔偿全部损失，包括但不限于甲方向第三方承担的赔偿金、违约金、律师费、鉴定费、公证费、诉讼费、差旅费等直接和间接损失。</w:t>
      </w:r>
    </w:p>
    <w:p w14:paraId="41E309EF">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lang w:val="en-US" w:eastAsia="zh-CN"/>
        </w:rPr>
        <w:t>5</w:t>
      </w:r>
      <w:r>
        <w:rPr>
          <w:rFonts w:hint="eastAsia" w:ascii="仿宋_GB2312" w:hAnsi="仿宋_GB2312" w:eastAsia="仿宋_GB2312" w:cs="仿宋_GB2312"/>
          <w:i w:val="0"/>
          <w:color w:val="auto"/>
          <w:spacing w:val="0"/>
          <w:sz w:val="28"/>
          <w:szCs w:val="28"/>
          <w:highlight w:val="none"/>
          <w:vertAlign w:val="baseline"/>
        </w:rPr>
        <w:t>.</w:t>
      </w:r>
      <w:r>
        <w:rPr>
          <w:rFonts w:hint="eastAsia" w:ascii="仿宋_GB2312" w:hAnsi="仿宋_GB2312" w:eastAsia="仿宋_GB2312" w:cs="仿宋_GB2312"/>
          <w:i w:val="0"/>
          <w:color w:val="auto"/>
          <w:spacing w:val="0"/>
          <w:sz w:val="28"/>
          <w:szCs w:val="28"/>
          <w:highlight w:val="none"/>
          <w:vertAlign w:val="baseline"/>
          <w:lang w:val="en-US" w:eastAsia="zh-CN"/>
        </w:rPr>
        <w:t>4</w:t>
      </w:r>
      <w:r>
        <w:rPr>
          <w:rFonts w:hint="eastAsia" w:ascii="仿宋_GB2312" w:hAnsi="仿宋_GB2312" w:eastAsia="仿宋_GB2312" w:cs="仿宋_GB2312"/>
          <w:i w:val="0"/>
          <w:color w:val="auto"/>
          <w:spacing w:val="0"/>
          <w:sz w:val="28"/>
          <w:szCs w:val="28"/>
          <w:highlight w:val="none"/>
          <w:vertAlign w:val="baseline"/>
        </w:rPr>
        <w:t>本合同未提及之违约责任，按照《中华人民共和国</w:t>
      </w:r>
      <w:r>
        <w:rPr>
          <w:rFonts w:hint="eastAsia" w:ascii="仿宋_GB2312" w:hAnsi="仿宋_GB2312" w:eastAsia="仿宋_GB2312" w:cs="仿宋_GB2312"/>
          <w:i w:val="0"/>
          <w:color w:val="auto"/>
          <w:spacing w:val="0"/>
          <w:sz w:val="28"/>
          <w:szCs w:val="28"/>
          <w:highlight w:val="none"/>
          <w:vertAlign w:val="baseline"/>
          <w:lang w:eastAsia="zh-CN"/>
        </w:rPr>
        <w:t>民</w:t>
      </w:r>
      <w:r>
        <w:rPr>
          <w:rFonts w:hint="eastAsia" w:ascii="仿宋_GB2312" w:hAnsi="仿宋_GB2312" w:eastAsia="仿宋_GB2312" w:cs="仿宋_GB2312"/>
          <w:i w:val="0"/>
          <w:color w:val="auto"/>
          <w:spacing w:val="0"/>
          <w:sz w:val="28"/>
          <w:szCs w:val="28"/>
          <w:highlight w:val="none"/>
          <w:vertAlign w:val="baseline"/>
          <w:lang w:val="en-US" w:eastAsia="zh-CN"/>
        </w:rPr>
        <w:t>法典</w:t>
      </w:r>
      <w:r>
        <w:rPr>
          <w:rFonts w:hint="eastAsia" w:ascii="仿宋_GB2312" w:hAnsi="仿宋_GB2312" w:eastAsia="仿宋_GB2312" w:cs="仿宋_GB2312"/>
          <w:i w:val="0"/>
          <w:color w:val="auto"/>
          <w:spacing w:val="0"/>
          <w:sz w:val="28"/>
          <w:szCs w:val="28"/>
          <w:highlight w:val="none"/>
          <w:vertAlign w:val="baseline"/>
        </w:rPr>
        <w:t>》有关违约责任的规定进行。</w:t>
      </w:r>
    </w:p>
    <w:p w14:paraId="598795BF">
      <w:pPr>
        <w:pStyle w:val="6"/>
        <w:keepNext w:val="0"/>
        <w:keepLines w:val="0"/>
        <w:widowControl/>
        <w:suppressLineNumbers w:val="0"/>
        <w:spacing w:before="0" w:beforeAutospacing="0" w:after="0" w:afterAutospacing="0" w:line="240" w:lineRule="auto"/>
        <w:ind w:left="0" w:right="0"/>
        <w:jc w:val="both"/>
        <w:rPr>
          <w:rFonts w:hint="eastAsia" w:ascii="黑体" w:hAnsi="黑体" w:eastAsia="黑体" w:cs="黑体"/>
          <w:color w:val="auto"/>
          <w:sz w:val="28"/>
          <w:szCs w:val="28"/>
          <w:highlight w:val="none"/>
        </w:rPr>
      </w:pPr>
      <w:r>
        <w:rPr>
          <w:rFonts w:hint="eastAsia" w:ascii="黑体" w:hAnsi="黑体" w:eastAsia="黑体" w:cs="黑体"/>
          <w:i w:val="0"/>
          <w:color w:val="auto"/>
          <w:spacing w:val="0"/>
          <w:sz w:val="28"/>
          <w:szCs w:val="28"/>
          <w:highlight w:val="none"/>
          <w:vertAlign w:val="baseline"/>
          <w:lang w:eastAsia="zh-CN"/>
        </w:rPr>
        <w:t>六</w:t>
      </w:r>
      <w:r>
        <w:rPr>
          <w:rFonts w:hint="eastAsia" w:ascii="黑体" w:hAnsi="黑体" w:eastAsia="黑体" w:cs="黑体"/>
          <w:i w:val="0"/>
          <w:color w:val="auto"/>
          <w:spacing w:val="0"/>
          <w:sz w:val="28"/>
          <w:szCs w:val="28"/>
          <w:highlight w:val="none"/>
          <w:vertAlign w:val="baseline"/>
        </w:rPr>
        <w:t>、争议解决</w:t>
      </w:r>
    </w:p>
    <w:p w14:paraId="11F772C9">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lang w:val="en-US" w:eastAsia="zh-CN"/>
        </w:rPr>
        <w:t>6</w:t>
      </w:r>
      <w:r>
        <w:rPr>
          <w:rFonts w:hint="eastAsia" w:ascii="仿宋_GB2312" w:hAnsi="仿宋_GB2312" w:eastAsia="仿宋_GB2312" w:cs="仿宋_GB2312"/>
          <w:i w:val="0"/>
          <w:color w:val="auto"/>
          <w:spacing w:val="0"/>
          <w:sz w:val="28"/>
          <w:szCs w:val="28"/>
          <w:highlight w:val="none"/>
          <w:vertAlign w:val="baseline"/>
        </w:rPr>
        <w:t>.1．合同执行过程中出现的一切争议，甲乙双方应通过友好协商加以解决，</w:t>
      </w:r>
      <w:r>
        <w:rPr>
          <w:rFonts w:hint="eastAsia" w:ascii="仿宋_GB2312" w:hAnsi="仿宋_GB2312" w:eastAsia="仿宋_GB2312" w:cs="仿宋_GB2312"/>
          <w:i w:val="0"/>
          <w:color w:val="auto"/>
          <w:spacing w:val="0"/>
          <w:sz w:val="28"/>
          <w:szCs w:val="28"/>
          <w:highlight w:val="none"/>
          <w:vertAlign w:val="baseline"/>
          <w:lang w:val="en-US" w:eastAsia="zh-CN"/>
        </w:rPr>
        <w:t>协商不成</w:t>
      </w:r>
      <w:r>
        <w:rPr>
          <w:rFonts w:hint="eastAsia" w:ascii="仿宋_GB2312" w:hAnsi="仿宋_GB2312" w:eastAsia="仿宋_GB2312" w:cs="仿宋_GB2312"/>
          <w:i w:val="0"/>
          <w:color w:val="auto"/>
          <w:spacing w:val="0"/>
          <w:sz w:val="28"/>
          <w:szCs w:val="28"/>
          <w:highlight w:val="none"/>
          <w:vertAlign w:val="baseline"/>
        </w:rPr>
        <w:t>，</w:t>
      </w:r>
      <w:r>
        <w:rPr>
          <w:rFonts w:hint="eastAsia" w:ascii="仿宋_GB2312" w:hAnsi="仿宋_GB2312" w:eastAsia="仿宋_GB2312" w:cs="仿宋_GB2312"/>
          <w:i w:val="0"/>
          <w:color w:val="auto"/>
          <w:spacing w:val="0"/>
          <w:sz w:val="28"/>
          <w:szCs w:val="28"/>
          <w:highlight w:val="none"/>
          <w:vertAlign w:val="baseline"/>
          <w:lang w:val="en-US" w:eastAsia="zh-CN"/>
        </w:rPr>
        <w:t>任一方</w:t>
      </w:r>
      <w:r>
        <w:rPr>
          <w:rFonts w:hint="eastAsia" w:ascii="仿宋_GB2312" w:hAnsi="仿宋_GB2312" w:eastAsia="仿宋_GB2312" w:cs="仿宋_GB2312"/>
          <w:i w:val="0"/>
          <w:color w:val="auto"/>
          <w:spacing w:val="0"/>
          <w:sz w:val="28"/>
          <w:szCs w:val="28"/>
          <w:highlight w:val="none"/>
          <w:vertAlign w:val="baseline"/>
        </w:rPr>
        <w:t>可向甲方所在地人民法院提起诉讼</w:t>
      </w:r>
      <w:r>
        <w:rPr>
          <w:rFonts w:hint="eastAsia" w:ascii="仿宋_GB2312" w:hAnsi="仿宋_GB2312" w:eastAsia="仿宋_GB2312" w:cs="仿宋_GB2312"/>
          <w:i w:val="0"/>
          <w:color w:val="auto"/>
          <w:spacing w:val="0"/>
          <w:sz w:val="28"/>
          <w:szCs w:val="28"/>
          <w:highlight w:val="none"/>
          <w:vertAlign w:val="baseline"/>
          <w:lang w:val="en-US" w:eastAsia="zh-CN"/>
        </w:rPr>
        <w:t>解决</w:t>
      </w:r>
      <w:r>
        <w:rPr>
          <w:rFonts w:hint="eastAsia" w:ascii="仿宋_GB2312" w:hAnsi="仿宋_GB2312" w:eastAsia="仿宋_GB2312" w:cs="仿宋_GB2312"/>
          <w:i w:val="0"/>
          <w:color w:val="auto"/>
          <w:spacing w:val="0"/>
          <w:sz w:val="28"/>
          <w:szCs w:val="28"/>
          <w:highlight w:val="none"/>
          <w:vertAlign w:val="baseline"/>
        </w:rPr>
        <w:t>。</w:t>
      </w:r>
    </w:p>
    <w:p w14:paraId="34C13C17">
      <w:pPr>
        <w:pStyle w:val="6"/>
        <w:keepNext w:val="0"/>
        <w:keepLines w:val="0"/>
        <w:widowControl/>
        <w:suppressLineNumbers w:val="0"/>
        <w:spacing w:before="0" w:beforeAutospacing="0" w:after="0" w:afterAutospacing="0" w:line="240" w:lineRule="auto"/>
        <w:ind w:left="0" w:right="0"/>
        <w:jc w:val="both"/>
        <w:rPr>
          <w:rFonts w:hint="eastAsia" w:ascii="黑体" w:hAnsi="黑体" w:eastAsia="黑体" w:cs="黑体"/>
          <w:color w:val="auto"/>
          <w:sz w:val="28"/>
          <w:szCs w:val="28"/>
          <w:highlight w:val="none"/>
        </w:rPr>
      </w:pPr>
      <w:r>
        <w:rPr>
          <w:rFonts w:hint="eastAsia" w:ascii="黑体" w:hAnsi="黑体" w:eastAsia="黑体" w:cs="黑体"/>
          <w:i w:val="0"/>
          <w:color w:val="auto"/>
          <w:spacing w:val="0"/>
          <w:sz w:val="28"/>
          <w:szCs w:val="28"/>
          <w:highlight w:val="none"/>
          <w:vertAlign w:val="baseline"/>
          <w:lang w:eastAsia="zh-CN"/>
        </w:rPr>
        <w:t>七</w:t>
      </w:r>
      <w:r>
        <w:rPr>
          <w:rFonts w:hint="eastAsia" w:ascii="黑体" w:hAnsi="黑体" w:eastAsia="黑体" w:cs="黑体"/>
          <w:i w:val="0"/>
          <w:color w:val="auto"/>
          <w:spacing w:val="0"/>
          <w:sz w:val="28"/>
          <w:szCs w:val="28"/>
          <w:highlight w:val="none"/>
          <w:vertAlign w:val="baseline"/>
        </w:rPr>
        <w:t>、合同生效、变更、终止及其它</w:t>
      </w:r>
    </w:p>
    <w:p w14:paraId="27C750C8">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lang w:val="en-US" w:eastAsia="zh-CN"/>
        </w:rPr>
        <w:t>7</w:t>
      </w:r>
      <w:r>
        <w:rPr>
          <w:rFonts w:hint="eastAsia" w:ascii="仿宋_GB2312" w:hAnsi="仿宋_GB2312" w:eastAsia="仿宋_GB2312" w:cs="仿宋_GB2312"/>
          <w:i w:val="0"/>
          <w:color w:val="auto"/>
          <w:spacing w:val="0"/>
          <w:sz w:val="28"/>
          <w:szCs w:val="28"/>
          <w:highlight w:val="none"/>
          <w:vertAlign w:val="baseline"/>
        </w:rPr>
        <w:t>.1．本合同由甲乙双方授权代表签字盖章后生效。</w:t>
      </w:r>
    </w:p>
    <w:p w14:paraId="5A0E0895">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color w:val="auto"/>
          <w:spacing w:val="0"/>
          <w:sz w:val="28"/>
          <w:szCs w:val="28"/>
          <w:highlight w:val="none"/>
          <w:vertAlign w:val="baseline"/>
          <w:lang w:val="en-US" w:eastAsia="zh-CN"/>
        </w:rPr>
        <w:t>7</w:t>
      </w:r>
      <w:r>
        <w:rPr>
          <w:rFonts w:hint="eastAsia" w:ascii="仿宋_GB2312" w:hAnsi="仿宋_GB2312" w:eastAsia="仿宋_GB2312" w:cs="仿宋_GB2312"/>
          <w:i w:val="0"/>
          <w:color w:val="auto"/>
          <w:spacing w:val="0"/>
          <w:sz w:val="28"/>
          <w:szCs w:val="28"/>
          <w:highlight w:val="none"/>
          <w:vertAlign w:val="baseline"/>
        </w:rPr>
        <w:t>.2．对本合同条款的任何变更、修改或增减，须经双方协商同意后授权代表签署书面文件，并作为本合同的组成部分并具有同等法律效力。</w:t>
      </w:r>
    </w:p>
    <w:p w14:paraId="4121BF5B">
      <w:pPr>
        <w:pStyle w:val="6"/>
        <w:keepNext w:val="0"/>
        <w:keepLines w:val="0"/>
        <w:widowControl/>
        <w:suppressLineNumbers w:val="0"/>
        <w:spacing w:before="0" w:beforeAutospacing="0" w:after="0" w:afterAutospacing="0" w:line="240" w:lineRule="auto"/>
        <w:ind w:left="0" w:right="0"/>
        <w:jc w:val="both"/>
        <w:rPr>
          <w:rFonts w:hint="eastAsia" w:ascii="仿宋_GB2312" w:hAnsi="仿宋_GB2312" w:eastAsia="仿宋_GB2312" w:cs="仿宋_GB2312"/>
          <w:i w:val="0"/>
          <w:color w:val="auto"/>
          <w:spacing w:val="0"/>
          <w:sz w:val="28"/>
          <w:szCs w:val="28"/>
          <w:highlight w:val="none"/>
          <w:vertAlign w:val="baseline"/>
        </w:rPr>
      </w:pPr>
      <w:r>
        <w:rPr>
          <w:rFonts w:hint="eastAsia" w:ascii="仿宋_GB2312" w:hAnsi="仿宋_GB2312" w:eastAsia="仿宋_GB2312" w:cs="仿宋_GB2312"/>
          <w:i w:val="0"/>
          <w:color w:val="auto"/>
          <w:spacing w:val="0"/>
          <w:sz w:val="28"/>
          <w:szCs w:val="28"/>
          <w:highlight w:val="none"/>
          <w:vertAlign w:val="baseline"/>
          <w:lang w:val="en-US" w:eastAsia="zh-CN"/>
        </w:rPr>
        <w:t>7</w:t>
      </w:r>
      <w:r>
        <w:rPr>
          <w:rFonts w:hint="eastAsia" w:ascii="仿宋_GB2312" w:hAnsi="仿宋_GB2312" w:eastAsia="仿宋_GB2312" w:cs="仿宋_GB2312"/>
          <w:i w:val="0"/>
          <w:color w:val="auto"/>
          <w:spacing w:val="0"/>
          <w:sz w:val="28"/>
          <w:szCs w:val="28"/>
          <w:highlight w:val="none"/>
          <w:vertAlign w:val="baseline"/>
        </w:rPr>
        <w:t>.3．本合同一式</w:t>
      </w:r>
      <w:r>
        <w:rPr>
          <w:rFonts w:hint="eastAsia" w:ascii="仿宋_GB2312" w:hAnsi="仿宋_GB2312" w:eastAsia="仿宋_GB2312" w:cs="仿宋_GB2312"/>
          <w:i w:val="0"/>
          <w:color w:val="auto"/>
          <w:spacing w:val="0"/>
          <w:sz w:val="28"/>
          <w:szCs w:val="28"/>
          <w:highlight w:val="none"/>
          <w:u w:val="single"/>
          <w:vertAlign w:val="baseline"/>
          <w:lang w:val="en-US" w:eastAsia="zh-CN"/>
        </w:rPr>
        <w:t xml:space="preserve"> 四 </w:t>
      </w:r>
      <w:r>
        <w:rPr>
          <w:rFonts w:hint="eastAsia" w:ascii="仿宋_GB2312" w:hAnsi="仿宋_GB2312" w:eastAsia="仿宋_GB2312" w:cs="仿宋_GB2312"/>
          <w:i w:val="0"/>
          <w:color w:val="auto"/>
          <w:spacing w:val="0"/>
          <w:sz w:val="28"/>
          <w:szCs w:val="28"/>
          <w:highlight w:val="none"/>
          <w:vertAlign w:val="baseline"/>
        </w:rPr>
        <w:t>份，甲方执</w:t>
      </w:r>
      <w:r>
        <w:rPr>
          <w:rFonts w:hint="eastAsia" w:ascii="仿宋_GB2312" w:hAnsi="仿宋_GB2312" w:eastAsia="仿宋_GB2312" w:cs="仿宋_GB2312"/>
          <w:i w:val="0"/>
          <w:color w:val="auto"/>
          <w:spacing w:val="0"/>
          <w:sz w:val="28"/>
          <w:szCs w:val="28"/>
          <w:highlight w:val="none"/>
          <w:u w:val="single"/>
          <w:vertAlign w:val="baseline"/>
          <w:lang w:val="en-US" w:eastAsia="zh-CN"/>
        </w:rPr>
        <w:t xml:space="preserve"> 两 </w:t>
      </w:r>
      <w:r>
        <w:rPr>
          <w:rFonts w:hint="eastAsia" w:ascii="仿宋_GB2312" w:hAnsi="仿宋_GB2312" w:eastAsia="仿宋_GB2312" w:cs="仿宋_GB2312"/>
          <w:i w:val="0"/>
          <w:color w:val="auto"/>
          <w:spacing w:val="0"/>
          <w:sz w:val="28"/>
          <w:szCs w:val="28"/>
          <w:highlight w:val="none"/>
          <w:vertAlign w:val="baseline"/>
        </w:rPr>
        <w:t>份，乙方执</w:t>
      </w:r>
      <w:r>
        <w:rPr>
          <w:rFonts w:hint="eastAsia" w:ascii="仿宋_GB2312" w:hAnsi="仿宋_GB2312" w:eastAsia="仿宋_GB2312" w:cs="仿宋_GB2312"/>
          <w:i w:val="0"/>
          <w:color w:val="auto"/>
          <w:spacing w:val="0"/>
          <w:sz w:val="28"/>
          <w:szCs w:val="28"/>
          <w:highlight w:val="none"/>
          <w:u w:val="single"/>
          <w:vertAlign w:val="baseline"/>
          <w:lang w:val="en-US" w:eastAsia="zh-CN"/>
        </w:rPr>
        <w:t xml:space="preserve"> 两 </w:t>
      </w:r>
      <w:r>
        <w:rPr>
          <w:rFonts w:hint="eastAsia" w:ascii="仿宋_GB2312" w:hAnsi="仿宋_GB2312" w:eastAsia="仿宋_GB2312" w:cs="仿宋_GB2312"/>
          <w:i w:val="0"/>
          <w:color w:val="auto"/>
          <w:spacing w:val="0"/>
          <w:sz w:val="28"/>
          <w:szCs w:val="28"/>
          <w:highlight w:val="none"/>
          <w:vertAlign w:val="baseline"/>
        </w:rPr>
        <w:t>份</w:t>
      </w:r>
      <w:r>
        <w:rPr>
          <w:rFonts w:hint="eastAsia" w:ascii="仿宋_GB2312" w:hAnsi="仿宋_GB2312" w:eastAsia="仿宋_GB2312" w:cs="仿宋_GB2312"/>
          <w:i w:val="0"/>
          <w:color w:val="auto"/>
          <w:spacing w:val="0"/>
          <w:sz w:val="28"/>
          <w:szCs w:val="28"/>
          <w:highlight w:val="none"/>
          <w:vertAlign w:val="baseline"/>
          <w:lang w:eastAsia="zh-CN"/>
        </w:rPr>
        <w:t>，</w:t>
      </w:r>
      <w:r>
        <w:rPr>
          <w:rFonts w:hint="eastAsia" w:ascii="仿宋_GB2312" w:hAnsi="仿宋_GB2312" w:eastAsia="仿宋_GB2312" w:cs="仿宋_GB2312"/>
          <w:i w:val="0"/>
          <w:color w:val="auto"/>
          <w:spacing w:val="0"/>
          <w:sz w:val="28"/>
          <w:szCs w:val="28"/>
          <w:highlight w:val="none"/>
          <w:vertAlign w:val="baseline"/>
          <w:lang w:val="en-US" w:eastAsia="zh-CN"/>
        </w:rPr>
        <w:t>具有同等法律效力</w:t>
      </w:r>
      <w:r>
        <w:rPr>
          <w:rFonts w:hint="eastAsia" w:ascii="仿宋_GB2312" w:hAnsi="仿宋_GB2312" w:eastAsia="仿宋_GB2312" w:cs="仿宋_GB2312"/>
          <w:i w:val="0"/>
          <w:color w:val="auto"/>
          <w:spacing w:val="0"/>
          <w:sz w:val="28"/>
          <w:szCs w:val="28"/>
          <w:highlight w:val="none"/>
          <w:vertAlign w:val="baseline"/>
        </w:rPr>
        <w:t>。</w:t>
      </w:r>
    </w:p>
    <w:p w14:paraId="5B0CF99C">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i w:val="0"/>
          <w:color w:val="auto"/>
          <w:spacing w:val="0"/>
          <w:sz w:val="28"/>
          <w:szCs w:val="28"/>
          <w:highlight w:val="none"/>
          <w:vertAlign w:val="baseline"/>
          <w:lang w:val="en-US" w:eastAsia="zh-CN"/>
        </w:rPr>
        <w:t>7.4</w:t>
      </w:r>
      <w:r>
        <w:rPr>
          <w:rFonts w:hint="eastAsia" w:ascii="仿宋_GB2312" w:hAnsi="仿宋_GB2312" w:eastAsia="仿宋_GB2312" w:cs="仿宋_GB2312"/>
          <w:sz w:val="28"/>
          <w:szCs w:val="28"/>
          <w:highlight w:val="none"/>
          <w:lang w:eastAsia="zh-CN"/>
        </w:rPr>
        <w:t>本合同有附件</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u w:val="single"/>
          <w:lang w:val="en-US" w:eastAsia="zh-CN"/>
        </w:rPr>
        <w:t>1</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lang w:eastAsia="zh-CN"/>
        </w:rPr>
        <w:t>份,是本合同的完整组成部分，与本合同具有同等法律效力。附件有：</w:t>
      </w:r>
    </w:p>
    <w:p w14:paraId="502539F6">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560" w:firstLineChars="200"/>
        <w:textAlignment w:val="auto"/>
        <w:rPr>
          <w:rFonts w:hint="eastAsia" w:ascii="仿宋_GB2312" w:hAnsi="仿宋_GB2312" w:eastAsia="仿宋_GB2312" w:cs="仿宋_GB2312"/>
          <w:sz w:val="28"/>
          <w:szCs w:val="28"/>
          <w:highlight w:val="none"/>
          <w:u w:val="none"/>
          <w:lang w:val="en-US" w:eastAsia="zh-CN"/>
        </w:rPr>
      </w:pPr>
      <w:r>
        <w:rPr>
          <w:rFonts w:hint="eastAsia" w:ascii="仿宋_GB2312" w:hAnsi="仿宋_GB2312" w:eastAsia="仿宋_GB2312" w:cs="仿宋_GB2312"/>
          <w:sz w:val="28"/>
          <w:szCs w:val="28"/>
          <w:highlight w:val="none"/>
          <w:u w:val="none"/>
          <w:lang w:val="en-US" w:eastAsia="zh-CN"/>
        </w:rPr>
        <w:t>附件：</w:t>
      </w:r>
      <w:r>
        <w:rPr>
          <w:rFonts w:hint="eastAsia" w:ascii="仿宋_GB2312" w:hAnsi="仿宋_GB2312" w:eastAsia="仿宋_GB2312" w:cs="仿宋_GB2312"/>
          <w:sz w:val="28"/>
          <w:szCs w:val="28"/>
          <w:highlight w:val="none"/>
          <w:u w:val="none"/>
        </w:rPr>
        <w:t xml:space="preserve"> </w:t>
      </w:r>
      <w:r>
        <w:rPr>
          <w:rFonts w:hint="eastAsia" w:ascii="仿宋_GB2312" w:hAnsi="仿宋_GB2312" w:eastAsia="仿宋_GB2312" w:cs="仿宋_GB2312"/>
          <w:sz w:val="28"/>
          <w:szCs w:val="28"/>
          <w:highlight w:val="none"/>
          <w:u w:val="none"/>
          <w:lang w:eastAsia="zh-CN"/>
        </w:rPr>
        <w:t>《</w:t>
      </w:r>
      <w:r>
        <w:rPr>
          <w:rFonts w:hint="eastAsia" w:ascii="仿宋_GB2312" w:hAnsi="仿宋_GB2312" w:eastAsia="仿宋_GB2312" w:cs="仿宋_GB2312"/>
          <w:sz w:val="28"/>
          <w:szCs w:val="28"/>
          <w:highlight w:val="none"/>
          <w:u w:val="none"/>
          <w:lang w:val="en-US" w:eastAsia="zh-CN"/>
        </w:rPr>
        <w:t>2026年易耗品和洗涤用品清单</w:t>
      </w:r>
      <w:r>
        <w:rPr>
          <w:rFonts w:hint="eastAsia" w:ascii="仿宋_GB2312" w:hAnsi="仿宋_GB2312" w:eastAsia="仿宋_GB2312" w:cs="仿宋_GB2312"/>
          <w:sz w:val="28"/>
          <w:szCs w:val="28"/>
          <w:highlight w:val="none"/>
          <w:u w:val="none"/>
          <w:lang w:eastAsia="zh-CN"/>
        </w:rPr>
        <w:t>》</w:t>
      </w:r>
      <w:r>
        <w:rPr>
          <w:rFonts w:hint="eastAsia" w:ascii="仿宋_GB2312" w:hAnsi="仿宋_GB2312" w:eastAsia="仿宋_GB2312" w:cs="仿宋_GB2312"/>
          <w:sz w:val="28"/>
          <w:szCs w:val="28"/>
          <w:highlight w:val="none"/>
          <w:u w:val="none"/>
        </w:rPr>
        <w:t xml:space="preserve"> </w:t>
      </w:r>
    </w:p>
    <w:p w14:paraId="19ECBBFD">
      <w:pPr>
        <w:pStyle w:val="6"/>
        <w:keepNext w:val="0"/>
        <w:keepLines w:val="0"/>
        <w:widowControl/>
        <w:suppressLineNumbers w:val="0"/>
        <w:spacing w:before="0" w:beforeAutospacing="0" w:after="0" w:afterAutospacing="0" w:line="240" w:lineRule="auto"/>
        <w:ind w:left="0" w:right="0"/>
        <w:jc w:val="both"/>
        <w:rPr>
          <w:rFonts w:hint="default" w:ascii="仿宋_GB2312" w:hAnsi="仿宋_GB2312" w:eastAsia="仿宋_GB2312" w:cs="仿宋_GB2312"/>
          <w:i w:val="0"/>
          <w:color w:val="auto"/>
          <w:spacing w:val="0"/>
          <w:sz w:val="28"/>
          <w:szCs w:val="28"/>
          <w:highlight w:val="none"/>
          <w:vertAlign w:val="baseline"/>
          <w:lang w:val="en-US" w:eastAsia="zh-CN"/>
        </w:rPr>
      </w:pPr>
    </w:p>
    <w:p w14:paraId="6E171472">
      <w:pPr>
        <w:pStyle w:val="6"/>
        <w:keepNext w:val="0"/>
        <w:keepLines w:val="0"/>
        <w:widowControl/>
        <w:suppressLineNumbers w:val="0"/>
        <w:spacing w:before="0" w:beforeAutospacing="0" w:after="0" w:afterAutospacing="0" w:line="240" w:lineRule="auto"/>
        <w:ind w:left="0" w:right="0"/>
        <w:jc w:val="left"/>
        <w:rPr>
          <w:rFonts w:hint="eastAsia" w:ascii="仿宋_GB2312" w:hAnsi="仿宋_GB2312" w:eastAsia="仿宋_GB2312" w:cs="仿宋_GB2312"/>
          <w:i w:val="0"/>
          <w:color w:val="auto"/>
          <w:spacing w:val="0"/>
          <w:sz w:val="28"/>
          <w:szCs w:val="28"/>
          <w:highlight w:val="none"/>
          <w:vertAlign w:val="baseline"/>
          <w:lang w:eastAsia="zh-CN"/>
        </w:rPr>
      </w:pPr>
      <w:r>
        <w:rPr>
          <w:rFonts w:hint="eastAsia" w:ascii="仿宋_GB2312" w:hAnsi="仿宋_GB2312" w:eastAsia="仿宋_GB2312" w:cs="仿宋_GB2312"/>
          <w:i w:val="0"/>
          <w:color w:val="auto"/>
          <w:spacing w:val="0"/>
          <w:sz w:val="28"/>
          <w:szCs w:val="28"/>
          <w:highlight w:val="none"/>
          <w:vertAlign w:val="baseline"/>
          <w:lang w:eastAsia="zh-CN"/>
        </w:rPr>
        <w:t>【</w:t>
      </w:r>
      <w:r>
        <w:rPr>
          <w:rFonts w:hint="eastAsia" w:ascii="仿宋_GB2312" w:hAnsi="仿宋_GB2312" w:eastAsia="仿宋_GB2312" w:cs="仿宋_GB2312"/>
          <w:i w:val="0"/>
          <w:color w:val="auto"/>
          <w:spacing w:val="0"/>
          <w:sz w:val="28"/>
          <w:szCs w:val="28"/>
          <w:highlight w:val="none"/>
          <w:vertAlign w:val="baseline"/>
          <w:lang w:val="en-US" w:eastAsia="zh-CN"/>
        </w:rPr>
        <w:t>以下无正文</w:t>
      </w:r>
      <w:r>
        <w:rPr>
          <w:rFonts w:hint="eastAsia" w:ascii="仿宋_GB2312" w:hAnsi="仿宋_GB2312" w:eastAsia="仿宋_GB2312" w:cs="仿宋_GB2312"/>
          <w:i w:val="0"/>
          <w:color w:val="auto"/>
          <w:spacing w:val="0"/>
          <w:sz w:val="28"/>
          <w:szCs w:val="28"/>
          <w:highlight w:val="none"/>
          <w:vertAlign w:val="baseline"/>
          <w:lang w:eastAsia="zh-CN"/>
        </w:rPr>
        <w:t>】</w:t>
      </w:r>
    </w:p>
    <w:bookmarkEnd w:id="0"/>
    <w:p w14:paraId="46F0E73B">
      <w:pPr>
        <w:pStyle w:val="6"/>
        <w:keepNext w:val="0"/>
        <w:keepLines w:val="0"/>
        <w:widowControl/>
        <w:suppressLineNumbers w:val="0"/>
        <w:spacing w:before="0" w:beforeAutospacing="0" w:after="0" w:afterAutospacing="0" w:line="240" w:lineRule="auto"/>
        <w:ind w:left="6440" w:right="0" w:hanging="6440" w:hangingChars="2300"/>
        <w:jc w:val="left"/>
        <w:rPr>
          <w:rFonts w:hint="eastAsia" w:ascii="仿宋_GB2312" w:hAnsi="仿宋_GB2312" w:eastAsia="仿宋_GB2312" w:cs="仿宋_GB2312"/>
          <w:i w:val="0"/>
          <w:color w:val="auto"/>
          <w:spacing w:val="0"/>
          <w:sz w:val="28"/>
          <w:szCs w:val="28"/>
          <w:highlight w:val="none"/>
          <w:vertAlign w:val="baseline"/>
          <w:lang w:val="en-US" w:eastAsia="zh-CN"/>
        </w:rPr>
      </w:pPr>
      <w:r>
        <w:rPr>
          <w:rFonts w:hint="eastAsia" w:ascii="仿宋_GB2312" w:hAnsi="仿宋_GB2312" w:eastAsia="仿宋_GB2312" w:cs="仿宋_GB2312"/>
          <w:i w:val="0"/>
          <w:color w:val="auto"/>
          <w:spacing w:val="0"/>
          <w:sz w:val="28"/>
          <w:szCs w:val="28"/>
          <w:highlight w:val="none"/>
          <w:vertAlign w:val="baseline"/>
        </w:rPr>
        <w:t>甲方：</w:t>
      </w:r>
      <w:r>
        <w:rPr>
          <w:rFonts w:hint="eastAsia" w:ascii="仿宋_GB2312" w:hAnsi="仿宋_GB2312" w:eastAsia="仿宋_GB2312" w:cs="仿宋_GB2312"/>
          <w:i w:val="0"/>
          <w:color w:val="auto"/>
          <w:spacing w:val="0"/>
          <w:sz w:val="28"/>
          <w:szCs w:val="28"/>
          <w:highlight w:val="none"/>
          <w:vertAlign w:val="baseline"/>
          <w:lang w:eastAsia="zh-CN"/>
        </w:rPr>
        <w:t>广东南方报业</w:t>
      </w:r>
      <w:r>
        <w:rPr>
          <w:rFonts w:hint="eastAsia" w:ascii="仿宋_GB2312" w:hAnsi="仿宋_GB2312" w:eastAsia="仿宋_GB2312" w:cs="仿宋_GB2312"/>
          <w:i w:val="0"/>
          <w:color w:val="auto"/>
          <w:spacing w:val="0"/>
          <w:sz w:val="28"/>
          <w:szCs w:val="28"/>
          <w:highlight w:val="none"/>
          <w:vertAlign w:val="baseline"/>
          <w:lang w:val="en-US" w:eastAsia="zh-CN"/>
        </w:rPr>
        <w:t>传媒</w:t>
      </w:r>
      <w:r>
        <w:rPr>
          <w:rFonts w:hint="eastAsia" w:ascii="仿宋_GB2312" w:hAnsi="仿宋_GB2312" w:eastAsia="仿宋_GB2312" w:cs="仿宋_GB2312"/>
          <w:i w:val="0"/>
          <w:color w:val="auto"/>
          <w:spacing w:val="0"/>
          <w:sz w:val="28"/>
          <w:szCs w:val="28"/>
          <w:highlight w:val="none"/>
          <w:vertAlign w:val="baseline"/>
          <w:lang w:eastAsia="zh-CN"/>
        </w:rPr>
        <w:t>集团</w:t>
      </w:r>
      <w:r>
        <w:rPr>
          <w:rFonts w:hint="eastAsia" w:ascii="仿宋_GB2312" w:hAnsi="仿宋_GB2312" w:eastAsia="仿宋_GB2312" w:cs="仿宋_GB2312"/>
          <w:i w:val="0"/>
          <w:color w:val="auto"/>
          <w:spacing w:val="0"/>
          <w:sz w:val="28"/>
          <w:szCs w:val="28"/>
          <w:highlight w:val="none"/>
          <w:vertAlign w:val="baseline"/>
          <w:lang w:val="en-US" w:eastAsia="zh-CN"/>
        </w:rPr>
        <w:t xml:space="preserve">       乙方：</w:t>
      </w:r>
    </w:p>
    <w:p w14:paraId="54FAAA65">
      <w:pPr>
        <w:pStyle w:val="6"/>
        <w:keepNext w:val="0"/>
        <w:keepLines w:val="0"/>
        <w:widowControl/>
        <w:suppressLineNumbers w:val="0"/>
        <w:spacing w:before="0" w:beforeAutospacing="0" w:after="0" w:afterAutospacing="0" w:line="240" w:lineRule="auto"/>
        <w:ind w:left="6440" w:right="0" w:hanging="6440" w:hangingChars="2300"/>
        <w:jc w:val="left"/>
        <w:rPr>
          <w:rFonts w:hint="default" w:ascii="仿宋_GB2312" w:hAnsi="仿宋_GB2312" w:eastAsia="仿宋_GB2312" w:cs="仿宋_GB2312"/>
          <w:i w:val="0"/>
          <w:color w:val="auto"/>
          <w:spacing w:val="0"/>
          <w:sz w:val="28"/>
          <w:szCs w:val="28"/>
          <w:highlight w:val="none"/>
          <w:vertAlign w:val="baseline"/>
          <w:lang w:val="en-US" w:eastAsia="zh-CN"/>
        </w:rPr>
      </w:pPr>
      <w:r>
        <w:rPr>
          <w:rFonts w:hint="eastAsia" w:ascii="仿宋_GB2312" w:hAnsi="仿宋_GB2312" w:eastAsia="仿宋_GB2312" w:cs="仿宋_GB2312"/>
          <w:i w:val="0"/>
          <w:color w:val="auto"/>
          <w:spacing w:val="0"/>
          <w:sz w:val="28"/>
          <w:szCs w:val="28"/>
          <w:highlight w:val="none"/>
          <w:vertAlign w:val="baseline"/>
          <w:lang w:val="en-US" w:eastAsia="zh-CN"/>
        </w:rPr>
        <w:t xml:space="preserve">      有限公司                           </w:t>
      </w:r>
    </w:p>
    <w:p w14:paraId="733D0F46">
      <w:pPr>
        <w:pStyle w:val="6"/>
        <w:keepNext w:val="0"/>
        <w:keepLines w:val="0"/>
        <w:widowControl/>
        <w:suppressLineNumbers w:val="0"/>
        <w:spacing w:before="0" w:beforeAutospacing="0" w:after="0" w:afterAutospacing="0" w:line="240" w:lineRule="auto"/>
        <w:ind w:left="5600" w:right="0" w:hanging="5600" w:hangingChars="2000"/>
        <w:jc w:val="left"/>
        <w:rPr>
          <w:rFonts w:hint="default" w:ascii="仿宋_GB2312" w:hAnsi="仿宋_GB2312" w:eastAsia="仿宋_GB2312" w:cs="仿宋_GB2312"/>
          <w:i w:val="0"/>
          <w:color w:val="auto"/>
          <w:spacing w:val="0"/>
          <w:sz w:val="28"/>
          <w:szCs w:val="28"/>
          <w:highlight w:val="none"/>
          <w:vertAlign w:val="baseline"/>
          <w:lang w:val="en-US" w:eastAsia="zh-CN"/>
        </w:rPr>
      </w:pPr>
      <w:r>
        <w:rPr>
          <w:rFonts w:hint="eastAsia" w:ascii="仿宋_GB2312" w:hAnsi="仿宋_GB2312" w:eastAsia="仿宋_GB2312" w:cs="仿宋_GB2312"/>
          <w:i w:val="0"/>
          <w:color w:val="auto"/>
          <w:spacing w:val="0"/>
          <w:sz w:val="28"/>
          <w:szCs w:val="28"/>
          <w:highlight w:val="none"/>
          <w:vertAlign w:val="baseline"/>
        </w:rPr>
        <w:t>地址：</w:t>
      </w:r>
      <w:r>
        <w:rPr>
          <w:rFonts w:hint="eastAsia" w:ascii="仿宋_GB2312" w:hAnsi="仿宋_GB2312" w:eastAsia="仿宋_GB2312" w:cs="仿宋_GB2312"/>
          <w:i w:val="0"/>
          <w:color w:val="auto"/>
          <w:spacing w:val="0"/>
          <w:sz w:val="28"/>
          <w:szCs w:val="28"/>
          <w:highlight w:val="none"/>
          <w:vertAlign w:val="baseline"/>
          <w:lang w:eastAsia="zh-CN"/>
        </w:rPr>
        <w:t>广州市广州大道</w:t>
      </w:r>
      <w:r>
        <w:rPr>
          <w:rFonts w:hint="eastAsia" w:ascii="仿宋_GB2312" w:hAnsi="仿宋_GB2312" w:eastAsia="仿宋_GB2312" w:cs="仿宋_GB2312"/>
          <w:i w:val="0"/>
          <w:color w:val="auto"/>
          <w:spacing w:val="0"/>
          <w:sz w:val="28"/>
          <w:szCs w:val="28"/>
          <w:highlight w:val="none"/>
          <w:vertAlign w:val="baseline"/>
          <w:lang w:val="en-US" w:eastAsia="zh-CN"/>
        </w:rPr>
        <w:t>中289号     地址：</w:t>
      </w:r>
    </w:p>
    <w:p w14:paraId="368FB7DC">
      <w:pPr>
        <w:pStyle w:val="6"/>
        <w:keepNext w:val="0"/>
        <w:keepLines w:val="0"/>
        <w:widowControl/>
        <w:suppressLineNumbers w:val="0"/>
        <w:spacing w:before="0" w:beforeAutospacing="0" w:after="0" w:afterAutospacing="0" w:line="240" w:lineRule="auto"/>
        <w:ind w:left="0" w:right="0"/>
        <w:jc w:val="left"/>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i w:val="0"/>
          <w:color w:val="auto"/>
          <w:spacing w:val="0"/>
          <w:sz w:val="28"/>
          <w:szCs w:val="28"/>
          <w:highlight w:val="none"/>
          <w:vertAlign w:val="baseline"/>
        </w:rPr>
        <w:t>邮址：</w:t>
      </w:r>
      <w:r>
        <w:rPr>
          <w:rFonts w:hint="eastAsia" w:ascii="仿宋_GB2312" w:hAnsi="仿宋_GB2312" w:eastAsia="仿宋_GB2312" w:cs="仿宋_GB2312"/>
          <w:i w:val="0"/>
          <w:color w:val="auto"/>
          <w:spacing w:val="0"/>
          <w:sz w:val="28"/>
          <w:szCs w:val="28"/>
          <w:highlight w:val="none"/>
          <w:vertAlign w:val="baseline"/>
          <w:lang w:val="en-US" w:eastAsia="zh-CN"/>
        </w:rPr>
        <w:t xml:space="preserve">                           </w:t>
      </w:r>
      <w:r>
        <w:rPr>
          <w:rFonts w:hint="eastAsia" w:ascii="仿宋_GB2312" w:hAnsi="仿宋_GB2312" w:eastAsia="仿宋_GB2312" w:cs="仿宋_GB2312"/>
          <w:i w:val="0"/>
          <w:color w:val="auto"/>
          <w:spacing w:val="0"/>
          <w:sz w:val="28"/>
          <w:szCs w:val="28"/>
          <w:highlight w:val="none"/>
          <w:vertAlign w:val="baseline"/>
        </w:rPr>
        <w:t>邮址：</w:t>
      </w:r>
    </w:p>
    <w:p w14:paraId="6463D449">
      <w:pPr>
        <w:pStyle w:val="6"/>
        <w:keepNext w:val="0"/>
        <w:keepLines w:val="0"/>
        <w:widowControl/>
        <w:suppressLineNumbers w:val="0"/>
        <w:spacing w:before="0" w:beforeAutospacing="0" w:after="0" w:afterAutospacing="0" w:line="240" w:lineRule="auto"/>
        <w:ind w:left="0" w:right="0"/>
        <w:jc w:val="left"/>
        <w:rPr>
          <w:rFonts w:hint="eastAsia" w:ascii="仿宋_GB2312" w:hAnsi="仿宋_GB2312" w:eastAsia="仿宋_GB2312" w:cs="仿宋_GB2312"/>
          <w:i w:val="0"/>
          <w:color w:val="auto"/>
          <w:spacing w:val="0"/>
          <w:sz w:val="28"/>
          <w:szCs w:val="28"/>
          <w:highlight w:val="none"/>
          <w:vertAlign w:val="baseline"/>
        </w:rPr>
      </w:pPr>
      <w:r>
        <w:rPr>
          <w:rFonts w:hint="eastAsia" w:ascii="仿宋_GB2312" w:hAnsi="仿宋_GB2312" w:eastAsia="仿宋_GB2312" w:cs="仿宋_GB2312"/>
          <w:i w:val="0"/>
          <w:color w:val="auto"/>
          <w:spacing w:val="0"/>
          <w:sz w:val="28"/>
          <w:szCs w:val="28"/>
          <w:highlight w:val="none"/>
          <w:vertAlign w:val="baseline"/>
        </w:rPr>
        <w:t>电话：</w:t>
      </w:r>
      <w:r>
        <w:rPr>
          <w:rFonts w:hint="eastAsia" w:ascii="仿宋_GB2312" w:hAnsi="仿宋_GB2312" w:eastAsia="仿宋_GB2312" w:cs="仿宋_GB2312"/>
          <w:i w:val="0"/>
          <w:color w:val="auto"/>
          <w:spacing w:val="0"/>
          <w:sz w:val="28"/>
          <w:szCs w:val="28"/>
          <w:highlight w:val="none"/>
          <w:vertAlign w:val="baseline"/>
          <w:lang w:val="en-US" w:eastAsia="zh-CN"/>
        </w:rPr>
        <w:t xml:space="preserve">                           </w:t>
      </w:r>
      <w:r>
        <w:rPr>
          <w:rFonts w:hint="eastAsia" w:ascii="仿宋_GB2312" w:hAnsi="仿宋_GB2312" w:eastAsia="仿宋_GB2312" w:cs="仿宋_GB2312"/>
          <w:i w:val="0"/>
          <w:color w:val="auto"/>
          <w:spacing w:val="0"/>
          <w:sz w:val="28"/>
          <w:szCs w:val="28"/>
          <w:highlight w:val="none"/>
          <w:vertAlign w:val="baseline"/>
        </w:rPr>
        <w:t>电话：</w:t>
      </w:r>
    </w:p>
    <w:p w14:paraId="7604D633">
      <w:pPr>
        <w:pStyle w:val="6"/>
        <w:keepNext w:val="0"/>
        <w:keepLines w:val="0"/>
        <w:widowControl/>
        <w:suppressLineNumbers w:val="0"/>
        <w:spacing w:before="0" w:beforeAutospacing="0" w:after="0" w:afterAutospacing="0" w:line="240" w:lineRule="auto"/>
        <w:ind w:left="0" w:right="0"/>
        <w:jc w:val="left"/>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i w:val="0"/>
          <w:color w:val="auto"/>
          <w:spacing w:val="0"/>
          <w:sz w:val="28"/>
          <w:szCs w:val="28"/>
          <w:highlight w:val="none"/>
          <w:vertAlign w:val="baseline"/>
        </w:rPr>
        <w:t>传真：</w:t>
      </w:r>
      <w:r>
        <w:rPr>
          <w:rFonts w:hint="eastAsia" w:ascii="仿宋_GB2312" w:hAnsi="仿宋_GB2312" w:eastAsia="仿宋_GB2312" w:cs="仿宋_GB2312"/>
          <w:i w:val="0"/>
          <w:color w:val="auto"/>
          <w:spacing w:val="0"/>
          <w:sz w:val="28"/>
          <w:szCs w:val="28"/>
          <w:highlight w:val="none"/>
          <w:vertAlign w:val="baseline"/>
          <w:lang w:val="en-US" w:eastAsia="zh-CN"/>
        </w:rPr>
        <w:t xml:space="preserve">                           </w:t>
      </w:r>
      <w:r>
        <w:rPr>
          <w:rFonts w:hint="eastAsia" w:ascii="仿宋_GB2312" w:hAnsi="仿宋_GB2312" w:eastAsia="仿宋_GB2312" w:cs="仿宋_GB2312"/>
          <w:i w:val="0"/>
          <w:color w:val="auto"/>
          <w:spacing w:val="0"/>
          <w:sz w:val="28"/>
          <w:szCs w:val="28"/>
          <w:highlight w:val="none"/>
          <w:vertAlign w:val="baseline"/>
        </w:rPr>
        <w:t>传真：</w:t>
      </w:r>
    </w:p>
    <w:p w14:paraId="0E131093">
      <w:pPr>
        <w:pStyle w:val="6"/>
        <w:keepNext w:val="0"/>
        <w:keepLines w:val="0"/>
        <w:widowControl/>
        <w:suppressLineNumbers w:val="0"/>
        <w:spacing w:before="0" w:beforeAutospacing="0" w:after="0" w:afterAutospacing="0" w:line="240" w:lineRule="auto"/>
        <w:ind w:left="0" w:right="0"/>
        <w:jc w:val="left"/>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i w:val="0"/>
          <w:color w:val="auto"/>
          <w:spacing w:val="0"/>
          <w:sz w:val="28"/>
          <w:szCs w:val="28"/>
          <w:highlight w:val="none"/>
          <w:vertAlign w:val="baseline"/>
        </w:rPr>
        <w:t>邮编：</w:t>
      </w:r>
      <w:r>
        <w:rPr>
          <w:rFonts w:hint="eastAsia" w:ascii="仿宋_GB2312" w:hAnsi="仿宋_GB2312" w:eastAsia="仿宋_GB2312" w:cs="仿宋_GB2312"/>
          <w:i w:val="0"/>
          <w:color w:val="auto"/>
          <w:spacing w:val="0"/>
          <w:sz w:val="28"/>
          <w:szCs w:val="28"/>
          <w:highlight w:val="none"/>
          <w:vertAlign w:val="baseline"/>
          <w:lang w:val="en-US" w:eastAsia="zh-CN"/>
        </w:rPr>
        <w:t xml:space="preserve">                           </w:t>
      </w:r>
      <w:r>
        <w:rPr>
          <w:rFonts w:hint="eastAsia" w:ascii="仿宋_GB2312" w:hAnsi="仿宋_GB2312" w:eastAsia="仿宋_GB2312" w:cs="仿宋_GB2312"/>
          <w:i w:val="0"/>
          <w:color w:val="auto"/>
          <w:spacing w:val="0"/>
          <w:sz w:val="28"/>
          <w:szCs w:val="28"/>
          <w:highlight w:val="none"/>
          <w:vertAlign w:val="baseline"/>
        </w:rPr>
        <w:t>邮编：</w:t>
      </w:r>
    </w:p>
    <w:p w14:paraId="35901C91">
      <w:pPr>
        <w:pStyle w:val="6"/>
        <w:keepNext w:val="0"/>
        <w:keepLines w:val="0"/>
        <w:widowControl/>
        <w:suppressLineNumbers w:val="0"/>
        <w:spacing w:before="0" w:beforeAutospacing="0" w:after="0" w:afterAutospacing="0" w:line="240" w:lineRule="auto"/>
        <w:ind w:left="0" w:right="0"/>
        <w:jc w:val="left"/>
        <w:rPr>
          <w:rFonts w:hint="eastAsia" w:ascii="仿宋_GB2312" w:hAnsi="仿宋_GB2312" w:eastAsia="仿宋_GB2312" w:cs="仿宋_GB2312"/>
          <w:i w:val="0"/>
          <w:color w:val="auto"/>
          <w:spacing w:val="0"/>
          <w:sz w:val="28"/>
          <w:szCs w:val="28"/>
          <w:highlight w:val="none"/>
          <w:vertAlign w:val="baseline"/>
        </w:rPr>
      </w:pPr>
      <w:r>
        <w:rPr>
          <w:rFonts w:hint="eastAsia" w:ascii="仿宋_GB2312" w:hAnsi="仿宋_GB2312" w:eastAsia="仿宋_GB2312" w:cs="仿宋_GB2312"/>
          <w:i w:val="0"/>
          <w:color w:val="auto"/>
          <w:spacing w:val="0"/>
          <w:sz w:val="28"/>
          <w:szCs w:val="28"/>
          <w:highlight w:val="none"/>
          <w:vertAlign w:val="baseline"/>
        </w:rPr>
        <w:t>甲方授权</w:t>
      </w:r>
      <w:r>
        <w:rPr>
          <w:rFonts w:hint="eastAsia" w:ascii="仿宋_GB2312" w:hAnsi="仿宋_GB2312" w:eastAsia="仿宋_GB2312" w:cs="仿宋_GB2312"/>
          <w:i w:val="0"/>
          <w:color w:val="auto"/>
          <w:spacing w:val="0"/>
          <w:sz w:val="28"/>
          <w:szCs w:val="28"/>
          <w:highlight w:val="none"/>
          <w:vertAlign w:val="baseline"/>
          <w:lang w:val="en-US" w:eastAsia="zh-CN"/>
        </w:rPr>
        <w:t xml:space="preserve">                         乙</w:t>
      </w:r>
      <w:r>
        <w:rPr>
          <w:rFonts w:hint="eastAsia" w:ascii="仿宋_GB2312" w:hAnsi="仿宋_GB2312" w:eastAsia="仿宋_GB2312" w:cs="仿宋_GB2312"/>
          <w:i w:val="0"/>
          <w:color w:val="auto"/>
          <w:spacing w:val="0"/>
          <w:sz w:val="28"/>
          <w:szCs w:val="28"/>
          <w:highlight w:val="none"/>
          <w:vertAlign w:val="baseline"/>
        </w:rPr>
        <w:t>方授权</w:t>
      </w:r>
    </w:p>
    <w:p w14:paraId="2254EB9D">
      <w:pPr>
        <w:pStyle w:val="6"/>
        <w:keepNext w:val="0"/>
        <w:keepLines w:val="0"/>
        <w:widowControl/>
        <w:suppressLineNumbers w:val="0"/>
        <w:spacing w:before="0" w:beforeAutospacing="0" w:after="0" w:afterAutospacing="0" w:line="240" w:lineRule="auto"/>
        <w:ind w:left="0" w:right="0"/>
        <w:jc w:val="left"/>
        <w:rPr>
          <w:rFonts w:hint="default" w:ascii="仿宋_GB2312" w:hAnsi="仿宋_GB2312" w:eastAsia="仿宋_GB2312" w:cs="仿宋_GB2312"/>
          <w:i w:val="0"/>
          <w:color w:val="auto"/>
          <w:spacing w:val="0"/>
          <w:sz w:val="28"/>
          <w:szCs w:val="28"/>
          <w:highlight w:val="none"/>
          <w:vertAlign w:val="baseline"/>
          <w:lang w:val="en-US" w:eastAsia="zh-CN"/>
        </w:rPr>
      </w:pPr>
      <w:r>
        <w:rPr>
          <w:rFonts w:hint="eastAsia" w:ascii="仿宋_GB2312" w:hAnsi="仿宋_GB2312" w:eastAsia="仿宋_GB2312" w:cs="仿宋_GB2312"/>
          <w:i w:val="0"/>
          <w:color w:val="auto"/>
          <w:spacing w:val="0"/>
          <w:sz w:val="28"/>
          <w:szCs w:val="28"/>
          <w:highlight w:val="none"/>
          <w:vertAlign w:val="baseline"/>
        </w:rPr>
        <w:t>代表（签字</w:t>
      </w:r>
      <w:r>
        <w:rPr>
          <w:rFonts w:hint="eastAsia" w:ascii="仿宋_GB2312" w:hAnsi="仿宋_GB2312" w:eastAsia="仿宋_GB2312" w:cs="仿宋_GB2312"/>
          <w:i w:val="0"/>
          <w:color w:val="auto"/>
          <w:spacing w:val="0"/>
          <w:sz w:val="28"/>
          <w:szCs w:val="28"/>
          <w:highlight w:val="none"/>
          <w:vertAlign w:val="baseline"/>
          <w:lang w:val="en-US" w:eastAsia="zh-CN"/>
        </w:rPr>
        <w:t xml:space="preserve">                       </w:t>
      </w:r>
      <w:r>
        <w:rPr>
          <w:rFonts w:hint="eastAsia" w:ascii="仿宋_GB2312" w:hAnsi="仿宋_GB2312" w:eastAsia="仿宋_GB2312" w:cs="仿宋_GB2312"/>
          <w:i w:val="0"/>
          <w:color w:val="auto"/>
          <w:spacing w:val="0"/>
          <w:sz w:val="28"/>
          <w:szCs w:val="28"/>
          <w:highlight w:val="none"/>
          <w:vertAlign w:val="baseline"/>
        </w:rPr>
        <w:t>代表（签字</w:t>
      </w:r>
    </w:p>
    <w:p w14:paraId="12E029FA">
      <w:pPr>
        <w:pStyle w:val="6"/>
        <w:keepNext w:val="0"/>
        <w:keepLines w:val="0"/>
        <w:widowControl/>
        <w:suppressLineNumbers w:val="0"/>
        <w:spacing w:before="0" w:beforeAutospacing="0" w:after="0" w:afterAutospacing="0" w:line="240" w:lineRule="auto"/>
        <w:ind w:left="0" w:right="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color w:val="auto"/>
          <w:spacing w:val="0"/>
          <w:sz w:val="28"/>
          <w:szCs w:val="28"/>
          <w:highlight w:val="none"/>
          <w:vertAlign w:val="baseline"/>
        </w:rPr>
        <w:t>盖章）：</w:t>
      </w:r>
      <w:r>
        <w:rPr>
          <w:rFonts w:hint="eastAsia" w:ascii="仿宋_GB2312" w:hAnsi="仿宋_GB2312" w:eastAsia="仿宋_GB2312" w:cs="仿宋_GB2312"/>
          <w:i w:val="0"/>
          <w:color w:val="auto"/>
          <w:spacing w:val="0"/>
          <w:sz w:val="28"/>
          <w:szCs w:val="28"/>
          <w:highlight w:val="none"/>
          <w:vertAlign w:val="baseline"/>
          <w:lang w:val="en-US" w:eastAsia="zh-CN"/>
        </w:rPr>
        <w:t xml:space="preserve">                         </w:t>
      </w:r>
      <w:r>
        <w:rPr>
          <w:rFonts w:hint="eastAsia" w:ascii="仿宋_GB2312" w:hAnsi="仿宋_GB2312" w:eastAsia="仿宋_GB2312" w:cs="仿宋_GB2312"/>
          <w:i w:val="0"/>
          <w:color w:val="auto"/>
          <w:spacing w:val="0"/>
          <w:sz w:val="28"/>
          <w:szCs w:val="28"/>
          <w:highlight w:val="none"/>
          <w:vertAlign w:val="baseline"/>
        </w:rPr>
        <w:t>盖章）：</w:t>
      </w:r>
    </w:p>
    <w:p w14:paraId="6EB30D80">
      <w:pPr>
        <w:tabs>
          <w:tab w:val="left" w:pos="1536"/>
        </w:tabs>
        <w:bidi w:val="0"/>
        <w:jc w:val="left"/>
        <w:rPr>
          <w:rFonts w:hint="default"/>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EFE9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041A0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A041A07">
                    <w:pPr>
                      <w:pStyle w:val="4"/>
                    </w:pPr>
                    <w:r>
                      <w:fldChar w:fldCharType="begin"/>
                    </w:r>
                    <w:r>
                      <w:instrText xml:space="preserve"> PAGE  \* MERGEFORMAT </w:instrText>
                    </w:r>
                    <w:r>
                      <w:fldChar w:fldCharType="separate"/>
                    </w:r>
                    <w:r>
                      <w:t>1</w:t>
                    </w:r>
                    <w:r>
                      <w:fldChar w:fldCharType="end"/>
                    </w:r>
                  </w:p>
                </w:txbxContent>
              </v:textbox>
            </v:shape>
          </w:pict>
        </mc:Fallback>
      </mc:AlternateContent>
    </w:r>
  </w:p>
  <w:p w14:paraId="4D7BC285">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81B58">
    <w:pPr>
      <w:pStyle w:val="5"/>
      <w:pBdr>
        <w:bottom w:val="single" w:color="auto" w:sz="4" w:space="1"/>
      </w:pBdr>
      <w:ind w:firstLine="5760" w:firstLineChars="3200"/>
      <w:rPr>
        <w:rFonts w:hint="default" w:eastAsiaTheme="minorEastAsia"/>
        <w:lang w:val="en-US" w:eastAsia="zh-CN"/>
      </w:rPr>
    </w:pPr>
    <w:r>
      <w:rPr>
        <w:rFonts w:hint="eastAsia"/>
        <w:lang w:val="en-US" w:eastAsia="zh-CN"/>
      </w:rPr>
      <w:t>合同编号：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80940"/>
    <w:multiLevelType w:val="singleLevel"/>
    <w:tmpl w:val="06B8094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716369"/>
    <w:rsid w:val="021718B8"/>
    <w:rsid w:val="023F6B61"/>
    <w:rsid w:val="02D204EC"/>
    <w:rsid w:val="034C2C30"/>
    <w:rsid w:val="040848EA"/>
    <w:rsid w:val="04BA5B7D"/>
    <w:rsid w:val="04EB35F8"/>
    <w:rsid w:val="05A60301"/>
    <w:rsid w:val="06485005"/>
    <w:rsid w:val="07904AD9"/>
    <w:rsid w:val="07A4091B"/>
    <w:rsid w:val="07AF7602"/>
    <w:rsid w:val="08403FA2"/>
    <w:rsid w:val="08F370D7"/>
    <w:rsid w:val="09A3618F"/>
    <w:rsid w:val="09E774F7"/>
    <w:rsid w:val="101D644F"/>
    <w:rsid w:val="102037B8"/>
    <w:rsid w:val="10432133"/>
    <w:rsid w:val="10A14E3D"/>
    <w:rsid w:val="13E310B8"/>
    <w:rsid w:val="13FA7AB4"/>
    <w:rsid w:val="140C76E3"/>
    <w:rsid w:val="14141F3C"/>
    <w:rsid w:val="1B1F5697"/>
    <w:rsid w:val="1B473276"/>
    <w:rsid w:val="1B511C70"/>
    <w:rsid w:val="1BBB0947"/>
    <w:rsid w:val="1BBE7CCF"/>
    <w:rsid w:val="1C7656AA"/>
    <w:rsid w:val="1DF076EE"/>
    <w:rsid w:val="1E2D7B0D"/>
    <w:rsid w:val="22C860EF"/>
    <w:rsid w:val="22D951CD"/>
    <w:rsid w:val="22DE2F75"/>
    <w:rsid w:val="231352C9"/>
    <w:rsid w:val="23716369"/>
    <w:rsid w:val="24B74FD3"/>
    <w:rsid w:val="253D63C5"/>
    <w:rsid w:val="25757A0D"/>
    <w:rsid w:val="259844AD"/>
    <w:rsid w:val="279C15F4"/>
    <w:rsid w:val="287957EA"/>
    <w:rsid w:val="2A690D45"/>
    <w:rsid w:val="2B1F0606"/>
    <w:rsid w:val="2B40365F"/>
    <w:rsid w:val="2BB73EAA"/>
    <w:rsid w:val="2CEC20D4"/>
    <w:rsid w:val="2DCD037F"/>
    <w:rsid w:val="2E0C0168"/>
    <w:rsid w:val="2E421B72"/>
    <w:rsid w:val="2E91517F"/>
    <w:rsid w:val="2F1842AD"/>
    <w:rsid w:val="3337529F"/>
    <w:rsid w:val="341577A0"/>
    <w:rsid w:val="34AC179D"/>
    <w:rsid w:val="35D04C98"/>
    <w:rsid w:val="364A55B7"/>
    <w:rsid w:val="36B621F4"/>
    <w:rsid w:val="375F44B8"/>
    <w:rsid w:val="38BC0368"/>
    <w:rsid w:val="3D4A0DE0"/>
    <w:rsid w:val="3DB501A2"/>
    <w:rsid w:val="3E12257B"/>
    <w:rsid w:val="3EA92BEB"/>
    <w:rsid w:val="40264471"/>
    <w:rsid w:val="410A25CC"/>
    <w:rsid w:val="44604B3B"/>
    <w:rsid w:val="48516FB5"/>
    <w:rsid w:val="49286DCA"/>
    <w:rsid w:val="49B815A0"/>
    <w:rsid w:val="4A590B62"/>
    <w:rsid w:val="4C3C096A"/>
    <w:rsid w:val="4D933DFA"/>
    <w:rsid w:val="4DD50AED"/>
    <w:rsid w:val="4EF85E54"/>
    <w:rsid w:val="50C70253"/>
    <w:rsid w:val="519950B9"/>
    <w:rsid w:val="51EF6744"/>
    <w:rsid w:val="52CC1373"/>
    <w:rsid w:val="54DB7D90"/>
    <w:rsid w:val="558A144E"/>
    <w:rsid w:val="56E602A8"/>
    <w:rsid w:val="575F1379"/>
    <w:rsid w:val="587D6C85"/>
    <w:rsid w:val="58A11014"/>
    <w:rsid w:val="58EC4575"/>
    <w:rsid w:val="59DE1375"/>
    <w:rsid w:val="5BDA403C"/>
    <w:rsid w:val="5CC924ED"/>
    <w:rsid w:val="5E37045F"/>
    <w:rsid w:val="61B5342A"/>
    <w:rsid w:val="624238C9"/>
    <w:rsid w:val="654928DB"/>
    <w:rsid w:val="65F9411B"/>
    <w:rsid w:val="69BD0C78"/>
    <w:rsid w:val="6AD74250"/>
    <w:rsid w:val="6BFC2947"/>
    <w:rsid w:val="6C096B72"/>
    <w:rsid w:val="6F045E26"/>
    <w:rsid w:val="6F9C52B5"/>
    <w:rsid w:val="727E0932"/>
    <w:rsid w:val="739857D8"/>
    <w:rsid w:val="74424693"/>
    <w:rsid w:val="74B409BF"/>
    <w:rsid w:val="7615758C"/>
    <w:rsid w:val="771B028D"/>
    <w:rsid w:val="77743857"/>
    <w:rsid w:val="789C5701"/>
    <w:rsid w:val="78FB5BC5"/>
    <w:rsid w:val="797E732C"/>
    <w:rsid w:val="7AE517A6"/>
    <w:rsid w:val="7F437870"/>
    <w:rsid w:val="7FEE2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2031</Words>
  <Characters>2139</Characters>
  <Lines>0</Lines>
  <Paragraphs>0</Paragraphs>
  <TotalTime>102</TotalTime>
  <ScaleCrop>false</ScaleCrop>
  <LinksUpToDate>false</LinksUpToDate>
  <CharactersWithSpaces>2391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2021-04-28T09:32:00Z</dcterms:created>
  <dc:creator>Mi₳</dc:creator>
  <cp:lastModifiedBy>kinsen。</cp:lastModifiedBy>
  <cp:lastPrinted>2023-03-15T01:45:00Z</cp:lastPrinted>
  <dcterms:modified xsi:type="dcterms:W3CDTF">2025-11-28T01:37:26Z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5CF0B22EA2254A3DA49BAEF5AF13E90A_13</vt:lpwstr>
  </property>
  <property fmtid="{D5CDD505-2E9C-101B-9397-08002B2CF9AE}" pid="4" name="KSOTemplateDocerSaveRecord">
    <vt:lpwstr>eyJoZGlkIjoiNGRiODBmN2I5YTE2MTg0YWM1MWRkZDBjNzY2ZThiN2QiLCJ1c2VySWQiOiIyMTEyMzE1NDgifQ==</vt:lpwstr>
  </property>
</Properties>
</file>