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ind w:firstLine="880"/>
        <w:jc w:val="center"/>
        <w:rPr>
          <w:rFonts w:ascii="宋体" w:hAnsi="宋体"/>
          <w:sz w:val="28"/>
          <w:szCs w:val="28"/>
          <w:highlight w:val="none"/>
        </w:rPr>
      </w:pPr>
    </w:p>
    <w:p>
      <w:pPr>
        <w:widowControl/>
        <w:shd w:val="clear" w:color="auto" w:fill="auto"/>
        <w:spacing w:line="360" w:lineRule="auto"/>
        <w:ind w:firstLine="0" w:firstLineChars="0"/>
        <w:jc w:val="both"/>
        <w:rPr>
          <w:rFonts w:ascii="宋体" w:hAnsi="宋体"/>
          <w:sz w:val="28"/>
          <w:szCs w:val="28"/>
          <w:highlight w:val="none"/>
        </w:rPr>
      </w:pPr>
    </w:p>
    <w:p>
      <w:pPr>
        <w:shd w:val="clear" w:color="auto" w:fill="auto"/>
        <w:spacing w:line="360" w:lineRule="auto"/>
        <w:ind w:left="0" w:leftChars="0" w:firstLine="0" w:firstLineChars="0"/>
        <w:jc w:val="center"/>
        <w:rPr>
          <w:rFonts w:hint="eastAsia" w:ascii="黑体" w:eastAsia="黑体"/>
          <w:b/>
          <w:bCs/>
          <w:sz w:val="28"/>
          <w:szCs w:val="28"/>
          <w:highlight w:val="none"/>
        </w:rPr>
      </w:pPr>
    </w:p>
    <w:p>
      <w:pPr>
        <w:shd w:val="clear" w:color="auto" w:fill="auto"/>
        <w:spacing w:line="360" w:lineRule="auto"/>
        <w:ind w:left="0" w:leftChars="0" w:firstLine="0" w:firstLineChars="0"/>
        <w:jc w:val="center"/>
        <w:rPr>
          <w:rFonts w:hint="eastAsia" w:ascii="黑体" w:eastAsia="黑体"/>
          <w:b/>
          <w:bCs/>
          <w:sz w:val="28"/>
          <w:szCs w:val="28"/>
          <w:highlight w:val="none"/>
        </w:rPr>
      </w:pPr>
    </w:p>
    <w:p>
      <w:pPr>
        <w:widowControl/>
        <w:shd w:val="clear" w:color="auto" w:fill="auto"/>
        <w:spacing w:line="276" w:lineRule="auto"/>
        <w:ind w:firstLine="0" w:firstLineChars="0"/>
        <w:jc w:val="center"/>
        <w:rPr>
          <w:rFonts w:hint="default" w:ascii="宋体" w:hAnsi="宋体" w:eastAsia="宋体"/>
          <w:b/>
          <w:sz w:val="44"/>
          <w:szCs w:val="44"/>
          <w:highlight w:val="none"/>
          <w:lang w:val="en-US" w:eastAsia="zh-CN"/>
        </w:rPr>
      </w:pPr>
      <w:r>
        <w:rPr>
          <w:rFonts w:hint="eastAsia" w:ascii="黑体" w:eastAsia="黑体"/>
          <w:b/>
          <w:bCs/>
          <w:sz w:val="44"/>
          <w:szCs w:val="44"/>
          <w:highlight w:val="none"/>
          <w:lang w:val="en-US" w:eastAsia="zh-CN"/>
        </w:rPr>
        <w:t>资质认证服务需求书</w:t>
      </w:r>
    </w:p>
    <w:p>
      <w:pPr>
        <w:widowControl/>
        <w:shd w:val="clear" w:color="auto" w:fill="auto"/>
        <w:ind w:firstLine="880"/>
        <w:rPr>
          <w:rFonts w:ascii="宋体" w:hAnsi="宋体"/>
          <w:sz w:val="28"/>
          <w:szCs w:val="28"/>
          <w:highlight w:val="none"/>
        </w:rPr>
      </w:pPr>
      <w:r>
        <w:rPr>
          <w:rFonts w:hint="eastAsia" w:ascii="宋体" w:hAnsi="宋体"/>
          <w:sz w:val="28"/>
          <w:szCs w:val="28"/>
          <w:highlight w:val="none"/>
        </w:rPr>
        <w:t xml:space="preserve">                  </w:t>
      </w:r>
    </w:p>
    <w:p>
      <w:pPr>
        <w:widowControl/>
        <w:shd w:val="clear" w:color="auto" w:fill="auto"/>
        <w:ind w:firstLine="880"/>
        <w:rPr>
          <w:rFonts w:ascii="宋体" w:hAnsi="宋体"/>
          <w:sz w:val="28"/>
          <w:szCs w:val="28"/>
          <w:highlight w:val="none"/>
        </w:rPr>
      </w:pPr>
    </w:p>
    <w:p>
      <w:pPr>
        <w:widowControl/>
        <w:shd w:val="clear" w:color="auto" w:fill="auto"/>
        <w:ind w:firstLine="880"/>
        <w:rPr>
          <w:rFonts w:ascii="宋体" w:hAnsi="宋体"/>
          <w:sz w:val="28"/>
          <w:szCs w:val="28"/>
          <w:highlight w:val="none"/>
        </w:rPr>
      </w:pPr>
    </w:p>
    <w:p>
      <w:pPr>
        <w:widowControl/>
        <w:shd w:val="clear" w:color="auto" w:fill="auto"/>
        <w:ind w:firstLine="880"/>
        <w:rPr>
          <w:rFonts w:hint="eastAsia" w:ascii="宋体" w:hAnsi="宋体"/>
          <w:sz w:val="28"/>
          <w:szCs w:val="28"/>
          <w:highlight w:val="none"/>
        </w:rPr>
      </w:pPr>
    </w:p>
    <w:p>
      <w:pPr>
        <w:widowControl/>
        <w:shd w:val="clear" w:color="auto" w:fill="auto"/>
        <w:ind w:firstLine="880"/>
        <w:rPr>
          <w:rFonts w:hint="eastAsia" w:ascii="宋体" w:hAnsi="宋体"/>
          <w:sz w:val="28"/>
          <w:szCs w:val="28"/>
          <w:highlight w:val="none"/>
        </w:rPr>
      </w:pPr>
    </w:p>
    <w:p>
      <w:pPr>
        <w:widowControl/>
        <w:shd w:val="clear" w:color="auto" w:fill="auto"/>
        <w:ind w:firstLine="880"/>
        <w:rPr>
          <w:rFonts w:hint="eastAsia" w:ascii="宋体" w:hAnsi="宋体"/>
          <w:sz w:val="28"/>
          <w:szCs w:val="28"/>
          <w:highlight w:val="none"/>
        </w:rPr>
      </w:pPr>
    </w:p>
    <w:p>
      <w:pPr>
        <w:widowControl/>
        <w:shd w:val="clear" w:color="auto" w:fill="auto"/>
        <w:ind w:firstLine="880"/>
        <w:rPr>
          <w:rFonts w:hint="eastAsia" w:ascii="宋体" w:hAnsi="宋体"/>
          <w:sz w:val="28"/>
          <w:szCs w:val="28"/>
          <w:highlight w:val="none"/>
        </w:rPr>
      </w:pPr>
    </w:p>
    <w:p>
      <w:pPr>
        <w:widowControl/>
        <w:shd w:val="clear" w:color="auto" w:fill="auto"/>
        <w:ind w:firstLine="880"/>
        <w:rPr>
          <w:rFonts w:hint="eastAsia" w:ascii="宋体" w:hAnsi="宋体"/>
          <w:sz w:val="28"/>
          <w:szCs w:val="28"/>
          <w:highlight w:val="none"/>
        </w:rPr>
      </w:pPr>
    </w:p>
    <w:p>
      <w:pPr>
        <w:shd w:val="clear" w:color="auto" w:fill="auto"/>
        <w:ind w:firstLine="880"/>
        <w:jc w:val="center"/>
        <w:rPr>
          <w:rFonts w:ascii="宋体" w:hAnsi="宋体"/>
          <w:sz w:val="28"/>
          <w:szCs w:val="28"/>
          <w:highlight w:val="none"/>
        </w:rPr>
      </w:pPr>
    </w:p>
    <w:p>
      <w:pPr>
        <w:shd w:val="clear" w:color="auto" w:fill="auto"/>
        <w:spacing w:after="156" w:afterLines="50" w:line="360" w:lineRule="auto"/>
        <w:ind w:left="0" w:leftChars="0" w:firstLine="0" w:firstLineChars="0"/>
        <w:jc w:val="center"/>
        <w:rPr>
          <w:rFonts w:eastAsia="黑体"/>
          <w:b/>
          <w:bCs/>
          <w:sz w:val="28"/>
          <w:szCs w:val="28"/>
          <w:highlight w:val="none"/>
        </w:rPr>
      </w:pPr>
    </w:p>
    <w:p>
      <w:pPr>
        <w:shd w:val="clear" w:color="auto" w:fill="auto"/>
        <w:ind w:left="0" w:leftChars="0" w:firstLine="0" w:firstLineChars="0"/>
        <w:jc w:val="center"/>
        <w:rPr>
          <w:rFonts w:ascii="宋体"/>
          <w:color w:val="000000"/>
          <w:sz w:val="28"/>
          <w:szCs w:val="28"/>
          <w:highlight w:val="none"/>
          <w:shd w:val="clear" w:color="auto" w:fill="FFFF00"/>
        </w:rPr>
      </w:pPr>
      <w:r>
        <w:rPr>
          <w:rFonts w:hint="eastAsia" w:ascii="Calibri" w:hAnsi="Calibri" w:eastAsia="黑体" w:cs="Times New Roman"/>
          <w:b/>
          <w:bCs/>
          <w:sz w:val="28"/>
          <w:szCs w:val="28"/>
          <w:highlight w:val="none"/>
          <w:lang w:eastAsia="zh-CN"/>
        </w:rPr>
        <w:t>20</w:t>
      </w:r>
      <w:r>
        <w:rPr>
          <w:rFonts w:hint="eastAsia" w:ascii="Calibri" w:hAnsi="Calibri" w:eastAsia="黑体" w:cs="Times New Roman"/>
          <w:b/>
          <w:bCs/>
          <w:sz w:val="28"/>
          <w:szCs w:val="28"/>
          <w:highlight w:val="none"/>
          <w:lang w:val="en-US" w:eastAsia="zh-CN"/>
        </w:rPr>
        <w:t>25</w:t>
      </w:r>
      <w:r>
        <w:rPr>
          <w:rFonts w:hint="eastAsia" w:ascii="Calibri" w:hAnsi="Calibri" w:eastAsia="黑体" w:cs="Times New Roman"/>
          <w:b/>
          <w:bCs/>
          <w:sz w:val="28"/>
          <w:szCs w:val="28"/>
          <w:highlight w:val="none"/>
          <w:lang w:eastAsia="zh-CN"/>
        </w:rPr>
        <w:t>年</w:t>
      </w:r>
      <w:r>
        <w:rPr>
          <w:rFonts w:hint="eastAsia" w:ascii="Calibri" w:hAnsi="Calibri" w:eastAsia="黑体" w:cs="Times New Roman"/>
          <w:b/>
          <w:bCs/>
          <w:sz w:val="28"/>
          <w:szCs w:val="28"/>
          <w:highlight w:val="none"/>
          <w:lang w:val="en-US" w:eastAsia="zh-CN"/>
        </w:rPr>
        <w:t>04</w:t>
      </w:r>
      <w:bookmarkStart w:id="14" w:name="_GoBack"/>
      <w:bookmarkEnd w:id="14"/>
      <w:r>
        <w:rPr>
          <w:rFonts w:hint="eastAsia" w:ascii="Calibri" w:hAnsi="Calibri" w:eastAsia="黑体" w:cs="Times New Roman"/>
          <w:b/>
          <w:bCs/>
          <w:sz w:val="28"/>
          <w:szCs w:val="28"/>
          <w:highlight w:val="none"/>
          <w:lang w:eastAsia="zh-CN"/>
        </w:rPr>
        <w:t>月</w:t>
      </w:r>
    </w:p>
    <w:p>
      <w:pPr>
        <w:widowControl/>
        <w:shd w:val="clear" w:color="auto" w:fill="auto"/>
        <w:ind w:firstLine="880"/>
        <w:rPr>
          <w:rFonts w:ascii="宋体" w:hAnsi="宋体"/>
          <w:sz w:val="28"/>
          <w:szCs w:val="28"/>
          <w:highlight w:val="none"/>
        </w:rPr>
      </w:pPr>
    </w:p>
    <w:p>
      <w:pPr>
        <w:pStyle w:val="46"/>
        <w:shd w:val="clear" w:color="auto" w:fill="auto"/>
        <w:jc w:val="left"/>
        <w:rPr>
          <w:sz w:val="28"/>
          <w:szCs w:val="28"/>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0" w:name="_Toc233640518"/>
    </w:p>
    <w:p>
      <w:pPr>
        <w:pStyle w:val="4"/>
        <w:shd w:val="clear" w:color="auto" w:fill="auto"/>
        <w:rPr>
          <w:rFonts w:hint="eastAsia"/>
          <w:sz w:val="28"/>
          <w:szCs w:val="28"/>
          <w:highlight w:val="none"/>
        </w:rPr>
      </w:pPr>
      <w:bookmarkStart w:id="1" w:name="_Toc408936464"/>
      <w:r>
        <w:rPr>
          <w:rFonts w:hint="eastAsia"/>
          <w:sz w:val="28"/>
          <w:szCs w:val="28"/>
          <w:highlight w:val="none"/>
        </w:rPr>
        <w:t>总则</w:t>
      </w:r>
      <w:bookmarkEnd w:id="0"/>
      <w:bookmarkEnd w:id="1"/>
    </w:p>
    <w:p>
      <w:pPr>
        <w:pStyle w:val="62"/>
        <w:shd w:val="clear" w:color="auto" w:fill="auto"/>
        <w:rPr>
          <w:rFonts w:hint="eastAsia"/>
          <w:sz w:val="28"/>
          <w:szCs w:val="28"/>
          <w:highlight w:val="none"/>
        </w:rPr>
      </w:pPr>
      <w:bookmarkStart w:id="2" w:name="_Toc408936467"/>
      <w:r>
        <w:rPr>
          <w:rFonts w:hint="eastAsia"/>
          <w:sz w:val="28"/>
          <w:szCs w:val="28"/>
          <w:highlight w:val="none"/>
          <w:lang w:val="en-US" w:eastAsia="zh-CN"/>
        </w:rPr>
        <w:t>采购</w:t>
      </w:r>
      <w:r>
        <w:rPr>
          <w:rFonts w:hint="eastAsia"/>
          <w:sz w:val="28"/>
          <w:szCs w:val="28"/>
          <w:highlight w:val="none"/>
        </w:rPr>
        <w:t>范围</w:t>
      </w:r>
      <w:bookmarkEnd w:id="2"/>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本次采购服务范围：为广东南方智媒科技有限公司（以下简称“公司”）提供</w:t>
      </w:r>
      <w:r>
        <w:rPr>
          <w:rFonts w:hint="eastAsia"/>
          <w:sz w:val="28"/>
          <w:szCs w:val="28"/>
          <w:vertAlign w:val="baseline"/>
          <w:lang w:val="en-US" w:eastAsia="zh-CN"/>
        </w:rPr>
        <w:t>ISO9001质量管理体系年审、ISO20000信息技术服务管理体系年审、ISO27001信息安全管理体系换证（2013标准转换为2022标准）、ITSS信息技术服务标准体系运行维护三级年审、CCRC安全运维服务资质三级</w:t>
      </w:r>
      <w:r>
        <w:rPr>
          <w:rFonts w:hint="eastAsia"/>
          <w:sz w:val="28"/>
          <w:szCs w:val="28"/>
          <w:highlight w:val="none"/>
          <w:vertAlign w:val="baseline"/>
          <w:lang w:val="en-US" w:eastAsia="zh-CN"/>
        </w:rPr>
        <w:t>年审</w:t>
      </w:r>
      <w:r>
        <w:rPr>
          <w:rFonts w:hint="eastAsia"/>
          <w:sz w:val="28"/>
          <w:szCs w:val="28"/>
          <w:vertAlign w:val="baseline"/>
          <w:lang w:val="en-US" w:eastAsia="zh-CN"/>
        </w:rPr>
        <w:t>、CCRC安全应急处理服务资质三级</w:t>
      </w:r>
      <w:r>
        <w:rPr>
          <w:rFonts w:hint="eastAsia"/>
          <w:sz w:val="28"/>
          <w:szCs w:val="28"/>
          <w:highlight w:val="none"/>
          <w:vertAlign w:val="baseline"/>
          <w:lang w:val="en-US" w:eastAsia="zh-CN"/>
        </w:rPr>
        <w:t>年审</w:t>
      </w:r>
      <w:r>
        <w:rPr>
          <w:rFonts w:hint="eastAsia"/>
          <w:sz w:val="28"/>
          <w:szCs w:val="28"/>
          <w:vertAlign w:val="baseline"/>
          <w:lang w:val="en-US" w:eastAsia="zh-CN"/>
        </w:rPr>
        <w:t>、ISO/IEC 27701隐私信息管理体系年审、CCRC软件安全开发服务资质三级认证</w:t>
      </w:r>
      <w:r>
        <w:rPr>
          <w:rFonts w:hint="eastAsia"/>
          <w:sz w:val="28"/>
          <w:szCs w:val="28"/>
          <w:highlight w:val="none"/>
          <w:vertAlign w:val="baseline"/>
          <w:lang w:val="en-US" w:eastAsia="zh-CN"/>
        </w:rPr>
        <w:t>、</w:t>
      </w:r>
      <w:r>
        <w:rPr>
          <w:rFonts w:hint="eastAsia"/>
          <w:sz w:val="28"/>
          <w:szCs w:val="28"/>
          <w:vertAlign w:val="baseline"/>
          <w:lang w:val="en-US" w:eastAsia="zh-CN"/>
        </w:rPr>
        <w:t>人工智能管理体系 ISO/IEC42001:2023认证、DSMM数据安全能力成熟度模型二级认证</w:t>
      </w:r>
      <w:r>
        <w:rPr>
          <w:rFonts w:hint="eastAsia" w:ascii="Calibri" w:hAnsi="Calibri" w:eastAsia="宋体" w:cs="Times New Roman"/>
          <w:snapToGrid w:val="0"/>
          <w:sz w:val="28"/>
          <w:szCs w:val="28"/>
          <w:highlight w:val="none"/>
          <w:lang w:eastAsia="zh-CN"/>
        </w:rPr>
        <w:t>服务</w:t>
      </w:r>
      <w:r>
        <w:rPr>
          <w:rFonts w:hint="eastAsia" w:ascii="宋体" w:hAnsi="宋体" w:eastAsia="宋体" w:cs="宋体"/>
          <w:color w:val="auto"/>
          <w:sz w:val="28"/>
          <w:szCs w:val="28"/>
          <w:highlight w:val="none"/>
          <w:lang w:val="en-US" w:eastAsia="zh-CN"/>
        </w:rPr>
        <w:t>。</w:t>
      </w:r>
    </w:p>
    <w:p>
      <w:pPr>
        <w:pStyle w:val="62"/>
        <w:shd w:val="clear" w:color="auto" w:fill="auto"/>
        <w:rPr>
          <w:rFonts w:hint="eastAsia"/>
          <w:sz w:val="28"/>
          <w:szCs w:val="28"/>
          <w:highlight w:val="none"/>
        </w:rPr>
      </w:pPr>
      <w:bookmarkStart w:id="3" w:name="_Toc408936468"/>
      <w:bookmarkStart w:id="4" w:name="_Toc233640526"/>
      <w:r>
        <w:rPr>
          <w:rFonts w:hint="eastAsia"/>
          <w:sz w:val="28"/>
          <w:szCs w:val="28"/>
          <w:highlight w:val="none"/>
          <w:lang w:val="en-US" w:eastAsia="zh-CN"/>
        </w:rPr>
        <w:t>服务</w:t>
      </w:r>
      <w:r>
        <w:rPr>
          <w:rFonts w:hint="eastAsia"/>
          <w:sz w:val="28"/>
          <w:szCs w:val="28"/>
          <w:highlight w:val="none"/>
        </w:rPr>
        <w:t>保证</w:t>
      </w:r>
      <w:bookmarkEnd w:id="3"/>
      <w:bookmarkEnd w:id="4"/>
    </w:p>
    <w:p>
      <w:pPr>
        <w:pStyle w:val="6"/>
        <w:shd w:val="clear" w:color="auto" w:fill="auto"/>
        <w:ind w:left="960"/>
        <w:rPr>
          <w:rFonts w:hint="eastAsia"/>
          <w:sz w:val="28"/>
          <w:szCs w:val="28"/>
          <w:highlight w:val="none"/>
        </w:rPr>
      </w:pPr>
      <w:bookmarkStart w:id="5" w:name="_Toc233640527"/>
      <w:bookmarkStart w:id="6" w:name="_Toc408936469"/>
      <w:r>
        <w:rPr>
          <w:rFonts w:hint="eastAsia"/>
          <w:sz w:val="28"/>
          <w:szCs w:val="28"/>
          <w:highlight w:val="none"/>
        </w:rPr>
        <w:t>组织保证</w:t>
      </w:r>
      <w:bookmarkEnd w:id="5"/>
      <w:bookmarkEnd w:id="6"/>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bookmarkStart w:id="7" w:name="_Toc408936470"/>
      <w:bookmarkStart w:id="8" w:name="_Toc233640528"/>
      <w:r>
        <w:rPr>
          <w:rFonts w:hint="eastAsia" w:ascii="Calibri" w:hAnsi="Calibri" w:eastAsia="宋体" w:cs="Times New Roman"/>
          <w:kern w:val="2"/>
          <w:sz w:val="28"/>
          <w:szCs w:val="28"/>
          <w:highlight w:val="none"/>
          <w:lang w:val="en-US" w:eastAsia="zh-CN" w:bidi="ar-SA"/>
        </w:rPr>
        <w:t>1）服务方在确定现场评审认证日期后，需在现场评审日期前7天向公司提供拟派参加本项目的人员名单以及参加人员的资料，参加本项目的人员中必须包含有专业认证人员。</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2）服务方必须向公司保证认证审核人员组织的稳定性，在本项目结束前，参加本项目的人员变动必须取得公司同意。</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3）服务方必须保持维护团队人员的稳定，未经公司同意，不得随意调换项目组成员，因工作原因确实需要调换的须提前一个月与公司协商，并经公司同意后才能更换。</w:t>
      </w:r>
    </w:p>
    <w:p>
      <w:pPr>
        <w:pStyle w:val="6"/>
        <w:shd w:val="clear" w:color="auto" w:fill="auto"/>
        <w:ind w:left="960"/>
        <w:rPr>
          <w:rFonts w:hint="eastAsia"/>
          <w:sz w:val="28"/>
          <w:szCs w:val="28"/>
          <w:highlight w:val="none"/>
        </w:rPr>
      </w:pPr>
      <w:r>
        <w:rPr>
          <w:rFonts w:hint="eastAsia"/>
          <w:sz w:val="28"/>
          <w:szCs w:val="28"/>
          <w:highlight w:val="none"/>
        </w:rPr>
        <w:t>质量保证</w:t>
      </w:r>
      <w:bookmarkEnd w:id="7"/>
      <w:bookmarkEnd w:id="8"/>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bookmarkStart w:id="9" w:name="_Toc408936471"/>
      <w:bookmarkStart w:id="10" w:name="_Toc233640529"/>
      <w:r>
        <w:rPr>
          <w:rFonts w:hint="eastAsia" w:ascii="Calibri" w:hAnsi="Calibri" w:eastAsia="宋体" w:cs="Times New Roman"/>
          <w:kern w:val="2"/>
          <w:sz w:val="28"/>
          <w:szCs w:val="28"/>
          <w:highlight w:val="none"/>
          <w:lang w:val="en-US" w:eastAsia="zh-CN" w:bidi="ar-SA"/>
        </w:rPr>
        <w:t>服务方应保证所提供的所有服务的人员素质及服务质量均能满足本应答文件要求。</w:t>
      </w:r>
    </w:p>
    <w:p>
      <w:pPr>
        <w:pStyle w:val="6"/>
        <w:shd w:val="clear" w:color="auto" w:fill="auto"/>
        <w:ind w:left="960"/>
        <w:rPr>
          <w:rFonts w:hint="eastAsia" w:ascii="Times New Roman" w:hAnsi="Times New Roman" w:eastAsia="宋体" w:cs="Times New Roman"/>
          <w:b/>
          <w:bCs/>
          <w:sz w:val="28"/>
          <w:szCs w:val="28"/>
          <w:highlight w:val="none"/>
        </w:rPr>
      </w:pPr>
      <w:r>
        <w:rPr>
          <w:rFonts w:hint="eastAsia" w:ascii="Times New Roman" w:hAnsi="Times New Roman" w:eastAsia="宋体" w:cs="Times New Roman"/>
          <w:b/>
          <w:bCs/>
          <w:sz w:val="28"/>
          <w:szCs w:val="28"/>
          <w:highlight w:val="none"/>
        </w:rPr>
        <w:t>进度保证</w:t>
      </w:r>
      <w:bookmarkEnd w:id="9"/>
      <w:bookmarkEnd w:id="10"/>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1) 本项目实施时间范围由双方在签订合同确定。</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default"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2) 服务方必须根据公司要求提供相应的服务保证措施、服务计划表。</w:t>
      </w:r>
    </w:p>
    <w:p>
      <w:pPr>
        <w:pStyle w:val="4"/>
        <w:shd w:val="clear" w:color="auto" w:fill="auto"/>
        <w:rPr>
          <w:sz w:val="28"/>
          <w:szCs w:val="28"/>
          <w:highlight w:val="none"/>
        </w:rPr>
      </w:pPr>
      <w:bookmarkStart w:id="11" w:name="_Toc408936474"/>
      <w:r>
        <w:rPr>
          <w:rFonts w:hint="eastAsia"/>
          <w:sz w:val="28"/>
          <w:szCs w:val="28"/>
          <w:highlight w:val="none"/>
        </w:rPr>
        <w:t>项目内容及要求</w:t>
      </w:r>
    </w:p>
    <w:p>
      <w:pPr>
        <w:pStyle w:val="62"/>
        <w:shd w:val="clear" w:color="auto" w:fill="auto"/>
        <w:rPr>
          <w:rFonts w:hint="eastAsia"/>
          <w:sz w:val="28"/>
          <w:szCs w:val="28"/>
          <w:highlight w:val="none"/>
        </w:rPr>
      </w:pPr>
      <w:r>
        <w:rPr>
          <w:rFonts w:hint="eastAsia"/>
          <w:sz w:val="28"/>
          <w:szCs w:val="28"/>
          <w:highlight w:val="none"/>
          <w:lang w:eastAsia="zh-CN"/>
        </w:rPr>
        <w:t>服务方</w:t>
      </w:r>
      <w:r>
        <w:rPr>
          <w:rFonts w:hint="eastAsia"/>
          <w:sz w:val="28"/>
          <w:szCs w:val="28"/>
          <w:highlight w:val="none"/>
        </w:rPr>
        <w:t>的工作范围</w:t>
      </w:r>
      <w:bookmarkEnd w:id="11"/>
    </w:p>
    <w:p>
      <w:pPr>
        <w:pStyle w:val="6"/>
        <w:shd w:val="clear" w:color="auto" w:fill="auto"/>
        <w:ind w:left="960"/>
        <w:rPr>
          <w:rFonts w:hint="eastAsia" w:ascii="Times New Roman" w:hAnsi="Times New Roman" w:eastAsia="宋体" w:cs="Times New Roman"/>
          <w:b/>
          <w:bCs/>
          <w:sz w:val="28"/>
          <w:szCs w:val="28"/>
          <w:highlight w:val="none"/>
        </w:rPr>
      </w:pPr>
      <w:bookmarkStart w:id="12" w:name="_Toc408936475"/>
      <w:r>
        <w:rPr>
          <w:rFonts w:hint="eastAsia" w:ascii="Times New Roman" w:hAnsi="Times New Roman" w:eastAsia="宋体" w:cs="Times New Roman"/>
          <w:b/>
          <w:bCs/>
          <w:sz w:val="28"/>
          <w:szCs w:val="28"/>
          <w:highlight w:val="none"/>
        </w:rPr>
        <w:t>认证服务范围：</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1）ISO/IEC9001质量管理体系认证范围；</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2）ISO20000信息技术服务管理体系认证范围；</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3）ISO/IEC27001信息安全管理体系认证范围；</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4）ISO/IEC 27701隐私信息管理体系认证范围</w:t>
      </w:r>
      <w:r>
        <w:rPr>
          <w:rFonts w:hint="eastAsia" w:ascii="Calibri" w:hAnsi="Calibri" w:cs="Times New Roman"/>
          <w:kern w:val="2"/>
          <w:sz w:val="28"/>
          <w:szCs w:val="28"/>
          <w:highlight w:val="none"/>
          <w:lang w:val="en-US" w:eastAsia="zh-CN" w:bidi="ar-SA"/>
        </w:rPr>
        <w:t>；</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5）ITSS信息技术服务标准认证范围；</w:t>
      </w:r>
    </w:p>
    <w:p>
      <w:pPr>
        <w:pStyle w:val="2"/>
        <w:rPr>
          <w:rFonts w:hint="eastAsia" w:ascii="Calibri" w:hAnsi="Calibri" w:eastAsia="宋体" w:cs="Times New Roman"/>
          <w:b w:val="0"/>
          <w:kern w:val="2"/>
          <w:sz w:val="28"/>
          <w:szCs w:val="28"/>
          <w:highlight w:val="none"/>
          <w:lang w:val="en-US" w:eastAsia="zh-CN" w:bidi="ar-SA"/>
        </w:rPr>
      </w:pPr>
      <w:r>
        <w:rPr>
          <w:rFonts w:hint="eastAsia" w:ascii="Calibri" w:hAnsi="Calibri" w:eastAsia="宋体" w:cs="Times New Roman"/>
          <w:b w:val="0"/>
          <w:kern w:val="2"/>
          <w:sz w:val="28"/>
          <w:szCs w:val="28"/>
          <w:highlight w:val="none"/>
          <w:lang w:val="en-US" w:eastAsia="zh-CN" w:bidi="ar-SA"/>
        </w:rPr>
        <w:t>6）</w:t>
      </w:r>
      <w:r>
        <w:rPr>
          <w:rFonts w:hint="eastAsia"/>
          <w:sz w:val="28"/>
          <w:szCs w:val="28"/>
          <w:vertAlign w:val="baseline"/>
          <w:lang w:val="en-US" w:eastAsia="zh-CN"/>
        </w:rPr>
        <w:t>ISO/IEC42001:2023人工智能管理体系认证范围</w:t>
      </w:r>
      <w:r>
        <w:rPr>
          <w:rFonts w:hint="eastAsia" w:ascii="Calibri" w:hAnsi="Calibri" w:eastAsia="宋体" w:cs="Times New Roman"/>
          <w:b w:val="0"/>
          <w:kern w:val="2"/>
          <w:sz w:val="28"/>
          <w:szCs w:val="28"/>
          <w:highlight w:val="none"/>
          <w:lang w:val="en-US" w:eastAsia="zh-CN" w:bidi="ar-SA"/>
        </w:rPr>
        <w:t>；</w:t>
      </w:r>
    </w:p>
    <w:p>
      <w:pPr>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b w:val="0"/>
          <w:kern w:val="2"/>
          <w:sz w:val="28"/>
          <w:szCs w:val="28"/>
          <w:highlight w:val="none"/>
          <w:lang w:val="en-US" w:eastAsia="zh-CN" w:bidi="ar-SA"/>
        </w:rPr>
        <w:t>7）</w:t>
      </w:r>
      <w:r>
        <w:rPr>
          <w:rFonts w:hint="eastAsia" w:ascii="Calibri" w:hAnsi="Calibri" w:eastAsia="宋体" w:cs="Times New Roman"/>
          <w:snapToGrid w:val="0"/>
          <w:sz w:val="28"/>
          <w:szCs w:val="28"/>
          <w:highlight w:val="none"/>
          <w:lang w:eastAsia="zh-CN"/>
        </w:rPr>
        <w:t>CCRC信息安全服务资质（安全运维服务资质、</w:t>
      </w:r>
      <w:r>
        <w:rPr>
          <w:rFonts w:hint="eastAsia" w:ascii="Calibri" w:hAnsi="Calibri" w:eastAsia="宋体" w:cs="Times New Roman"/>
          <w:snapToGrid w:val="0"/>
          <w:sz w:val="28"/>
          <w:szCs w:val="28"/>
          <w:highlight w:val="none"/>
          <w:lang w:val="en-US" w:eastAsia="zh-CN"/>
        </w:rPr>
        <w:t>安全应急处理</w:t>
      </w:r>
      <w:r>
        <w:rPr>
          <w:rFonts w:hint="eastAsia" w:ascii="Calibri" w:hAnsi="Calibri" w:eastAsia="宋体" w:cs="Times New Roman"/>
          <w:snapToGrid w:val="0"/>
          <w:sz w:val="28"/>
          <w:szCs w:val="28"/>
          <w:highlight w:val="none"/>
          <w:lang w:eastAsia="zh-CN"/>
        </w:rPr>
        <w:t>服务资质</w:t>
      </w:r>
      <w:r>
        <w:rPr>
          <w:rFonts w:hint="eastAsia" w:ascii="Calibri" w:hAnsi="Calibri" w:cs="Times New Roman"/>
          <w:snapToGrid w:val="0"/>
          <w:sz w:val="28"/>
          <w:szCs w:val="28"/>
          <w:highlight w:val="none"/>
          <w:lang w:eastAsia="zh-CN"/>
        </w:rPr>
        <w:t>、</w:t>
      </w:r>
      <w:r>
        <w:rPr>
          <w:rFonts w:hint="eastAsia" w:ascii="Calibri" w:hAnsi="Calibri" w:cs="Times New Roman"/>
          <w:snapToGrid w:val="0"/>
          <w:sz w:val="28"/>
          <w:szCs w:val="28"/>
          <w:highlight w:val="none"/>
          <w:lang w:val="en-US" w:eastAsia="zh-CN"/>
        </w:rPr>
        <w:t>软件安全开发服务资质</w:t>
      </w:r>
      <w:r>
        <w:rPr>
          <w:rFonts w:hint="eastAsia" w:ascii="Calibri" w:hAnsi="Calibri" w:eastAsia="宋体" w:cs="Times New Roman"/>
          <w:snapToGrid w:val="0"/>
          <w:sz w:val="28"/>
          <w:szCs w:val="28"/>
          <w:highlight w:val="none"/>
          <w:lang w:eastAsia="zh-CN"/>
        </w:rPr>
        <w:t>）</w:t>
      </w:r>
      <w:r>
        <w:rPr>
          <w:rFonts w:hint="eastAsia" w:ascii="Calibri" w:hAnsi="Calibri" w:eastAsia="宋体" w:cs="Times New Roman"/>
          <w:snapToGrid w:val="0"/>
          <w:sz w:val="28"/>
          <w:szCs w:val="28"/>
          <w:highlight w:val="none"/>
          <w:lang w:val="en-US" w:eastAsia="zh-CN"/>
        </w:rPr>
        <w:t>三级</w:t>
      </w:r>
      <w:r>
        <w:rPr>
          <w:rFonts w:hint="eastAsia" w:ascii="Calibri" w:hAnsi="Calibri" w:eastAsia="宋体" w:cs="Times New Roman"/>
          <w:snapToGrid w:val="0"/>
          <w:sz w:val="28"/>
          <w:szCs w:val="28"/>
          <w:highlight w:val="none"/>
          <w:lang w:eastAsia="zh-CN"/>
        </w:rPr>
        <w:t>认证</w:t>
      </w:r>
      <w:r>
        <w:rPr>
          <w:rFonts w:hint="eastAsia" w:ascii="Calibri" w:hAnsi="Calibri" w:eastAsia="宋体" w:cs="Times New Roman"/>
          <w:kern w:val="2"/>
          <w:sz w:val="28"/>
          <w:szCs w:val="28"/>
          <w:highlight w:val="none"/>
          <w:lang w:val="en-US" w:eastAsia="zh-CN" w:bidi="ar-SA"/>
        </w:rPr>
        <w:t>范围；</w:t>
      </w:r>
    </w:p>
    <w:p>
      <w:pPr>
        <w:rPr>
          <w:rFonts w:hint="default"/>
          <w:sz w:val="28"/>
          <w:szCs w:val="28"/>
          <w:lang w:val="en-US" w:eastAsia="zh-CN"/>
        </w:rPr>
      </w:pPr>
      <w:r>
        <w:rPr>
          <w:rFonts w:hint="eastAsia" w:ascii="Calibri" w:hAnsi="Calibri" w:eastAsia="宋体" w:cs="Times New Roman"/>
          <w:kern w:val="2"/>
          <w:sz w:val="28"/>
          <w:szCs w:val="28"/>
          <w:highlight w:val="none"/>
          <w:lang w:val="en-US" w:eastAsia="zh-CN" w:bidi="ar-SA"/>
        </w:rPr>
        <w:t>8）</w:t>
      </w:r>
      <w:r>
        <w:rPr>
          <w:rFonts w:hint="eastAsia"/>
          <w:sz w:val="28"/>
          <w:szCs w:val="28"/>
          <w:vertAlign w:val="baseline"/>
          <w:lang w:val="en-US" w:eastAsia="zh-CN"/>
        </w:rPr>
        <w:t>DSMM数据安全能力成熟度模型认证范围</w:t>
      </w:r>
      <w:r>
        <w:rPr>
          <w:rFonts w:hint="eastAsia" w:ascii="Calibri" w:hAnsi="Calibri" w:eastAsia="宋体" w:cs="Times New Roman"/>
          <w:kern w:val="2"/>
          <w:sz w:val="28"/>
          <w:szCs w:val="28"/>
          <w:highlight w:val="none"/>
          <w:lang w:val="en-US" w:eastAsia="zh-CN" w:bidi="ar-SA"/>
        </w:rPr>
        <w:t>。</w:t>
      </w:r>
    </w:p>
    <w:p>
      <w:pPr>
        <w:pStyle w:val="6"/>
        <w:shd w:val="clear" w:color="auto" w:fill="auto"/>
        <w:ind w:left="960"/>
        <w:rPr>
          <w:rFonts w:hint="eastAsia" w:ascii="Times New Roman" w:hAnsi="Times New Roman" w:eastAsia="宋体" w:cs="Times New Roman"/>
          <w:b/>
          <w:bCs/>
          <w:sz w:val="28"/>
          <w:szCs w:val="28"/>
          <w:highlight w:val="none"/>
          <w:lang w:eastAsia="zh-CN"/>
        </w:rPr>
      </w:pPr>
      <w:r>
        <w:rPr>
          <w:rFonts w:hint="eastAsia" w:ascii="Times New Roman" w:hAnsi="Times New Roman" w:eastAsia="宋体" w:cs="Times New Roman"/>
          <w:b/>
          <w:bCs/>
          <w:sz w:val="28"/>
          <w:szCs w:val="28"/>
          <w:highlight w:val="none"/>
        </w:rPr>
        <w:t>组织范围：</w:t>
      </w:r>
      <w:r>
        <w:rPr>
          <w:rFonts w:hint="eastAsia" w:ascii="Times New Roman" w:hAnsi="Times New Roman" w:eastAsia="宋体" w:cs="Times New Roman"/>
          <w:b/>
          <w:bCs/>
          <w:sz w:val="28"/>
          <w:szCs w:val="28"/>
          <w:highlight w:val="none"/>
          <w:lang w:eastAsia="zh-CN"/>
        </w:rPr>
        <w:t>公司</w:t>
      </w:r>
    </w:p>
    <w:p>
      <w:pPr>
        <w:pStyle w:val="62"/>
        <w:shd w:val="clear" w:color="auto" w:fill="auto"/>
        <w:rPr>
          <w:rFonts w:hint="eastAsia"/>
          <w:b/>
          <w:bCs/>
          <w:sz w:val="28"/>
          <w:szCs w:val="28"/>
          <w:highlight w:val="none"/>
          <w:lang w:eastAsia="zh-CN"/>
        </w:rPr>
      </w:pPr>
      <w:r>
        <w:rPr>
          <w:rFonts w:hint="eastAsia"/>
          <w:b/>
          <w:bCs/>
          <w:sz w:val="28"/>
          <w:szCs w:val="28"/>
          <w:highlight w:val="none"/>
          <w:lang w:eastAsia="zh-CN"/>
        </w:rPr>
        <w:t>技术指标要求</w:t>
      </w:r>
      <w:bookmarkEnd w:id="12"/>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default"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符合相关体系认证标准：</w:t>
      </w:r>
      <w:r>
        <w:rPr>
          <w:rFonts w:hint="eastAsia"/>
          <w:sz w:val="28"/>
          <w:szCs w:val="28"/>
          <w:vertAlign w:val="baseline"/>
          <w:lang w:val="en-US" w:eastAsia="zh-CN"/>
        </w:rPr>
        <w:t>ISO9001质量管理体系、ISO20000信息技术服务管理体系、ISO27001信息安全管理体系、ITSS信息技术服务标准体系、CCRC安全运维服务资质三级、CCRC安全应急处理服务资质三级、CCRC软件安全开发服务资质、ISO/IEC 27701隐私信息管理体系、ISO/IEC42001:2023人工智能管理体系 、DSMM数据安全能力成熟度模型二级</w:t>
      </w:r>
      <w:r>
        <w:rPr>
          <w:rFonts w:hint="eastAsia" w:ascii="Calibri" w:hAnsi="Calibri" w:eastAsia="宋体" w:cs="Times New Roman"/>
          <w:kern w:val="2"/>
          <w:sz w:val="28"/>
          <w:szCs w:val="28"/>
          <w:highlight w:val="none"/>
          <w:lang w:val="en-US" w:eastAsia="zh-CN" w:bidi="ar-SA"/>
        </w:rPr>
        <w:t>。</w:t>
      </w:r>
    </w:p>
    <w:p>
      <w:pPr>
        <w:pStyle w:val="62"/>
        <w:shd w:val="clear" w:color="auto" w:fill="auto"/>
        <w:rPr>
          <w:rFonts w:hint="eastAsia"/>
          <w:sz w:val="28"/>
          <w:szCs w:val="28"/>
          <w:highlight w:val="none"/>
        </w:rPr>
      </w:pPr>
      <w:r>
        <w:rPr>
          <w:rFonts w:hint="eastAsia"/>
          <w:sz w:val="28"/>
          <w:szCs w:val="28"/>
          <w:highlight w:val="none"/>
        </w:rPr>
        <w:t>技术服务要求</w:t>
      </w:r>
    </w:p>
    <w:p>
      <w:pPr>
        <w:pStyle w:val="6"/>
        <w:shd w:val="clear" w:color="auto" w:fill="auto"/>
        <w:ind w:left="960"/>
        <w:rPr>
          <w:sz w:val="28"/>
          <w:szCs w:val="28"/>
          <w:highlight w:val="none"/>
        </w:rPr>
      </w:pPr>
      <w:r>
        <w:rPr>
          <w:rFonts w:hint="eastAsia"/>
          <w:sz w:val="28"/>
          <w:szCs w:val="28"/>
          <w:highlight w:val="none"/>
        </w:rPr>
        <w:t>技术服务能力要求</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1）服务方需要提供合理的认证服务方案。</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2）服务方需要提供必要和完善的服务质量保证措施。</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3）服务方需要按照认证方案中的时间进行实施，保证进度。</w:t>
      </w:r>
    </w:p>
    <w:p>
      <w:pPr>
        <w:pStyle w:val="6"/>
        <w:shd w:val="clear" w:color="auto" w:fill="auto"/>
        <w:ind w:left="960"/>
        <w:rPr>
          <w:rFonts w:hint="eastAsia" w:ascii="Times New Roman" w:hAnsi="Times New Roman" w:eastAsia="宋体" w:cs="Times New Roman"/>
          <w:b/>
          <w:bCs/>
          <w:sz w:val="28"/>
          <w:szCs w:val="28"/>
          <w:highlight w:val="none"/>
          <w:lang w:val="sv-SE"/>
        </w:rPr>
      </w:pPr>
      <w:r>
        <w:rPr>
          <w:rFonts w:hint="eastAsia" w:ascii="Times New Roman" w:hAnsi="Times New Roman" w:eastAsia="宋体" w:cs="Times New Roman"/>
          <w:b/>
          <w:bCs/>
          <w:sz w:val="28"/>
          <w:szCs w:val="28"/>
          <w:highlight w:val="none"/>
          <w:lang w:val="sv-SE"/>
        </w:rPr>
        <w:t>服务时间方式</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服务时间及方式</w:t>
      </w:r>
    </w:p>
    <w:tbl>
      <w:tblPr>
        <w:tblStyle w:val="30"/>
        <w:tblW w:w="0" w:type="auto"/>
        <w:tblInd w:w="133" w:type="dxa"/>
        <w:tblLayout w:type="fixed"/>
        <w:tblCellMar>
          <w:top w:w="0" w:type="dxa"/>
          <w:left w:w="108" w:type="dxa"/>
          <w:bottom w:w="0" w:type="dxa"/>
          <w:right w:w="108" w:type="dxa"/>
        </w:tblCellMar>
      </w:tblPr>
      <w:tblGrid>
        <w:gridCol w:w="1056"/>
        <w:gridCol w:w="1677"/>
        <w:gridCol w:w="5427"/>
      </w:tblGrid>
      <w:tr>
        <w:tblPrEx>
          <w:tblCellMar>
            <w:top w:w="0" w:type="dxa"/>
            <w:left w:w="108" w:type="dxa"/>
            <w:bottom w:w="0" w:type="dxa"/>
            <w:right w:w="108" w:type="dxa"/>
          </w:tblCellMar>
        </w:tblPrEx>
        <w:trPr>
          <w:trHeight w:val="502" w:hRule="atLeast"/>
        </w:trPr>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auto"/>
              <w:spacing w:line="360" w:lineRule="auto"/>
              <w:ind w:firstLine="0" w:firstLineChars="0"/>
              <w:rPr>
                <w:rFonts w:ascii="宋体" w:hAnsi="宋体"/>
                <w:sz w:val="28"/>
                <w:szCs w:val="28"/>
                <w:highlight w:val="none"/>
              </w:rPr>
            </w:pPr>
            <w:r>
              <w:rPr>
                <w:rFonts w:hint="eastAsia" w:ascii="宋体" w:hAnsi="宋体"/>
                <w:sz w:val="28"/>
                <w:szCs w:val="28"/>
                <w:highlight w:val="none"/>
              </w:rPr>
              <w:t>序号</w:t>
            </w:r>
          </w:p>
        </w:tc>
        <w:tc>
          <w:tcPr>
            <w:tcW w:w="1677" w:type="dxa"/>
            <w:tcBorders>
              <w:top w:val="single" w:color="000000" w:sz="4" w:space="0"/>
              <w:left w:val="nil"/>
              <w:bottom w:val="single" w:color="000000" w:sz="4" w:space="0"/>
              <w:right w:val="single" w:color="000000" w:sz="4" w:space="0"/>
            </w:tcBorders>
            <w:noWrap w:val="0"/>
            <w:vAlign w:val="center"/>
          </w:tcPr>
          <w:p>
            <w:pPr>
              <w:widowControl/>
              <w:shd w:val="clear" w:color="auto" w:fill="auto"/>
              <w:spacing w:line="360" w:lineRule="auto"/>
              <w:ind w:firstLine="0" w:firstLineChars="0"/>
              <w:rPr>
                <w:rFonts w:ascii="宋体" w:hAnsi="宋体"/>
                <w:sz w:val="28"/>
                <w:szCs w:val="28"/>
                <w:highlight w:val="none"/>
              </w:rPr>
            </w:pPr>
            <w:r>
              <w:rPr>
                <w:rFonts w:hint="eastAsia" w:ascii="宋体" w:hAnsi="宋体"/>
                <w:sz w:val="28"/>
                <w:szCs w:val="28"/>
                <w:highlight w:val="none"/>
              </w:rPr>
              <w:t>工作方式</w:t>
            </w:r>
          </w:p>
        </w:tc>
        <w:tc>
          <w:tcPr>
            <w:tcW w:w="5427" w:type="dxa"/>
            <w:tcBorders>
              <w:top w:val="single" w:color="000000" w:sz="4" w:space="0"/>
              <w:left w:val="nil"/>
              <w:bottom w:val="single" w:color="000000" w:sz="4" w:space="0"/>
              <w:right w:val="single" w:color="000000" w:sz="4" w:space="0"/>
            </w:tcBorders>
            <w:noWrap w:val="0"/>
            <w:vAlign w:val="center"/>
          </w:tcPr>
          <w:p>
            <w:pPr>
              <w:widowControl/>
              <w:shd w:val="clear" w:color="auto" w:fill="auto"/>
              <w:spacing w:line="360" w:lineRule="auto"/>
              <w:ind w:firstLine="480"/>
              <w:jc w:val="center"/>
              <w:rPr>
                <w:rFonts w:ascii="宋体" w:hAnsi="宋体"/>
                <w:sz w:val="28"/>
                <w:szCs w:val="28"/>
                <w:highlight w:val="none"/>
              </w:rPr>
            </w:pPr>
            <w:r>
              <w:rPr>
                <w:rFonts w:hint="eastAsia" w:ascii="宋体" w:hAnsi="宋体"/>
                <w:sz w:val="28"/>
                <w:szCs w:val="28"/>
                <w:highlight w:val="none"/>
              </w:rPr>
              <w:t>工作时间</w:t>
            </w:r>
          </w:p>
        </w:tc>
      </w:tr>
      <w:tr>
        <w:tblPrEx>
          <w:tblCellMar>
            <w:top w:w="0" w:type="dxa"/>
            <w:left w:w="108" w:type="dxa"/>
            <w:bottom w:w="0" w:type="dxa"/>
            <w:right w:w="108" w:type="dxa"/>
          </w:tblCellMar>
        </w:tblPrEx>
        <w:trPr>
          <w:trHeight w:val="921" w:hRule="atLeast"/>
        </w:trPr>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auto"/>
              <w:spacing w:line="360" w:lineRule="auto"/>
              <w:ind w:firstLine="198" w:firstLineChars="71"/>
              <w:rPr>
                <w:rFonts w:ascii="宋体" w:hAnsi="宋体"/>
                <w:sz w:val="28"/>
                <w:szCs w:val="28"/>
                <w:highlight w:val="none"/>
              </w:rPr>
            </w:pPr>
            <w:r>
              <w:rPr>
                <w:rFonts w:hint="eastAsia" w:ascii="宋体" w:hAnsi="宋体"/>
                <w:sz w:val="28"/>
                <w:szCs w:val="28"/>
                <w:highlight w:val="none"/>
              </w:rPr>
              <w:t>1</w:t>
            </w:r>
          </w:p>
        </w:tc>
        <w:tc>
          <w:tcPr>
            <w:tcW w:w="1677" w:type="dxa"/>
            <w:tcBorders>
              <w:top w:val="single" w:color="000000" w:sz="4" w:space="0"/>
              <w:left w:val="nil"/>
              <w:bottom w:val="single" w:color="000000" w:sz="4" w:space="0"/>
              <w:right w:val="single" w:color="000000" w:sz="4" w:space="0"/>
            </w:tcBorders>
            <w:noWrap w:val="0"/>
            <w:vAlign w:val="center"/>
          </w:tcPr>
          <w:p>
            <w:pPr>
              <w:widowControl/>
              <w:shd w:val="clear" w:color="auto" w:fill="auto"/>
              <w:spacing w:line="360" w:lineRule="auto"/>
              <w:ind w:firstLine="0" w:firstLineChars="0"/>
              <w:jc w:val="left"/>
              <w:rPr>
                <w:rFonts w:hint="default" w:ascii="宋体" w:hAnsi="宋体" w:eastAsia="宋体"/>
                <w:sz w:val="28"/>
                <w:szCs w:val="28"/>
                <w:highlight w:val="none"/>
                <w:lang w:val="en-US" w:eastAsia="zh-CN"/>
              </w:rPr>
            </w:pPr>
            <w:r>
              <w:rPr>
                <w:rFonts w:hint="eastAsia" w:ascii="宋体" w:hAnsi="宋体" w:eastAsia="宋体"/>
                <w:sz w:val="28"/>
                <w:szCs w:val="28"/>
                <w:highlight w:val="none"/>
                <w:lang w:val="en-US" w:eastAsia="zh-CN"/>
              </w:rPr>
              <w:t>远程服务</w:t>
            </w:r>
          </w:p>
        </w:tc>
        <w:tc>
          <w:tcPr>
            <w:tcW w:w="5427" w:type="dxa"/>
            <w:tcBorders>
              <w:top w:val="single" w:color="000000" w:sz="4" w:space="0"/>
              <w:left w:val="nil"/>
              <w:bottom w:val="single" w:color="000000" w:sz="4" w:space="0"/>
              <w:right w:val="single" w:color="000000" w:sz="4" w:space="0"/>
            </w:tcBorders>
            <w:noWrap w:val="0"/>
            <w:vAlign w:val="center"/>
          </w:tcPr>
          <w:p>
            <w:pPr>
              <w:widowControl/>
              <w:shd w:val="clear" w:color="auto" w:fill="auto"/>
              <w:spacing w:line="360" w:lineRule="auto"/>
              <w:ind w:firstLine="0" w:firstLineChars="0"/>
              <w:jc w:val="left"/>
              <w:rPr>
                <w:rFonts w:hint="default" w:ascii="宋体" w:hAnsi="宋体" w:eastAsia="宋体"/>
                <w:sz w:val="28"/>
                <w:szCs w:val="28"/>
                <w:highlight w:val="none"/>
                <w:lang w:val="en-US" w:eastAsia="zh-CN"/>
              </w:rPr>
            </w:pPr>
            <w:r>
              <w:rPr>
                <w:rFonts w:hint="eastAsia" w:ascii="宋体" w:hAnsi="宋体"/>
                <w:sz w:val="28"/>
                <w:szCs w:val="28"/>
                <w:highlight w:val="none"/>
                <w:lang w:val="en-US" w:eastAsia="zh-CN"/>
              </w:rPr>
              <w:t>在资质审查前7天，提供资质审查当天的认证服务流程计划表</w:t>
            </w:r>
          </w:p>
        </w:tc>
      </w:tr>
      <w:tr>
        <w:tblPrEx>
          <w:tblCellMar>
            <w:top w:w="0" w:type="dxa"/>
            <w:left w:w="108" w:type="dxa"/>
            <w:bottom w:w="0" w:type="dxa"/>
            <w:right w:w="108" w:type="dxa"/>
          </w:tblCellMar>
        </w:tblPrEx>
        <w:trPr>
          <w:trHeight w:val="921" w:hRule="atLeast"/>
        </w:trPr>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color="auto" w:fill="auto"/>
              <w:spacing w:line="360" w:lineRule="auto"/>
              <w:ind w:firstLine="198" w:firstLineChars="71"/>
              <w:rPr>
                <w:rFonts w:hint="eastAsia" w:ascii="宋体" w:hAnsi="宋体" w:eastAsia="宋体"/>
                <w:sz w:val="28"/>
                <w:szCs w:val="28"/>
                <w:highlight w:val="none"/>
                <w:lang w:val="en-US" w:eastAsia="zh-CN"/>
              </w:rPr>
            </w:pPr>
            <w:r>
              <w:rPr>
                <w:rFonts w:hint="eastAsia" w:ascii="宋体" w:hAnsi="宋体"/>
                <w:sz w:val="28"/>
                <w:szCs w:val="28"/>
                <w:highlight w:val="none"/>
                <w:lang w:val="en-US" w:eastAsia="zh-CN"/>
              </w:rPr>
              <w:t>2</w:t>
            </w:r>
          </w:p>
        </w:tc>
        <w:tc>
          <w:tcPr>
            <w:tcW w:w="1677" w:type="dxa"/>
            <w:tcBorders>
              <w:top w:val="single" w:color="000000" w:sz="4" w:space="0"/>
              <w:left w:val="nil"/>
              <w:bottom w:val="single" w:color="000000" w:sz="4" w:space="0"/>
              <w:right w:val="single" w:color="000000" w:sz="4" w:space="0"/>
            </w:tcBorders>
            <w:noWrap w:val="0"/>
            <w:vAlign w:val="center"/>
          </w:tcPr>
          <w:p>
            <w:pPr>
              <w:widowControl/>
              <w:shd w:val="clear" w:color="auto" w:fill="auto"/>
              <w:spacing w:line="360" w:lineRule="auto"/>
              <w:ind w:firstLine="0" w:firstLineChars="0"/>
              <w:jc w:val="left"/>
              <w:rPr>
                <w:rFonts w:hint="eastAsia" w:ascii="宋体" w:hAnsi="宋体" w:eastAsia="宋体"/>
                <w:kern w:val="2"/>
                <w:sz w:val="28"/>
                <w:szCs w:val="28"/>
                <w:highlight w:val="none"/>
                <w:lang w:val="en-US" w:eastAsia="zh-CN" w:bidi="ar-SA"/>
              </w:rPr>
            </w:pPr>
            <w:r>
              <w:rPr>
                <w:rFonts w:hint="eastAsia" w:ascii="宋体" w:hAnsi="宋体"/>
                <w:sz w:val="28"/>
                <w:szCs w:val="28"/>
                <w:highlight w:val="none"/>
                <w:lang w:val="en-US" w:eastAsia="zh-CN"/>
              </w:rPr>
              <w:t>现场服务</w:t>
            </w:r>
          </w:p>
        </w:tc>
        <w:tc>
          <w:tcPr>
            <w:tcW w:w="5427" w:type="dxa"/>
            <w:tcBorders>
              <w:top w:val="single" w:color="000000" w:sz="4" w:space="0"/>
              <w:left w:val="nil"/>
              <w:bottom w:val="single" w:color="000000" w:sz="4" w:space="0"/>
              <w:right w:val="single" w:color="000000" w:sz="4" w:space="0"/>
            </w:tcBorders>
            <w:noWrap w:val="0"/>
            <w:vAlign w:val="center"/>
          </w:tcPr>
          <w:p>
            <w:pPr>
              <w:widowControl/>
              <w:shd w:val="clear" w:color="auto" w:fill="auto"/>
              <w:spacing w:line="360" w:lineRule="auto"/>
              <w:ind w:firstLine="0" w:firstLineChars="0"/>
              <w:jc w:val="left"/>
              <w:rPr>
                <w:rFonts w:hint="default" w:ascii="宋体" w:hAnsi="宋体" w:eastAsia="宋体"/>
                <w:kern w:val="2"/>
                <w:sz w:val="28"/>
                <w:szCs w:val="28"/>
                <w:highlight w:val="none"/>
                <w:lang w:val="en-US" w:eastAsia="zh-CN" w:bidi="ar-SA"/>
              </w:rPr>
            </w:pPr>
            <w:r>
              <w:rPr>
                <w:rFonts w:hint="eastAsia" w:ascii="宋体" w:hAnsi="宋体"/>
                <w:sz w:val="28"/>
                <w:szCs w:val="28"/>
                <w:highlight w:val="none"/>
                <w:lang w:val="en-US" w:eastAsia="zh-CN"/>
              </w:rPr>
              <w:t>在资质审查当天，配合完成公司资质认证工作</w:t>
            </w:r>
          </w:p>
        </w:tc>
      </w:tr>
    </w:tbl>
    <w:p>
      <w:pPr>
        <w:pStyle w:val="62"/>
        <w:shd w:val="clear" w:color="auto" w:fill="auto"/>
        <w:rPr>
          <w:sz w:val="28"/>
          <w:szCs w:val="28"/>
          <w:highlight w:val="none"/>
        </w:rPr>
      </w:pPr>
      <w:r>
        <w:rPr>
          <w:rFonts w:hint="eastAsia"/>
          <w:sz w:val="28"/>
          <w:szCs w:val="28"/>
          <w:highlight w:val="none"/>
        </w:rPr>
        <w:t>交付物要求</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sz w:val="28"/>
          <w:szCs w:val="28"/>
          <w:highlight w:val="none"/>
          <w:lang w:eastAsia="zh-CN"/>
        </w:rPr>
      </w:pPr>
      <w:r>
        <w:rPr>
          <w:rFonts w:hint="eastAsia" w:ascii="Calibri" w:hAnsi="Calibri" w:eastAsia="宋体" w:cs="Times New Roman"/>
          <w:kern w:val="2"/>
          <w:sz w:val="28"/>
          <w:szCs w:val="28"/>
          <w:highlight w:val="none"/>
          <w:lang w:val="en-US" w:eastAsia="zh-CN" w:bidi="ar-SA"/>
        </w:rPr>
        <w:t>服务方应在合同规定时间内，安排审查公司认证资料，并出具相应资质证书</w:t>
      </w:r>
      <w:r>
        <w:rPr>
          <w:rFonts w:hint="eastAsia" w:ascii="Calibri" w:hAnsi="Calibri" w:cs="Times New Roman"/>
          <w:kern w:val="2"/>
          <w:sz w:val="28"/>
          <w:szCs w:val="28"/>
          <w:highlight w:val="none"/>
          <w:lang w:val="en-US" w:eastAsia="zh-CN" w:bidi="ar-SA"/>
        </w:rPr>
        <w:t>。</w:t>
      </w:r>
    </w:p>
    <w:p>
      <w:pPr>
        <w:pStyle w:val="62"/>
        <w:shd w:val="clear" w:color="auto" w:fill="auto"/>
        <w:rPr>
          <w:sz w:val="28"/>
          <w:szCs w:val="28"/>
          <w:highlight w:val="none"/>
        </w:rPr>
      </w:pPr>
      <w:r>
        <w:rPr>
          <w:rFonts w:hint="eastAsia"/>
          <w:sz w:val="28"/>
          <w:szCs w:val="28"/>
          <w:highlight w:val="none"/>
        </w:rPr>
        <w:t>保密要求</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服务</w:t>
      </w:r>
      <w:r>
        <w:rPr>
          <w:rFonts w:hint="eastAsia" w:ascii="Calibri" w:hAnsi="Calibri" w:cs="Times New Roman"/>
          <w:kern w:val="2"/>
          <w:sz w:val="28"/>
          <w:szCs w:val="28"/>
          <w:highlight w:val="none"/>
          <w:lang w:val="en-US" w:eastAsia="zh-CN" w:bidi="ar-SA"/>
        </w:rPr>
        <w:t>方</w:t>
      </w:r>
      <w:r>
        <w:rPr>
          <w:rFonts w:hint="eastAsia" w:ascii="Calibri" w:hAnsi="Calibri" w:eastAsia="宋体" w:cs="Times New Roman"/>
          <w:kern w:val="2"/>
          <w:sz w:val="28"/>
          <w:szCs w:val="28"/>
          <w:highlight w:val="none"/>
          <w:lang w:val="en-US" w:eastAsia="zh-CN" w:bidi="ar-SA"/>
        </w:rPr>
        <w:t>皆需与</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签署保密条款，未经许可不得泄露相关的任何信息。</w:t>
      </w:r>
    </w:p>
    <w:p>
      <w:pPr>
        <w:pStyle w:val="6"/>
        <w:shd w:val="clear" w:color="auto" w:fill="auto"/>
        <w:ind w:left="960"/>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定义</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“保密信息”是指</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向</w:t>
      </w:r>
      <w:r>
        <w:rPr>
          <w:rFonts w:hint="eastAsia" w:ascii="Calibri" w:hAnsi="Calibri" w:cs="Times New Roman"/>
          <w:kern w:val="2"/>
          <w:sz w:val="28"/>
          <w:szCs w:val="28"/>
          <w:highlight w:val="none"/>
          <w:lang w:val="en-US" w:eastAsia="zh-CN" w:bidi="ar-SA"/>
        </w:rPr>
        <w:t>服务</w:t>
      </w:r>
      <w:r>
        <w:rPr>
          <w:rFonts w:hint="eastAsia" w:ascii="Calibri" w:hAnsi="Calibri" w:eastAsia="宋体" w:cs="Times New Roman"/>
          <w:kern w:val="2"/>
          <w:sz w:val="28"/>
          <w:szCs w:val="28"/>
          <w:highlight w:val="none"/>
          <w:lang w:val="en-US" w:eastAsia="zh-CN" w:bidi="ar-SA"/>
        </w:rPr>
        <w:t>方提供或披露的或者</w:t>
      </w:r>
      <w:r>
        <w:rPr>
          <w:rFonts w:hint="eastAsia" w:ascii="Calibri" w:hAnsi="Calibri" w:cs="Times New Roman"/>
          <w:kern w:val="2"/>
          <w:sz w:val="28"/>
          <w:szCs w:val="28"/>
          <w:highlight w:val="none"/>
          <w:lang w:val="en-US" w:eastAsia="zh-CN" w:bidi="ar-SA"/>
        </w:rPr>
        <w:t>服务</w:t>
      </w:r>
      <w:r>
        <w:rPr>
          <w:rFonts w:hint="eastAsia" w:ascii="Calibri" w:hAnsi="Calibri" w:eastAsia="宋体" w:cs="Times New Roman"/>
          <w:kern w:val="2"/>
          <w:sz w:val="28"/>
          <w:szCs w:val="28"/>
          <w:highlight w:val="none"/>
          <w:lang w:val="en-US" w:eastAsia="zh-CN" w:bidi="ar-SA"/>
        </w:rPr>
        <w:t>方在向</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及其关联公司提供服务过程中接收、获得或了解的关于</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及其关联公司的所有商业信息和技术信息，包括但不限于：销售数据、渠道信息、财务数据和其它与产品及提供服务有关的信息（例如：产品计划、进度表、定价、条件和条款）。</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“关联公司”是指</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任何直接或间接地控制对方或受对方所控制的，或与对方处于同一他方共同控制之下的公司或其他实体。“控制”是指无论是通过对其有表决权股份的拥有或通过合同或其他方式，拥有百分之五十（50%）或更多表决权股份或掌握受控制实体的管理和决策权。</w:t>
      </w:r>
    </w:p>
    <w:p>
      <w:pPr>
        <w:pStyle w:val="6"/>
        <w:shd w:val="clear" w:color="auto" w:fill="auto"/>
        <w:ind w:left="960"/>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ab/>
      </w:r>
      <w:r>
        <w:rPr>
          <w:rFonts w:hint="eastAsia" w:ascii="Times New Roman" w:hAnsi="Times New Roman" w:eastAsia="宋体" w:cs="Times New Roman"/>
          <w:b/>
          <w:bCs/>
          <w:sz w:val="28"/>
          <w:szCs w:val="28"/>
          <w:highlight w:val="none"/>
          <w:lang w:val="en-US" w:eastAsia="zh-CN"/>
        </w:rPr>
        <w:t>在双方合作期间，服务方获取的不论是否标有“保密”字样有形文件和可通过机器阅读的文件（包括但不限于电子邮件）以及所有该等文件的复印本，均被视为保密信息并属于保密的范围。</w:t>
      </w:r>
    </w:p>
    <w:p>
      <w:pPr>
        <w:pStyle w:val="6"/>
        <w:shd w:val="clear" w:color="auto" w:fill="auto"/>
        <w:ind w:left="960"/>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ab/>
      </w:r>
      <w:r>
        <w:rPr>
          <w:rFonts w:hint="eastAsia" w:ascii="Times New Roman" w:hAnsi="Times New Roman" w:eastAsia="宋体" w:cs="Times New Roman"/>
          <w:b/>
          <w:bCs/>
          <w:sz w:val="28"/>
          <w:szCs w:val="28"/>
          <w:highlight w:val="none"/>
          <w:lang w:val="en-US" w:eastAsia="zh-CN"/>
        </w:rPr>
        <w:t>就上述第二条所述之所有保密信息，服务方在收到信息后应：</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（1）经允许，在必须要知晓的基础上，仅向</w:t>
      </w:r>
      <w:r>
        <w:rPr>
          <w:rFonts w:hint="eastAsia" w:ascii="Calibri" w:hAnsi="Calibri" w:cs="Times New Roman"/>
          <w:kern w:val="2"/>
          <w:sz w:val="28"/>
          <w:szCs w:val="28"/>
          <w:highlight w:val="none"/>
          <w:lang w:val="en-US" w:eastAsia="zh-CN" w:bidi="ar-SA"/>
        </w:rPr>
        <w:t>服务方</w:t>
      </w:r>
      <w:r>
        <w:rPr>
          <w:rFonts w:hint="eastAsia" w:ascii="Calibri" w:hAnsi="Calibri" w:eastAsia="宋体" w:cs="Times New Roman"/>
          <w:kern w:val="2"/>
          <w:sz w:val="28"/>
          <w:szCs w:val="28"/>
          <w:highlight w:val="none"/>
          <w:lang w:val="en-US" w:eastAsia="zh-CN" w:bidi="ar-SA"/>
        </w:rPr>
        <w:t>指定的人员披露；</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（2）视为保密信息并且严格保密以防公开，应采取严格的管理和保护以防止未经授权的人员可取得；</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（3）仅为了</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的利益或为双方讨论的目的，或经双方讨论需要而使用该些信息；且要求每一位经授权将要获得保密信息的人员签署保密承诺书并同意遵守其中的规定。</w:t>
      </w:r>
    </w:p>
    <w:p>
      <w:pPr>
        <w:pStyle w:val="6"/>
        <w:shd w:val="clear" w:color="auto" w:fill="auto"/>
        <w:ind w:left="960"/>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ab/>
      </w:r>
      <w:r>
        <w:rPr>
          <w:rFonts w:hint="eastAsia" w:ascii="Times New Roman" w:hAnsi="Times New Roman" w:eastAsia="宋体" w:cs="Times New Roman"/>
          <w:b/>
          <w:bCs/>
          <w:sz w:val="28"/>
          <w:szCs w:val="28"/>
          <w:highlight w:val="none"/>
          <w:lang w:val="en-US" w:eastAsia="zh-CN"/>
        </w:rPr>
        <w:t>除非政府指令或司法程序所需，服务方不能作任何记录或向任何第三方提供任何资料。</w:t>
      </w:r>
    </w:p>
    <w:p>
      <w:pPr>
        <w:pStyle w:val="6"/>
        <w:shd w:val="clear" w:color="auto" w:fill="auto"/>
        <w:ind w:left="960"/>
        <w:rPr>
          <w:rFonts w:hint="eastAsia" w:ascii="Times New Roman" w:hAnsi="Times New Roman" w:eastAsia="宋体" w:cs="Times New Roman"/>
          <w:b/>
          <w:bCs/>
          <w:sz w:val="28"/>
          <w:szCs w:val="28"/>
          <w:highlight w:val="none"/>
          <w:lang w:val="en-US" w:eastAsia="zh-CN"/>
        </w:rPr>
      </w:pPr>
      <w:bookmarkStart w:id="13" w:name="OLE_LINK1"/>
      <w:r>
        <w:rPr>
          <w:rFonts w:hint="eastAsia" w:ascii="Times New Roman" w:hAnsi="Times New Roman" w:eastAsia="宋体" w:cs="Times New Roman"/>
          <w:b/>
          <w:bCs/>
          <w:sz w:val="28"/>
          <w:szCs w:val="28"/>
          <w:highlight w:val="none"/>
          <w:lang w:val="en-US" w:eastAsia="zh-CN"/>
        </w:rPr>
        <w:tab/>
      </w:r>
      <w:bookmarkEnd w:id="13"/>
      <w:r>
        <w:rPr>
          <w:rFonts w:hint="eastAsia" w:ascii="Times New Roman" w:hAnsi="Times New Roman" w:eastAsia="宋体" w:cs="Times New Roman"/>
          <w:b/>
          <w:bCs/>
          <w:sz w:val="28"/>
          <w:szCs w:val="28"/>
          <w:highlight w:val="none"/>
          <w:lang w:val="en-US" w:eastAsia="zh-CN"/>
        </w:rPr>
        <w:t>在因服务方或其雇员或其代理人过错或违反保密义务的情况下，服务方应当按公司的实际损失赔偿公司，并且使公司免于受到任何和所有损失、费用、责任、诉讼或其它因此承受的不利影响的侵害。</w:t>
      </w:r>
    </w:p>
    <w:p>
      <w:pPr>
        <w:pStyle w:val="62"/>
        <w:shd w:val="clear" w:color="auto" w:fill="auto"/>
        <w:rPr>
          <w:rFonts w:hint="eastAsia"/>
          <w:sz w:val="28"/>
          <w:szCs w:val="28"/>
          <w:highlight w:val="none"/>
        </w:rPr>
      </w:pPr>
      <w:r>
        <w:rPr>
          <w:rFonts w:hint="eastAsia"/>
          <w:sz w:val="28"/>
          <w:szCs w:val="28"/>
          <w:highlight w:val="none"/>
        </w:rPr>
        <w:t>知识产权要求</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服务方应保证其提供的产品、工具、模型、方法论、源代码、文档、知识资产及服务没有任何权利瑕疵，没有侵犯任何第三方权利。公司在使用该产品或服务的任何一部分时，免受第三方提出的任何侵犯其知识产权的权利主张。如果任何人对公司使用该产品及服务主张权利，由服务方负责处理一切纠纷及相关事宜，由此给公司造成的损失，由服务方承担。</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在双方合作期间，</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利用</w:t>
      </w:r>
      <w:r>
        <w:rPr>
          <w:rFonts w:hint="eastAsia" w:ascii="Calibri" w:hAnsi="Calibri" w:cs="Times New Roman"/>
          <w:kern w:val="2"/>
          <w:sz w:val="28"/>
          <w:szCs w:val="28"/>
          <w:highlight w:val="none"/>
          <w:lang w:val="en-US" w:eastAsia="zh-CN" w:bidi="ar-SA"/>
        </w:rPr>
        <w:t>服务</w:t>
      </w:r>
      <w:r>
        <w:rPr>
          <w:rFonts w:hint="eastAsia" w:ascii="Calibri" w:hAnsi="Calibri" w:eastAsia="宋体" w:cs="Times New Roman"/>
          <w:kern w:val="2"/>
          <w:sz w:val="28"/>
          <w:szCs w:val="28"/>
          <w:highlight w:val="none"/>
          <w:lang w:val="en-US" w:eastAsia="zh-CN" w:bidi="ar-SA"/>
        </w:rPr>
        <w:t>方提交的技术服务工作成果所完成的新的技术成果，其知识产权、软著、专利归</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所有。</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在双方合作期间，</w:t>
      </w:r>
      <w:r>
        <w:rPr>
          <w:rFonts w:hint="eastAsia" w:ascii="Calibri" w:hAnsi="Calibri" w:cs="Times New Roman"/>
          <w:kern w:val="2"/>
          <w:sz w:val="28"/>
          <w:szCs w:val="28"/>
          <w:highlight w:val="none"/>
          <w:lang w:val="en-US" w:eastAsia="zh-CN" w:bidi="ar-SA"/>
        </w:rPr>
        <w:t>服务方</w:t>
      </w:r>
      <w:r>
        <w:rPr>
          <w:rFonts w:hint="eastAsia" w:ascii="Calibri" w:hAnsi="Calibri" w:eastAsia="宋体" w:cs="Times New Roman"/>
          <w:kern w:val="2"/>
          <w:sz w:val="28"/>
          <w:szCs w:val="28"/>
          <w:highlight w:val="none"/>
          <w:lang w:val="en-US" w:eastAsia="zh-CN" w:bidi="ar-SA"/>
        </w:rPr>
        <w:t>利用</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提供的技术资料和工作条件所完成的新的技术成果，其知识产权、软著、专利归</w:t>
      </w:r>
      <w:r>
        <w:rPr>
          <w:rFonts w:hint="eastAsia" w:ascii="Calibri" w:hAnsi="Calibri" w:cs="Times New Roman"/>
          <w:kern w:val="2"/>
          <w:sz w:val="28"/>
          <w:szCs w:val="28"/>
          <w:highlight w:val="none"/>
          <w:lang w:val="en-US" w:eastAsia="zh-CN" w:bidi="ar-SA"/>
        </w:rPr>
        <w:t>公司</w:t>
      </w:r>
      <w:r>
        <w:rPr>
          <w:rFonts w:hint="eastAsia" w:ascii="Calibri" w:hAnsi="Calibri" w:eastAsia="宋体" w:cs="Times New Roman"/>
          <w:kern w:val="2"/>
          <w:sz w:val="28"/>
          <w:szCs w:val="28"/>
          <w:highlight w:val="none"/>
          <w:lang w:val="en-US" w:eastAsia="zh-CN" w:bidi="ar-SA"/>
        </w:rPr>
        <w:t>所有。</w:t>
      </w:r>
    </w:p>
    <w:p>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kern w:val="2"/>
          <w:sz w:val="28"/>
          <w:szCs w:val="28"/>
          <w:highlight w:val="none"/>
          <w:lang w:val="en-US" w:eastAsia="zh-CN" w:bidi="ar-SA"/>
        </w:rPr>
      </w:pPr>
      <w:r>
        <w:rPr>
          <w:rFonts w:hint="eastAsia" w:ascii="Calibri" w:hAnsi="Calibri" w:eastAsia="宋体" w:cs="Times New Roman"/>
          <w:kern w:val="2"/>
          <w:sz w:val="28"/>
          <w:szCs w:val="28"/>
          <w:highlight w:val="none"/>
          <w:lang w:val="en-US" w:eastAsia="zh-CN" w:bidi="ar-SA"/>
        </w:rPr>
        <w:t>未经公司书面许可，服务方及其任何人员均不得行使本项目工作成果的任何知识产权。</w:t>
      </w:r>
    </w:p>
    <w:sectPr>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ind w:firstLine="360"/>
      <w:rPr>
        <w:rStyle w:val="32"/>
      </w:rPr>
    </w:pPr>
    <w:r>
      <w:fldChar w:fldCharType="begin"/>
    </w:r>
    <w:r>
      <w:rPr>
        <w:rStyle w:val="32"/>
      </w:rPr>
      <w:instrText xml:space="preserve">PAGE  </w:instrText>
    </w:r>
    <w:r>
      <w:fldChar w:fldCharType="end"/>
    </w:r>
  </w:p>
  <w:p>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0" w:leftChars="0"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146" w:rightChars="0" w:firstLine="0" w:firstLineChars="0"/>
      <w:jc w:val="center"/>
      <w:rPr>
        <w:rFonts w:hint="default" w:eastAsia="宋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7CB372"/>
    <w:multiLevelType w:val="multilevel"/>
    <w:tmpl w:val="9F7CB372"/>
    <w:lvl w:ilvl="0" w:tentative="0">
      <w:start w:val="1"/>
      <w:numFmt w:val="decimal"/>
      <w:pStyle w:val="4"/>
      <w:lvlText w:val="%1"/>
      <w:lvlJc w:val="left"/>
      <w:pPr>
        <w:tabs>
          <w:tab w:val="left" w:pos="432"/>
        </w:tabs>
        <w:ind w:left="432" w:hanging="432"/>
      </w:pPr>
      <w:rPr>
        <w:rFonts w:hint="eastAsia"/>
      </w:rPr>
    </w:lvl>
    <w:lvl w:ilvl="1" w:tentative="0">
      <w:start w:val="1"/>
      <w:numFmt w:val="decimal"/>
      <w:pStyle w:val="62"/>
      <w:lvlText w:val="%1.%2"/>
      <w:lvlJc w:val="left"/>
      <w:pPr>
        <w:tabs>
          <w:tab w:val="left" w:pos="576"/>
        </w:tabs>
        <w:ind w:left="576" w:hanging="576"/>
      </w:pPr>
      <w:rPr>
        <w:rFonts w:hint="default"/>
        <w:lang w:val="sv-SE"/>
      </w:rPr>
    </w:lvl>
    <w:lvl w:ilvl="2" w:tentative="0">
      <w:start w:val="1"/>
      <w:numFmt w:val="decimal"/>
      <w:pStyle w:val="6"/>
      <w:lvlText w:val="%1.%2.%3"/>
      <w:lvlJc w:val="left"/>
      <w:pPr>
        <w:tabs>
          <w:tab w:val="left" w:pos="720"/>
        </w:tabs>
        <w:ind w:left="960" w:hanging="720"/>
      </w:pPr>
      <w:rPr>
        <w:rFonts w:hint="default" w:ascii="宋体" w:hAnsi="宋体" w:eastAsia="宋体" w:cs="宋体"/>
        <w:lang w:val="en-US"/>
      </w:rPr>
    </w:lvl>
    <w:lvl w:ilvl="3" w:tentative="0">
      <w:start w:val="1"/>
      <w:numFmt w:val="decimal"/>
      <w:pStyle w:val="7"/>
      <w:lvlText w:val="%1.%2.%3.%4"/>
      <w:lvlJc w:val="left"/>
      <w:pPr>
        <w:tabs>
          <w:tab w:val="left" w:pos="864"/>
        </w:tabs>
        <w:ind w:left="864" w:hanging="864"/>
      </w:pPr>
      <w:rPr>
        <w:rFonts w:hint="eastAsia"/>
      </w:rPr>
    </w:lvl>
    <w:lvl w:ilvl="4" w:tentative="0">
      <w:start w:val="1"/>
      <w:numFmt w:val="decimal"/>
      <w:pStyle w:val="8"/>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9"/>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4"/>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wNmU2NmFjYWVmMDcwNzM0OGQ5ODQwODk5NjJhMjMifQ=="/>
    <w:docVar w:name="KSO_WPS_MARK_KEY" w:val="1df79558-47e7-47fd-a30a-f41b6a4069fb"/>
  </w:docVars>
  <w:rsids>
    <w:rsidRoot w:val="001D17B9"/>
    <w:rsid w:val="00005533"/>
    <w:rsid w:val="00007F53"/>
    <w:rsid w:val="000108AC"/>
    <w:rsid w:val="00011C7A"/>
    <w:rsid w:val="00016F03"/>
    <w:rsid w:val="00020E53"/>
    <w:rsid w:val="00022C27"/>
    <w:rsid w:val="00022CB8"/>
    <w:rsid w:val="000264A4"/>
    <w:rsid w:val="00026794"/>
    <w:rsid w:val="00027EC8"/>
    <w:rsid w:val="00027EE9"/>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59DC"/>
    <w:rsid w:val="00091759"/>
    <w:rsid w:val="0009247B"/>
    <w:rsid w:val="000924E4"/>
    <w:rsid w:val="0009366C"/>
    <w:rsid w:val="00093F10"/>
    <w:rsid w:val="000960CD"/>
    <w:rsid w:val="00096B77"/>
    <w:rsid w:val="000A3676"/>
    <w:rsid w:val="000A7A2E"/>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C7B"/>
    <w:rsid w:val="001052AE"/>
    <w:rsid w:val="001076B1"/>
    <w:rsid w:val="00111CBB"/>
    <w:rsid w:val="00114927"/>
    <w:rsid w:val="001156B4"/>
    <w:rsid w:val="00120124"/>
    <w:rsid w:val="00122DBE"/>
    <w:rsid w:val="0012352A"/>
    <w:rsid w:val="00124874"/>
    <w:rsid w:val="00125DD7"/>
    <w:rsid w:val="001274FB"/>
    <w:rsid w:val="00131360"/>
    <w:rsid w:val="00131CA0"/>
    <w:rsid w:val="00132B5A"/>
    <w:rsid w:val="001370D4"/>
    <w:rsid w:val="00137E5E"/>
    <w:rsid w:val="00140479"/>
    <w:rsid w:val="00141BF2"/>
    <w:rsid w:val="00150BD6"/>
    <w:rsid w:val="001512EE"/>
    <w:rsid w:val="00151F43"/>
    <w:rsid w:val="0015226E"/>
    <w:rsid w:val="001528CA"/>
    <w:rsid w:val="00154AD1"/>
    <w:rsid w:val="00155505"/>
    <w:rsid w:val="00155FBF"/>
    <w:rsid w:val="00157DED"/>
    <w:rsid w:val="00160891"/>
    <w:rsid w:val="00161EB9"/>
    <w:rsid w:val="001626FF"/>
    <w:rsid w:val="00167458"/>
    <w:rsid w:val="00167A46"/>
    <w:rsid w:val="00175110"/>
    <w:rsid w:val="00176176"/>
    <w:rsid w:val="00177FD7"/>
    <w:rsid w:val="001808B8"/>
    <w:rsid w:val="00181201"/>
    <w:rsid w:val="00183CE1"/>
    <w:rsid w:val="00183E96"/>
    <w:rsid w:val="00184DB1"/>
    <w:rsid w:val="00185DC2"/>
    <w:rsid w:val="00186A4F"/>
    <w:rsid w:val="00190BEF"/>
    <w:rsid w:val="001923FD"/>
    <w:rsid w:val="0019401C"/>
    <w:rsid w:val="00195A9B"/>
    <w:rsid w:val="001975A1"/>
    <w:rsid w:val="001A10CF"/>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6D7E"/>
    <w:rsid w:val="001E3ABC"/>
    <w:rsid w:val="001E53F0"/>
    <w:rsid w:val="001E573C"/>
    <w:rsid w:val="001E7587"/>
    <w:rsid w:val="001E7BB4"/>
    <w:rsid w:val="002004D9"/>
    <w:rsid w:val="00214BCA"/>
    <w:rsid w:val="00215110"/>
    <w:rsid w:val="002168F7"/>
    <w:rsid w:val="002175C5"/>
    <w:rsid w:val="002175D1"/>
    <w:rsid w:val="002218F9"/>
    <w:rsid w:val="00227314"/>
    <w:rsid w:val="002313F0"/>
    <w:rsid w:val="00232612"/>
    <w:rsid w:val="00232A6F"/>
    <w:rsid w:val="00234120"/>
    <w:rsid w:val="00243482"/>
    <w:rsid w:val="00244685"/>
    <w:rsid w:val="00246235"/>
    <w:rsid w:val="0025237D"/>
    <w:rsid w:val="00254802"/>
    <w:rsid w:val="002552A6"/>
    <w:rsid w:val="00260400"/>
    <w:rsid w:val="00261BEC"/>
    <w:rsid w:val="00263E21"/>
    <w:rsid w:val="002657E7"/>
    <w:rsid w:val="00266121"/>
    <w:rsid w:val="0026681E"/>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299D"/>
    <w:rsid w:val="00301734"/>
    <w:rsid w:val="003019BD"/>
    <w:rsid w:val="00302BD5"/>
    <w:rsid w:val="00302C3E"/>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D87"/>
    <w:rsid w:val="00353544"/>
    <w:rsid w:val="00354903"/>
    <w:rsid w:val="00355A90"/>
    <w:rsid w:val="003612CD"/>
    <w:rsid w:val="0037007E"/>
    <w:rsid w:val="003747B1"/>
    <w:rsid w:val="003758AB"/>
    <w:rsid w:val="003766F3"/>
    <w:rsid w:val="003805C0"/>
    <w:rsid w:val="003809C8"/>
    <w:rsid w:val="0038481D"/>
    <w:rsid w:val="00385EBF"/>
    <w:rsid w:val="0038641B"/>
    <w:rsid w:val="00387CB6"/>
    <w:rsid w:val="003960FC"/>
    <w:rsid w:val="00396D68"/>
    <w:rsid w:val="003978F7"/>
    <w:rsid w:val="003A1F19"/>
    <w:rsid w:val="003A4893"/>
    <w:rsid w:val="003B07B3"/>
    <w:rsid w:val="003B1D3D"/>
    <w:rsid w:val="003B3754"/>
    <w:rsid w:val="003B3AEE"/>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7574"/>
    <w:rsid w:val="004748D5"/>
    <w:rsid w:val="00474CB8"/>
    <w:rsid w:val="00481D03"/>
    <w:rsid w:val="00485537"/>
    <w:rsid w:val="00486033"/>
    <w:rsid w:val="00486F27"/>
    <w:rsid w:val="004925E7"/>
    <w:rsid w:val="00495D9F"/>
    <w:rsid w:val="00495E0B"/>
    <w:rsid w:val="00497F3F"/>
    <w:rsid w:val="004A5749"/>
    <w:rsid w:val="004B0579"/>
    <w:rsid w:val="004B2FFC"/>
    <w:rsid w:val="004B3590"/>
    <w:rsid w:val="004B5DF0"/>
    <w:rsid w:val="004B7EB7"/>
    <w:rsid w:val="004C0936"/>
    <w:rsid w:val="004C2B7B"/>
    <w:rsid w:val="004C3ED6"/>
    <w:rsid w:val="004C50CC"/>
    <w:rsid w:val="004D33F0"/>
    <w:rsid w:val="004D4B0F"/>
    <w:rsid w:val="004D4F7B"/>
    <w:rsid w:val="004D53D9"/>
    <w:rsid w:val="004D7DEE"/>
    <w:rsid w:val="004E3290"/>
    <w:rsid w:val="004E3476"/>
    <w:rsid w:val="004E798D"/>
    <w:rsid w:val="004F1226"/>
    <w:rsid w:val="004F52AD"/>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22B8"/>
    <w:rsid w:val="00533F61"/>
    <w:rsid w:val="00537F70"/>
    <w:rsid w:val="00541057"/>
    <w:rsid w:val="00541833"/>
    <w:rsid w:val="00542804"/>
    <w:rsid w:val="00543088"/>
    <w:rsid w:val="00543901"/>
    <w:rsid w:val="00544B6C"/>
    <w:rsid w:val="00545A9C"/>
    <w:rsid w:val="00547418"/>
    <w:rsid w:val="00551F10"/>
    <w:rsid w:val="0055350E"/>
    <w:rsid w:val="00554901"/>
    <w:rsid w:val="005557B8"/>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3AE9"/>
    <w:rsid w:val="005A6781"/>
    <w:rsid w:val="005B02BE"/>
    <w:rsid w:val="005B43F2"/>
    <w:rsid w:val="005B4715"/>
    <w:rsid w:val="005B6171"/>
    <w:rsid w:val="005B68AB"/>
    <w:rsid w:val="005C1BBD"/>
    <w:rsid w:val="005C4428"/>
    <w:rsid w:val="005C4D26"/>
    <w:rsid w:val="005C52E8"/>
    <w:rsid w:val="005C533B"/>
    <w:rsid w:val="005C7F1B"/>
    <w:rsid w:val="005D00B9"/>
    <w:rsid w:val="005D47E9"/>
    <w:rsid w:val="005D5C18"/>
    <w:rsid w:val="005E0F3A"/>
    <w:rsid w:val="005E1ECA"/>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776F"/>
    <w:rsid w:val="00643562"/>
    <w:rsid w:val="0064454A"/>
    <w:rsid w:val="00646B79"/>
    <w:rsid w:val="00647183"/>
    <w:rsid w:val="006512D4"/>
    <w:rsid w:val="00654E9A"/>
    <w:rsid w:val="00657C5C"/>
    <w:rsid w:val="0066612A"/>
    <w:rsid w:val="0067436B"/>
    <w:rsid w:val="00675B6B"/>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7CB1"/>
    <w:rsid w:val="006B5AA2"/>
    <w:rsid w:val="006B5E78"/>
    <w:rsid w:val="006B6398"/>
    <w:rsid w:val="006B7051"/>
    <w:rsid w:val="006B7CC2"/>
    <w:rsid w:val="006C0817"/>
    <w:rsid w:val="006D04FC"/>
    <w:rsid w:val="006D46F6"/>
    <w:rsid w:val="006D5278"/>
    <w:rsid w:val="006D6098"/>
    <w:rsid w:val="006E6FAE"/>
    <w:rsid w:val="006F0C5B"/>
    <w:rsid w:val="006F1276"/>
    <w:rsid w:val="006F49F3"/>
    <w:rsid w:val="006F53E3"/>
    <w:rsid w:val="006F6D9E"/>
    <w:rsid w:val="006F7231"/>
    <w:rsid w:val="00700EC1"/>
    <w:rsid w:val="007014D4"/>
    <w:rsid w:val="0070162A"/>
    <w:rsid w:val="007043AF"/>
    <w:rsid w:val="007063A7"/>
    <w:rsid w:val="0071524E"/>
    <w:rsid w:val="0071546C"/>
    <w:rsid w:val="00723F63"/>
    <w:rsid w:val="0072464C"/>
    <w:rsid w:val="0073240A"/>
    <w:rsid w:val="00735E63"/>
    <w:rsid w:val="0074607E"/>
    <w:rsid w:val="007509B9"/>
    <w:rsid w:val="00752399"/>
    <w:rsid w:val="007563CF"/>
    <w:rsid w:val="007610AE"/>
    <w:rsid w:val="00762ED9"/>
    <w:rsid w:val="00767D47"/>
    <w:rsid w:val="0077091C"/>
    <w:rsid w:val="007732A2"/>
    <w:rsid w:val="00773539"/>
    <w:rsid w:val="007744D4"/>
    <w:rsid w:val="00775BFA"/>
    <w:rsid w:val="007836F1"/>
    <w:rsid w:val="007851D4"/>
    <w:rsid w:val="00785C22"/>
    <w:rsid w:val="00790136"/>
    <w:rsid w:val="0079056F"/>
    <w:rsid w:val="007972AF"/>
    <w:rsid w:val="007A27F7"/>
    <w:rsid w:val="007A37E5"/>
    <w:rsid w:val="007B1901"/>
    <w:rsid w:val="007B2674"/>
    <w:rsid w:val="007B50CA"/>
    <w:rsid w:val="007B6EE9"/>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46E8"/>
    <w:rsid w:val="00847E52"/>
    <w:rsid w:val="0085140B"/>
    <w:rsid w:val="00853C60"/>
    <w:rsid w:val="008712A2"/>
    <w:rsid w:val="008712F0"/>
    <w:rsid w:val="00871AF2"/>
    <w:rsid w:val="00876DC7"/>
    <w:rsid w:val="00877D49"/>
    <w:rsid w:val="0088022F"/>
    <w:rsid w:val="00881792"/>
    <w:rsid w:val="008832AC"/>
    <w:rsid w:val="00894B8A"/>
    <w:rsid w:val="00895361"/>
    <w:rsid w:val="00896FBA"/>
    <w:rsid w:val="008972CF"/>
    <w:rsid w:val="00897C40"/>
    <w:rsid w:val="008A004D"/>
    <w:rsid w:val="008A276A"/>
    <w:rsid w:val="008A45CC"/>
    <w:rsid w:val="008A72E1"/>
    <w:rsid w:val="008B15DB"/>
    <w:rsid w:val="008B3AA2"/>
    <w:rsid w:val="008B40FB"/>
    <w:rsid w:val="008B7CF1"/>
    <w:rsid w:val="008C0750"/>
    <w:rsid w:val="008C284C"/>
    <w:rsid w:val="008C2D5C"/>
    <w:rsid w:val="008C3727"/>
    <w:rsid w:val="008E2635"/>
    <w:rsid w:val="008E2D2E"/>
    <w:rsid w:val="008E4C9C"/>
    <w:rsid w:val="008F0924"/>
    <w:rsid w:val="008F385A"/>
    <w:rsid w:val="008F41C8"/>
    <w:rsid w:val="008F60B3"/>
    <w:rsid w:val="0090259E"/>
    <w:rsid w:val="009058D2"/>
    <w:rsid w:val="00906671"/>
    <w:rsid w:val="00907A45"/>
    <w:rsid w:val="009103B6"/>
    <w:rsid w:val="00911BA1"/>
    <w:rsid w:val="00913569"/>
    <w:rsid w:val="0091572F"/>
    <w:rsid w:val="0091608C"/>
    <w:rsid w:val="009176C4"/>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4264"/>
    <w:rsid w:val="00977EFA"/>
    <w:rsid w:val="00981613"/>
    <w:rsid w:val="00981AB9"/>
    <w:rsid w:val="00983C5E"/>
    <w:rsid w:val="00983D0E"/>
    <w:rsid w:val="0099123C"/>
    <w:rsid w:val="0099202A"/>
    <w:rsid w:val="009A0574"/>
    <w:rsid w:val="009A16FF"/>
    <w:rsid w:val="009A3154"/>
    <w:rsid w:val="009A3567"/>
    <w:rsid w:val="009A3571"/>
    <w:rsid w:val="009A7388"/>
    <w:rsid w:val="009A7619"/>
    <w:rsid w:val="009B03D2"/>
    <w:rsid w:val="009C0337"/>
    <w:rsid w:val="009C1574"/>
    <w:rsid w:val="009C340A"/>
    <w:rsid w:val="009C3731"/>
    <w:rsid w:val="009C3C0D"/>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74AF"/>
    <w:rsid w:val="009F7765"/>
    <w:rsid w:val="009F7D04"/>
    <w:rsid w:val="009F7E48"/>
    <w:rsid w:val="00A03D4C"/>
    <w:rsid w:val="00A11116"/>
    <w:rsid w:val="00A12480"/>
    <w:rsid w:val="00A1499C"/>
    <w:rsid w:val="00A15768"/>
    <w:rsid w:val="00A158F1"/>
    <w:rsid w:val="00A207A4"/>
    <w:rsid w:val="00A243EF"/>
    <w:rsid w:val="00A248A9"/>
    <w:rsid w:val="00A30571"/>
    <w:rsid w:val="00A35560"/>
    <w:rsid w:val="00A40F7C"/>
    <w:rsid w:val="00A4239B"/>
    <w:rsid w:val="00A43656"/>
    <w:rsid w:val="00A506E4"/>
    <w:rsid w:val="00A55174"/>
    <w:rsid w:val="00A55807"/>
    <w:rsid w:val="00A5581B"/>
    <w:rsid w:val="00A55A6B"/>
    <w:rsid w:val="00A55C89"/>
    <w:rsid w:val="00A610C2"/>
    <w:rsid w:val="00A62CDE"/>
    <w:rsid w:val="00A63EA4"/>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497C"/>
    <w:rsid w:val="00B440C4"/>
    <w:rsid w:val="00B544EB"/>
    <w:rsid w:val="00B5558A"/>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D2C"/>
    <w:rsid w:val="00BC0FE0"/>
    <w:rsid w:val="00BC32FA"/>
    <w:rsid w:val="00BC5E67"/>
    <w:rsid w:val="00BD088C"/>
    <w:rsid w:val="00BD1236"/>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E014B"/>
    <w:rsid w:val="00CE111D"/>
    <w:rsid w:val="00CF12BE"/>
    <w:rsid w:val="00CF5EBB"/>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6D01"/>
    <w:rsid w:val="00D70C58"/>
    <w:rsid w:val="00D710F6"/>
    <w:rsid w:val="00D72AC4"/>
    <w:rsid w:val="00D75AB2"/>
    <w:rsid w:val="00D7639B"/>
    <w:rsid w:val="00D765C6"/>
    <w:rsid w:val="00D771AD"/>
    <w:rsid w:val="00D82237"/>
    <w:rsid w:val="00D84435"/>
    <w:rsid w:val="00D87BED"/>
    <w:rsid w:val="00D9182A"/>
    <w:rsid w:val="00D9238F"/>
    <w:rsid w:val="00D9458A"/>
    <w:rsid w:val="00D959E2"/>
    <w:rsid w:val="00D964FD"/>
    <w:rsid w:val="00D96AC2"/>
    <w:rsid w:val="00DA0CD3"/>
    <w:rsid w:val="00DA5C24"/>
    <w:rsid w:val="00DB445B"/>
    <w:rsid w:val="00DB7F81"/>
    <w:rsid w:val="00DC172F"/>
    <w:rsid w:val="00DD61FC"/>
    <w:rsid w:val="00DD6E51"/>
    <w:rsid w:val="00DD739D"/>
    <w:rsid w:val="00DD7905"/>
    <w:rsid w:val="00DE0591"/>
    <w:rsid w:val="00DE1C96"/>
    <w:rsid w:val="00DE23C0"/>
    <w:rsid w:val="00DF02F4"/>
    <w:rsid w:val="00DF0DDB"/>
    <w:rsid w:val="00DF20A1"/>
    <w:rsid w:val="00DF55A5"/>
    <w:rsid w:val="00DF6FE4"/>
    <w:rsid w:val="00DF7B6E"/>
    <w:rsid w:val="00E16982"/>
    <w:rsid w:val="00E20501"/>
    <w:rsid w:val="00E21CA3"/>
    <w:rsid w:val="00E23070"/>
    <w:rsid w:val="00E234E0"/>
    <w:rsid w:val="00E24217"/>
    <w:rsid w:val="00E25F55"/>
    <w:rsid w:val="00E300BF"/>
    <w:rsid w:val="00E30B2F"/>
    <w:rsid w:val="00E320F7"/>
    <w:rsid w:val="00E32B62"/>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84830"/>
    <w:rsid w:val="00E86658"/>
    <w:rsid w:val="00E96F4B"/>
    <w:rsid w:val="00EA0D96"/>
    <w:rsid w:val="00EA4160"/>
    <w:rsid w:val="00EA4761"/>
    <w:rsid w:val="00EA528D"/>
    <w:rsid w:val="00EA5B89"/>
    <w:rsid w:val="00EA5BC9"/>
    <w:rsid w:val="00EA5CE1"/>
    <w:rsid w:val="00EA6170"/>
    <w:rsid w:val="00EA69B0"/>
    <w:rsid w:val="00EB0015"/>
    <w:rsid w:val="00EB3EDB"/>
    <w:rsid w:val="00EB4A66"/>
    <w:rsid w:val="00EB55AD"/>
    <w:rsid w:val="00EB6E06"/>
    <w:rsid w:val="00EC1150"/>
    <w:rsid w:val="00EC5413"/>
    <w:rsid w:val="00EC5D5A"/>
    <w:rsid w:val="00EC5E5E"/>
    <w:rsid w:val="00EC7995"/>
    <w:rsid w:val="00EC79C1"/>
    <w:rsid w:val="00EC7A26"/>
    <w:rsid w:val="00ED0CC0"/>
    <w:rsid w:val="00ED15AF"/>
    <w:rsid w:val="00ED3BDC"/>
    <w:rsid w:val="00ED40D9"/>
    <w:rsid w:val="00ED44C8"/>
    <w:rsid w:val="00ED4F49"/>
    <w:rsid w:val="00ED51A8"/>
    <w:rsid w:val="00EE16AE"/>
    <w:rsid w:val="00EE38E6"/>
    <w:rsid w:val="00EE424D"/>
    <w:rsid w:val="00EF0753"/>
    <w:rsid w:val="00EF10C7"/>
    <w:rsid w:val="00EF141A"/>
    <w:rsid w:val="00EF42ED"/>
    <w:rsid w:val="00F03636"/>
    <w:rsid w:val="00F04D64"/>
    <w:rsid w:val="00F1029D"/>
    <w:rsid w:val="00F13DF6"/>
    <w:rsid w:val="00F1565B"/>
    <w:rsid w:val="00F21926"/>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61BDF"/>
    <w:rsid w:val="00F646B1"/>
    <w:rsid w:val="00F64D93"/>
    <w:rsid w:val="00F65EE5"/>
    <w:rsid w:val="00F66063"/>
    <w:rsid w:val="00F661D7"/>
    <w:rsid w:val="00F7427A"/>
    <w:rsid w:val="00F77564"/>
    <w:rsid w:val="00F8081B"/>
    <w:rsid w:val="00F82893"/>
    <w:rsid w:val="00F840CB"/>
    <w:rsid w:val="00F8562B"/>
    <w:rsid w:val="00F87216"/>
    <w:rsid w:val="00F94878"/>
    <w:rsid w:val="00F94A8B"/>
    <w:rsid w:val="00FB0ED0"/>
    <w:rsid w:val="00FB4F43"/>
    <w:rsid w:val="00FB630F"/>
    <w:rsid w:val="00FB7D83"/>
    <w:rsid w:val="00FC16A6"/>
    <w:rsid w:val="00FC4257"/>
    <w:rsid w:val="00FC43DE"/>
    <w:rsid w:val="00FC58D5"/>
    <w:rsid w:val="00FC7FB9"/>
    <w:rsid w:val="00FD2223"/>
    <w:rsid w:val="00FD54D1"/>
    <w:rsid w:val="00FE196C"/>
    <w:rsid w:val="00FE270D"/>
    <w:rsid w:val="00FE2D49"/>
    <w:rsid w:val="00FE4611"/>
    <w:rsid w:val="00FE5BDA"/>
    <w:rsid w:val="00FF1B27"/>
    <w:rsid w:val="00FF1DA9"/>
    <w:rsid w:val="024261A6"/>
    <w:rsid w:val="03797150"/>
    <w:rsid w:val="05AB5E10"/>
    <w:rsid w:val="05EC2979"/>
    <w:rsid w:val="06186E5D"/>
    <w:rsid w:val="06447E16"/>
    <w:rsid w:val="06B27FFC"/>
    <w:rsid w:val="06E92E82"/>
    <w:rsid w:val="088A258B"/>
    <w:rsid w:val="09185263"/>
    <w:rsid w:val="092E2FE0"/>
    <w:rsid w:val="09A264DC"/>
    <w:rsid w:val="0B84338B"/>
    <w:rsid w:val="0D8E6B48"/>
    <w:rsid w:val="0EEC540D"/>
    <w:rsid w:val="0F051445"/>
    <w:rsid w:val="0F7F6343"/>
    <w:rsid w:val="108D4A90"/>
    <w:rsid w:val="10A21FB1"/>
    <w:rsid w:val="111E19E6"/>
    <w:rsid w:val="112A34F8"/>
    <w:rsid w:val="11627CCB"/>
    <w:rsid w:val="12724F3C"/>
    <w:rsid w:val="12E666D9"/>
    <w:rsid w:val="144E5831"/>
    <w:rsid w:val="157E4AEB"/>
    <w:rsid w:val="15A60D42"/>
    <w:rsid w:val="15BB7DF7"/>
    <w:rsid w:val="164863F4"/>
    <w:rsid w:val="17265757"/>
    <w:rsid w:val="1904793D"/>
    <w:rsid w:val="1A793A61"/>
    <w:rsid w:val="1CC71CF1"/>
    <w:rsid w:val="1DA72C35"/>
    <w:rsid w:val="1E0930CB"/>
    <w:rsid w:val="1EB34921"/>
    <w:rsid w:val="1F6F1F2B"/>
    <w:rsid w:val="20297F5A"/>
    <w:rsid w:val="209F7A3B"/>
    <w:rsid w:val="21B3259E"/>
    <w:rsid w:val="21EE091E"/>
    <w:rsid w:val="22BD1205"/>
    <w:rsid w:val="23CF27A7"/>
    <w:rsid w:val="25F62E2D"/>
    <w:rsid w:val="26127ABA"/>
    <w:rsid w:val="26210BBE"/>
    <w:rsid w:val="277809B2"/>
    <w:rsid w:val="283427BA"/>
    <w:rsid w:val="28DE3FE3"/>
    <w:rsid w:val="28F02326"/>
    <w:rsid w:val="2A544CEB"/>
    <w:rsid w:val="2B141BDE"/>
    <w:rsid w:val="2B6B5DBA"/>
    <w:rsid w:val="2B8646B9"/>
    <w:rsid w:val="2C407A5B"/>
    <w:rsid w:val="2D4A18E7"/>
    <w:rsid w:val="2E02460C"/>
    <w:rsid w:val="2EC8340B"/>
    <w:rsid w:val="2FDC754C"/>
    <w:rsid w:val="32B81081"/>
    <w:rsid w:val="33A12656"/>
    <w:rsid w:val="33E23F6F"/>
    <w:rsid w:val="33F7720E"/>
    <w:rsid w:val="34C57F1E"/>
    <w:rsid w:val="34C96E23"/>
    <w:rsid w:val="35011C26"/>
    <w:rsid w:val="353E78FC"/>
    <w:rsid w:val="373552B4"/>
    <w:rsid w:val="38380C12"/>
    <w:rsid w:val="384829D0"/>
    <w:rsid w:val="392822D8"/>
    <w:rsid w:val="3A3A4D57"/>
    <w:rsid w:val="3C0C1FB2"/>
    <w:rsid w:val="3C0D3506"/>
    <w:rsid w:val="3C311018"/>
    <w:rsid w:val="3D373713"/>
    <w:rsid w:val="40E030B5"/>
    <w:rsid w:val="41110D78"/>
    <w:rsid w:val="41390199"/>
    <w:rsid w:val="42AD52B2"/>
    <w:rsid w:val="46D560F0"/>
    <w:rsid w:val="47FB65EC"/>
    <w:rsid w:val="4A5D0A54"/>
    <w:rsid w:val="4A72164F"/>
    <w:rsid w:val="4AB935C3"/>
    <w:rsid w:val="4B2B74A1"/>
    <w:rsid w:val="4BFD3649"/>
    <w:rsid w:val="4C81122B"/>
    <w:rsid w:val="4CA43CD7"/>
    <w:rsid w:val="4EBA51D8"/>
    <w:rsid w:val="4EE44C81"/>
    <w:rsid w:val="518A6A30"/>
    <w:rsid w:val="519628F5"/>
    <w:rsid w:val="51D116E1"/>
    <w:rsid w:val="5263477D"/>
    <w:rsid w:val="54BC0F0D"/>
    <w:rsid w:val="55250E96"/>
    <w:rsid w:val="554A6079"/>
    <w:rsid w:val="55A57753"/>
    <w:rsid w:val="57164992"/>
    <w:rsid w:val="57CA41EB"/>
    <w:rsid w:val="58ED5B8B"/>
    <w:rsid w:val="58F1410D"/>
    <w:rsid w:val="590A6E98"/>
    <w:rsid w:val="5C585E94"/>
    <w:rsid w:val="5CEA363E"/>
    <w:rsid w:val="5D5079CB"/>
    <w:rsid w:val="5F3C4C84"/>
    <w:rsid w:val="5FC33474"/>
    <w:rsid w:val="5FD900E3"/>
    <w:rsid w:val="617F42BF"/>
    <w:rsid w:val="61A97F30"/>
    <w:rsid w:val="61AE57C0"/>
    <w:rsid w:val="6269194F"/>
    <w:rsid w:val="635A1B7D"/>
    <w:rsid w:val="63EB2CF6"/>
    <w:rsid w:val="65256B3E"/>
    <w:rsid w:val="653B0E14"/>
    <w:rsid w:val="67F85C34"/>
    <w:rsid w:val="68055D20"/>
    <w:rsid w:val="6A930356"/>
    <w:rsid w:val="6BC1204D"/>
    <w:rsid w:val="6E9C7E9D"/>
    <w:rsid w:val="6F2C22B0"/>
    <w:rsid w:val="70044E66"/>
    <w:rsid w:val="729948EB"/>
    <w:rsid w:val="75475A8E"/>
    <w:rsid w:val="76A72E23"/>
    <w:rsid w:val="780C6F13"/>
    <w:rsid w:val="79343C3C"/>
    <w:rsid w:val="7A1129C2"/>
    <w:rsid w:val="7A41771F"/>
    <w:rsid w:val="7C623988"/>
    <w:rsid w:val="7F0A4E61"/>
    <w:rsid w:val="7F647B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34"/>
    <w:qFormat/>
    <w:uiPriority w:val="0"/>
    <w:pPr>
      <w:keepNext/>
      <w:keepLines/>
      <w:numPr>
        <w:ilvl w:val="0"/>
        <w:numId w:val="1"/>
      </w:numPr>
      <w:topLinePunct/>
      <w:adjustRightInd w:val="0"/>
      <w:snapToGrid w:val="0"/>
      <w:spacing w:line="480" w:lineRule="atLeast"/>
      <w:ind w:firstLineChars="0"/>
      <w:jc w:val="left"/>
      <w:textAlignment w:val="center"/>
      <w:outlineLvl w:val="0"/>
    </w:pPr>
    <w:rPr>
      <w:b/>
      <w:bCs/>
      <w:snapToGrid w:val="0"/>
      <w:kern w:val="0"/>
      <w:sz w:val="28"/>
      <w:szCs w:val="28"/>
    </w:rPr>
  </w:style>
  <w:style w:type="paragraph" w:styleId="5">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6">
    <w:name w:val="heading 3"/>
    <w:basedOn w:val="1"/>
    <w:next w:val="1"/>
    <w:link w:val="35"/>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7">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8">
    <w:name w:val="heading 5"/>
    <w:basedOn w:val="1"/>
    <w:next w:val="1"/>
    <w:link w:val="36"/>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9">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10">
    <w:name w:val="heading 7"/>
    <w:basedOn w:val="1"/>
    <w:next w:val="1"/>
    <w:link w:val="37"/>
    <w:qFormat/>
    <w:uiPriority w:val="0"/>
    <w:pPr>
      <w:keepNext/>
      <w:keepLines/>
      <w:numPr>
        <w:ilvl w:val="6"/>
        <w:numId w:val="1"/>
      </w:numPr>
      <w:spacing w:before="240" w:after="64" w:line="320" w:lineRule="atLeast"/>
      <w:ind w:firstLineChars="0"/>
      <w:outlineLvl w:val="6"/>
    </w:pPr>
    <w:rPr>
      <w:b/>
      <w:bCs/>
    </w:rPr>
  </w:style>
  <w:style w:type="paragraph" w:styleId="11">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2">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1">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styleId="3">
    <w:name w:val="Title"/>
    <w:basedOn w:val="1"/>
    <w:next w:val="1"/>
    <w:qFormat/>
    <w:uiPriority w:val="0"/>
    <w:pPr>
      <w:pageBreakBefore/>
      <w:widowControl/>
      <w:spacing w:line="360" w:lineRule="auto"/>
      <w:jc w:val="center"/>
      <w:outlineLvl w:val="0"/>
    </w:pPr>
    <w:rPr>
      <w:rFonts w:ascii="宋体" w:hAnsi="宋体"/>
      <w:b/>
      <w:kern w:val="0"/>
      <w:sz w:val="32"/>
      <w:szCs w:val="32"/>
    </w:rPr>
  </w:style>
  <w:style w:type="paragraph" w:styleId="13">
    <w:name w:val="toc 7"/>
    <w:basedOn w:val="1"/>
    <w:next w:val="1"/>
    <w:qFormat/>
    <w:uiPriority w:val="0"/>
    <w:pPr>
      <w:ind w:left="1440"/>
      <w:jc w:val="left"/>
    </w:pPr>
    <w:rPr>
      <w:rFonts w:ascii="Calibri" w:hAnsi="Calibri"/>
      <w:sz w:val="18"/>
      <w:szCs w:val="18"/>
    </w:rPr>
  </w:style>
  <w:style w:type="paragraph" w:styleId="14">
    <w:name w:val="Normal Indent"/>
    <w:basedOn w:val="1"/>
    <w:link w:val="38"/>
    <w:qFormat/>
    <w:uiPriority w:val="0"/>
    <w:pPr>
      <w:spacing w:line="240" w:lineRule="auto"/>
      <w:ind w:firstLine="420"/>
    </w:pPr>
    <w:rPr>
      <w:sz w:val="21"/>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Indent"/>
    <w:basedOn w:val="1"/>
    <w:link w:val="39"/>
    <w:qFormat/>
    <w:uiPriority w:val="0"/>
    <w:pPr>
      <w:adjustRightInd w:val="0"/>
      <w:snapToGrid w:val="0"/>
      <w:spacing w:line="300" w:lineRule="auto"/>
      <w:ind w:firstLine="0" w:firstLineChars="0"/>
    </w:pPr>
    <w:rPr>
      <w:sz w:val="21"/>
      <w:szCs w:val="20"/>
      <w:lang w:eastAsia="zh-TW"/>
    </w:rPr>
  </w:style>
  <w:style w:type="paragraph" w:styleId="18">
    <w:name w:val="toc 5"/>
    <w:basedOn w:val="1"/>
    <w:next w:val="1"/>
    <w:qFormat/>
    <w:uiPriority w:val="0"/>
    <w:pPr>
      <w:ind w:left="960"/>
      <w:jc w:val="left"/>
    </w:pPr>
    <w:rPr>
      <w:rFonts w:ascii="Calibri" w:hAnsi="Calibri"/>
      <w:sz w:val="18"/>
      <w:szCs w:val="18"/>
    </w:rPr>
  </w:style>
  <w:style w:type="paragraph" w:styleId="19">
    <w:name w:val="toc 3"/>
    <w:basedOn w:val="1"/>
    <w:next w:val="1"/>
    <w:qFormat/>
    <w:uiPriority w:val="39"/>
    <w:pPr>
      <w:ind w:left="480"/>
      <w:jc w:val="left"/>
    </w:pPr>
    <w:rPr>
      <w:rFonts w:ascii="Calibri" w:hAnsi="Calibri"/>
      <w:i/>
      <w:iCs/>
      <w:sz w:val="20"/>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0"/>
    <w:qFormat/>
    <w:uiPriority w:val="0"/>
    <w:rPr>
      <w:sz w:val="18"/>
      <w:szCs w:val="18"/>
    </w:rPr>
  </w:style>
  <w:style w:type="paragraph" w:styleId="22">
    <w:name w:val="footer"/>
    <w:basedOn w:val="1"/>
    <w:link w:val="41"/>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2"/>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6"/>
    <w:next w:val="16"/>
    <w:semiHidden/>
    <w:qFormat/>
    <w:uiPriority w:val="0"/>
    <w:rPr>
      <w:b/>
      <w:bCs/>
    </w:rPr>
  </w:style>
  <w:style w:type="character" w:styleId="32">
    <w:name w:val="page number"/>
    <w:basedOn w:val="31"/>
    <w:qFormat/>
    <w:uiPriority w:val="99"/>
  </w:style>
  <w:style w:type="character" w:styleId="33">
    <w:name w:val="annotation reference"/>
    <w:semiHidden/>
    <w:qFormat/>
    <w:uiPriority w:val="0"/>
    <w:rPr>
      <w:sz w:val="21"/>
      <w:szCs w:val="21"/>
    </w:rPr>
  </w:style>
  <w:style w:type="character" w:customStyle="1" w:styleId="34">
    <w:name w:val="标题 1 Char"/>
    <w:link w:val="4"/>
    <w:qFormat/>
    <w:uiPriority w:val="0"/>
    <w:rPr>
      <w:b/>
      <w:bCs/>
      <w:snapToGrid/>
      <w:sz w:val="28"/>
      <w:szCs w:val="28"/>
    </w:rPr>
  </w:style>
  <w:style w:type="character" w:customStyle="1" w:styleId="35">
    <w:name w:val="标题 3 Char"/>
    <w:link w:val="6"/>
    <w:qFormat/>
    <w:uiPriority w:val="0"/>
    <w:rPr>
      <w:b/>
      <w:bCs/>
      <w:kern w:val="2"/>
      <w:sz w:val="28"/>
      <w:szCs w:val="28"/>
      <w:lang w:val="sv-SE"/>
    </w:rPr>
  </w:style>
  <w:style w:type="character" w:customStyle="1" w:styleId="36">
    <w:name w:val="标题 5 Char"/>
    <w:link w:val="8"/>
    <w:qFormat/>
    <w:uiPriority w:val="0"/>
    <w:rPr>
      <w:b/>
      <w:bCs/>
      <w:kern w:val="44"/>
      <w:sz w:val="24"/>
      <w:szCs w:val="28"/>
    </w:rPr>
  </w:style>
  <w:style w:type="character" w:customStyle="1" w:styleId="37">
    <w:name w:val="标题 7 Char"/>
    <w:link w:val="10"/>
    <w:qFormat/>
    <w:uiPriority w:val="0"/>
    <w:rPr>
      <w:b/>
      <w:bCs/>
      <w:kern w:val="2"/>
      <w:sz w:val="24"/>
      <w:szCs w:val="24"/>
    </w:rPr>
  </w:style>
  <w:style w:type="character" w:customStyle="1" w:styleId="38">
    <w:name w:val="正文缩进 Char"/>
    <w:link w:val="14"/>
    <w:qFormat/>
    <w:uiPriority w:val="0"/>
    <w:rPr>
      <w:kern w:val="2"/>
      <w:sz w:val="21"/>
      <w:szCs w:val="24"/>
    </w:rPr>
  </w:style>
  <w:style w:type="character" w:customStyle="1" w:styleId="39">
    <w:name w:val="正文文本缩进 Char"/>
    <w:link w:val="17"/>
    <w:qFormat/>
    <w:uiPriority w:val="0"/>
    <w:rPr>
      <w:kern w:val="2"/>
      <w:sz w:val="21"/>
      <w:lang w:eastAsia="zh-TW"/>
    </w:rPr>
  </w:style>
  <w:style w:type="character" w:customStyle="1" w:styleId="40">
    <w:name w:val="批注框文本 Char"/>
    <w:link w:val="21"/>
    <w:qFormat/>
    <w:uiPriority w:val="0"/>
    <w:rPr>
      <w:kern w:val="2"/>
      <w:sz w:val="18"/>
      <w:szCs w:val="18"/>
    </w:rPr>
  </w:style>
  <w:style w:type="character" w:customStyle="1" w:styleId="41">
    <w:name w:val="页脚 Char"/>
    <w:link w:val="22"/>
    <w:qFormat/>
    <w:uiPriority w:val="99"/>
    <w:rPr>
      <w:kern w:val="2"/>
      <w:sz w:val="18"/>
      <w:szCs w:val="18"/>
    </w:rPr>
  </w:style>
  <w:style w:type="character" w:customStyle="1" w:styleId="42">
    <w:name w:val="页眉 Char"/>
    <w:link w:val="23"/>
    <w:qFormat/>
    <w:uiPriority w:val="99"/>
    <w:rPr>
      <w:kern w:val="2"/>
      <w:sz w:val="18"/>
      <w:szCs w:val="18"/>
    </w:rPr>
  </w:style>
  <w:style w:type="character" w:customStyle="1" w:styleId="43">
    <w:name w:val="GEDI一级项目编号 Char"/>
    <w:link w:val="44"/>
    <w:qFormat/>
    <w:uiPriority w:val="0"/>
    <w:rPr>
      <w:rFonts w:eastAsia="宋体"/>
      <w:kern w:val="2"/>
      <w:sz w:val="24"/>
      <w:szCs w:val="24"/>
      <w:lang w:val="en-US" w:eastAsia="zh-CN" w:bidi="ar-SA"/>
    </w:rPr>
  </w:style>
  <w:style w:type="paragraph" w:customStyle="1" w:styleId="44">
    <w:name w:val="GEDI一级项目编号"/>
    <w:basedOn w:val="1"/>
    <w:link w:val="43"/>
    <w:qFormat/>
    <w:uiPriority w:val="0"/>
    <w:pPr>
      <w:adjustRightInd w:val="0"/>
      <w:snapToGrid w:val="0"/>
      <w:spacing w:line="480" w:lineRule="atLeast"/>
      <w:ind w:firstLine="0" w:firstLineChars="0"/>
    </w:pPr>
  </w:style>
  <w:style w:type="character" w:customStyle="1" w:styleId="45">
    <w:name w:val="GEDI正文样式 Char"/>
    <w:link w:val="46"/>
    <w:qFormat/>
    <w:uiPriority w:val="0"/>
    <w:rPr>
      <w:rFonts w:eastAsia="宋体"/>
      <w:kern w:val="2"/>
      <w:sz w:val="24"/>
      <w:szCs w:val="24"/>
      <w:lang w:val="en-US" w:eastAsia="zh-CN" w:bidi="ar-SA"/>
    </w:rPr>
  </w:style>
  <w:style w:type="paragraph" w:customStyle="1" w:styleId="46">
    <w:name w:val="GEDI正文样式"/>
    <w:basedOn w:val="1"/>
    <w:link w:val="45"/>
    <w:qFormat/>
    <w:uiPriority w:val="0"/>
    <w:pPr>
      <w:adjustRightInd w:val="0"/>
      <w:snapToGrid w:val="0"/>
      <w:spacing w:line="480" w:lineRule="atLeast"/>
      <w:ind w:firstLine="480"/>
    </w:pPr>
  </w:style>
  <w:style w:type="character" w:customStyle="1" w:styleId="47">
    <w:name w:val="GEDI正文(无编号) Char"/>
    <w:link w:val="48"/>
    <w:qFormat/>
    <w:uiPriority w:val="0"/>
    <w:rPr>
      <w:rFonts w:hAnsi="宋体"/>
      <w:kern w:val="2"/>
      <w:sz w:val="24"/>
    </w:rPr>
  </w:style>
  <w:style w:type="paragraph" w:customStyle="1" w:styleId="48">
    <w:name w:val="GEDI正文(无编号)"/>
    <w:basedOn w:val="1"/>
    <w:link w:val="47"/>
    <w:qFormat/>
    <w:uiPriority w:val="0"/>
    <w:pPr>
      <w:adjustRightInd w:val="0"/>
      <w:snapToGrid w:val="0"/>
      <w:ind w:left="420" w:firstLine="0" w:firstLineChars="0"/>
    </w:pPr>
    <w:rPr>
      <w:rFonts w:hAnsi="宋体"/>
      <w:szCs w:val="20"/>
    </w:rPr>
  </w:style>
  <w:style w:type="character" w:customStyle="1" w:styleId="49">
    <w:name w:val="封面副标题 Char"/>
    <w:link w:val="50"/>
    <w:qFormat/>
    <w:uiPriority w:val="0"/>
    <w:rPr>
      <w:rFonts w:ascii="Arial" w:hAnsi="Arial" w:eastAsia="黑体"/>
      <w:sz w:val="32"/>
      <w:szCs w:val="24"/>
      <w:lang w:val="en-US" w:eastAsia="zh-CN" w:bidi="ar-SA"/>
    </w:rPr>
  </w:style>
  <w:style w:type="paragraph" w:customStyle="1" w:styleId="50">
    <w:name w:val="封面副标题"/>
    <w:link w:val="49"/>
    <w:qFormat/>
    <w:uiPriority w:val="0"/>
    <w:pPr>
      <w:spacing w:line="360" w:lineRule="auto"/>
      <w:jc w:val="center"/>
    </w:pPr>
    <w:rPr>
      <w:rFonts w:ascii="Arial" w:hAnsi="Arial" w:eastAsia="黑体" w:cs="Times New Roman"/>
      <w:sz w:val="32"/>
      <w:szCs w:val="24"/>
      <w:lang w:val="en-US" w:eastAsia="zh-CN" w:bidi="ar-SA"/>
    </w:rPr>
  </w:style>
  <w:style w:type="character" w:customStyle="1" w:styleId="51">
    <w:name w:val="无间隔 Char"/>
    <w:link w:val="52"/>
    <w:qFormat/>
    <w:uiPriority w:val="1"/>
    <w:rPr>
      <w:rFonts w:ascii="Calibri" w:hAnsi="Calibri"/>
      <w:sz w:val="22"/>
      <w:szCs w:val="22"/>
      <w:lang w:bidi="ar-SA"/>
    </w:rPr>
  </w:style>
  <w:style w:type="paragraph" w:styleId="52">
    <w:name w:val="No Spacing"/>
    <w:link w:val="51"/>
    <w:qFormat/>
    <w:uiPriority w:val="1"/>
    <w:rPr>
      <w:rFonts w:ascii="Calibri" w:hAnsi="Calibri" w:eastAsia="宋体" w:cs="Times New Roman"/>
      <w:sz w:val="22"/>
      <w:szCs w:val="22"/>
      <w:lang w:val="en-US" w:eastAsia="zh-CN" w:bidi="ar-SA"/>
    </w:rPr>
  </w:style>
  <w:style w:type="paragraph" w:customStyle="1" w:styleId="53">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4">
    <w:name w:val="p0"/>
    <w:basedOn w:val="1"/>
    <w:qFormat/>
    <w:uiPriority w:val="0"/>
    <w:pPr>
      <w:widowControl/>
      <w:spacing w:line="360" w:lineRule="auto"/>
      <w:ind w:firstLine="0" w:firstLineChars="0"/>
    </w:pPr>
    <w:rPr>
      <w:kern w:val="0"/>
    </w:rPr>
  </w:style>
  <w:style w:type="paragraph" w:customStyle="1" w:styleId="55">
    <w:name w:val="封面标题"/>
    <w:qFormat/>
    <w:uiPriority w:val="0"/>
    <w:pPr>
      <w:spacing w:line="360" w:lineRule="auto"/>
      <w:jc w:val="center"/>
    </w:pPr>
    <w:rPr>
      <w:rFonts w:ascii="Arial" w:hAnsi="Arial" w:eastAsia="黑体" w:cs="Times New Roman"/>
      <w:sz w:val="48"/>
      <w:szCs w:val="48"/>
      <w:lang w:val="en-US" w:eastAsia="zh-CN" w:bidi="ar-SA"/>
    </w:rPr>
  </w:style>
  <w:style w:type="paragraph" w:styleId="56">
    <w:name w:val="List Paragraph"/>
    <w:basedOn w:val="1"/>
    <w:qFormat/>
    <w:uiPriority w:val="34"/>
    <w:pPr>
      <w:ind w:firstLine="420"/>
    </w:pPr>
  </w:style>
  <w:style w:type="paragraph" w:customStyle="1" w:styleId="57">
    <w:name w:val="正文加粗"/>
    <w:basedOn w:val="1"/>
    <w:qFormat/>
    <w:uiPriority w:val="0"/>
    <w:pPr>
      <w:spacing w:line="240" w:lineRule="auto"/>
      <w:ind w:firstLine="0" w:firstLineChars="0"/>
    </w:pPr>
    <w:rPr>
      <w:rFonts w:cs="宋体"/>
      <w:b/>
      <w:bCs/>
      <w:sz w:val="21"/>
      <w:szCs w:val="20"/>
    </w:rPr>
  </w:style>
  <w:style w:type="paragraph" w:customStyle="1" w:styleId="58">
    <w:name w:val="目录 21"/>
    <w:basedOn w:val="1"/>
    <w:next w:val="1"/>
    <w:qFormat/>
    <w:uiPriority w:val="0"/>
    <w:pPr>
      <w:spacing w:before="100" w:beforeAutospacing="1" w:after="100" w:afterAutospacing="1"/>
      <w:ind w:left="420" w:leftChars="200"/>
    </w:pPr>
  </w:style>
  <w:style w:type="paragraph" w:customStyle="1" w:styleId="59">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0">
    <w:name w:val=" Char"/>
    <w:basedOn w:val="1"/>
    <w:qFormat/>
    <w:uiPriority w:val="0"/>
    <w:pPr>
      <w:spacing w:line="240" w:lineRule="auto"/>
      <w:ind w:firstLine="0" w:firstLineChars="0"/>
    </w:pPr>
    <w:rPr>
      <w:rFonts w:ascii="Tahoma" w:hAnsi="Tahoma"/>
      <w:szCs w:val="20"/>
    </w:rPr>
  </w:style>
  <w:style w:type="paragraph" w:customStyle="1" w:styleId="61">
    <w:name w:val="_Style 1"/>
    <w:basedOn w:val="1"/>
    <w:qFormat/>
    <w:uiPriority w:val="34"/>
    <w:pPr>
      <w:ind w:firstLine="420"/>
    </w:pPr>
  </w:style>
  <w:style w:type="paragraph" w:customStyle="1" w:styleId="62">
    <w:name w:val="样式 标题 2h2Heading 2 HiddenHeading 2 CCBSheading 2第一章 标题 2H2...1"/>
    <w:basedOn w:val="5"/>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63">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4">
    <w:name w:val="园点"/>
    <w:basedOn w:val="1"/>
    <w:qFormat/>
    <w:uiPriority w:val="0"/>
    <w:pPr>
      <w:numPr>
        <w:ilvl w:val="0"/>
        <w:numId w:val="2"/>
      </w:numPr>
      <w:spacing w:line="360" w:lineRule="auto"/>
      <w:ind w:firstLineChars="0"/>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1670</Words>
  <Characters>1928</Characters>
  <Lines>43</Lines>
  <Paragraphs>12</Paragraphs>
  <TotalTime>7</TotalTime>
  <ScaleCrop>false</ScaleCrop>
  <LinksUpToDate>false</LinksUpToDate>
  <CharactersWithSpaces>1956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2014-11-04T08:07:00Z</dcterms:created>
  <dc:creator>王海吉</dc:creator>
  <cp:lastModifiedBy>梁玮斯</cp:lastModifiedBy>
  <cp:lastPrinted>2014-05-06T02:19:00Z</cp:lastPrinted>
  <dcterms:modified xsi:type="dcterms:W3CDTF">2025-06-10T03:27:57Z</dcterms:modified>
  <dc:title>1</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EF0CD0CA7A0E4B448155F21049D81D76</vt:lpwstr>
  </property>
</Properties>
</file>