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E4063">
      <w:pPr>
        <w:spacing w:line="360" w:lineRule="auto"/>
        <w:jc w:val="both"/>
      </w:pPr>
      <w:bookmarkStart w:id="17" w:name="_GoBack"/>
      <w:r>
        <w:rPr>
          <w:rFonts w:hint="eastAsia" w:ascii="方正小标宋简体" w:hAnsi="方正小标宋简体" w:eastAsia="方正小标宋简体" w:cs="方正小标宋简体"/>
          <w:b/>
          <w:sz w:val="32"/>
          <w:szCs w:val="32"/>
          <w:lang w:val="en-US" w:eastAsia="zh-CN"/>
        </w:rPr>
        <w:t>附件三：评分标准</w:t>
      </w:r>
    </w:p>
    <w:bookmarkEnd w:id="17"/>
    <w:p w14:paraId="32615071">
      <w:pPr>
        <w:pStyle w:val="6"/>
        <w:spacing w:before="91" w:line="223" w:lineRule="auto"/>
        <w:ind w:left="558"/>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（1）</w:t>
      </w:r>
      <w:r>
        <w:rPr>
          <w:rFonts w:hint="eastAsia" w:ascii="仿宋_GB2312" w:hAnsi="仿宋_GB2312" w:eastAsia="仿宋_GB2312" w:cs="仿宋_GB2312"/>
          <w:b w:val="0"/>
          <w:bCs w:val="0"/>
          <w:spacing w:val="-3"/>
          <w:sz w:val="28"/>
          <w:szCs w:val="28"/>
          <w14:textOutline w14:w="5103" w14:cap="sq" w14:cmpd="sng">
            <w14:solidFill>
              <w14:srgbClr w14:val="000000"/>
            </w14:solidFill>
            <w14:prstDash w14:val="solid"/>
            <w14:bevel/>
          </w14:textOutline>
        </w:rPr>
        <w:t>分权值</w:t>
      </w:r>
      <w:r>
        <w:rPr>
          <w:rFonts w:hint="eastAsia" w:ascii="仿宋_GB2312" w:hAnsi="仿宋_GB2312" w:eastAsia="仿宋_GB2312" w:cs="仿宋_GB2312"/>
          <w:b w:val="0"/>
          <w:bCs w:val="0"/>
          <w:spacing w:val="-3"/>
          <w:sz w:val="28"/>
          <w:szCs w:val="28"/>
          <w:lang w:eastAsia="zh-CN"/>
          <w14:textOutline w14:w="5103" w14:cap="sq" w14:cmpd="sng">
            <w14:solidFill>
              <w14:srgbClr w14:val="000000"/>
            </w14:solidFill>
            <w14:prstDash w14:val="solid"/>
            <w14:bevel/>
          </w14:textOutline>
        </w:rPr>
        <w:t>：</w:t>
      </w:r>
      <w:r>
        <w:rPr>
          <w:rFonts w:hint="eastAsia" w:ascii="仿宋_GB2312" w:hAnsi="仿宋_GB2312" w:eastAsia="仿宋_GB2312" w:cs="仿宋_GB2312"/>
          <w:b w:val="0"/>
          <w:bCs w:val="0"/>
          <w:spacing w:val="-5"/>
          <w:sz w:val="28"/>
          <w:szCs w:val="28"/>
        </w:rPr>
        <w:t>总分为</w:t>
      </w:r>
      <w:r>
        <w:rPr>
          <w:rFonts w:hint="eastAsia" w:ascii="仿宋_GB2312" w:hAnsi="仿宋_GB2312" w:eastAsia="仿宋_GB2312" w:cs="仿宋_GB2312"/>
          <w:b w:val="0"/>
          <w:bCs w:val="0"/>
          <w:spacing w:val="-37"/>
          <w:sz w:val="28"/>
          <w:szCs w:val="28"/>
        </w:rPr>
        <w:t xml:space="preserve"> </w:t>
      </w:r>
      <w:r>
        <w:rPr>
          <w:rFonts w:hint="eastAsia" w:ascii="仿宋_GB2312" w:hAnsi="仿宋_GB2312" w:eastAsia="仿宋_GB2312" w:cs="仿宋_GB2312"/>
          <w:b w:val="0"/>
          <w:bCs w:val="0"/>
          <w:spacing w:val="-5"/>
          <w:sz w:val="28"/>
          <w:szCs w:val="28"/>
        </w:rPr>
        <w:t>100</w:t>
      </w:r>
      <w:r>
        <w:rPr>
          <w:rFonts w:hint="eastAsia" w:ascii="仿宋_GB2312" w:hAnsi="仿宋_GB2312" w:eastAsia="仿宋_GB2312" w:cs="仿宋_GB2312"/>
          <w:b w:val="0"/>
          <w:bCs w:val="0"/>
          <w:spacing w:val="-48"/>
          <w:sz w:val="28"/>
          <w:szCs w:val="28"/>
        </w:rPr>
        <w:t xml:space="preserve"> </w:t>
      </w:r>
      <w:r>
        <w:rPr>
          <w:rFonts w:hint="eastAsia" w:ascii="仿宋_GB2312" w:hAnsi="仿宋_GB2312" w:eastAsia="仿宋_GB2312" w:cs="仿宋_GB2312"/>
          <w:b w:val="0"/>
          <w:bCs w:val="0"/>
          <w:spacing w:val="-5"/>
          <w:sz w:val="28"/>
          <w:szCs w:val="28"/>
        </w:rPr>
        <w:t>分，</w:t>
      </w:r>
      <w:r>
        <w:rPr>
          <w:rFonts w:hint="eastAsia" w:ascii="仿宋_GB2312" w:hAnsi="仿宋_GB2312" w:eastAsia="仿宋_GB2312" w:cs="仿宋_GB2312"/>
          <w:spacing w:val="-5"/>
          <w:sz w:val="28"/>
          <w:szCs w:val="28"/>
        </w:rPr>
        <w:t>评分分值分配如下：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7"/>
        <w:gridCol w:w="2237"/>
        <w:gridCol w:w="2237"/>
        <w:gridCol w:w="2237"/>
      </w:tblGrid>
      <w:tr w14:paraId="1586D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237" w:type="dxa"/>
            <w:vAlign w:val="center"/>
          </w:tcPr>
          <w:p w14:paraId="1990EC64">
            <w:pPr>
              <w:spacing w:before="201" w:line="223" w:lineRule="auto"/>
              <w:ind w:left="432"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5"/>
                <w:sz w:val="28"/>
                <w:szCs w:val="28"/>
                <w14:textOutline w14:w="5103" w14:cap="sq" w14:cmpd="sng">
                  <w14:solidFill>
                    <w14:srgbClr w14:val="000000"/>
                  </w14:solidFill>
                  <w14:prstDash w14:val="solid"/>
                  <w14:bevel/>
                </w14:textOutline>
              </w:rPr>
              <w:t>评分项目</w:t>
            </w:r>
          </w:p>
        </w:tc>
        <w:tc>
          <w:tcPr>
            <w:tcW w:w="2237" w:type="dxa"/>
            <w:vAlign w:val="center"/>
          </w:tcPr>
          <w:p w14:paraId="10A29C4D">
            <w:pPr>
              <w:spacing w:before="201" w:line="223" w:lineRule="auto"/>
              <w:ind w:left="533"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7"/>
                <w:sz w:val="28"/>
                <w:szCs w:val="28"/>
                <w14:textOutline w14:w="5103" w14:cap="sq" w14:cmpd="sng">
                  <w14:solidFill>
                    <w14:srgbClr w14:val="000000"/>
                  </w14:solidFill>
                  <w14:prstDash w14:val="solid"/>
                  <w14:bevel/>
                </w14:textOutline>
              </w:rPr>
              <w:t>商务评分</w:t>
            </w:r>
          </w:p>
        </w:tc>
        <w:tc>
          <w:tcPr>
            <w:tcW w:w="2237" w:type="dxa"/>
            <w:vAlign w:val="center"/>
          </w:tcPr>
          <w:p w14:paraId="1B0BC0E8">
            <w:pPr>
              <w:spacing w:before="201" w:line="223" w:lineRule="auto"/>
              <w:ind w:left="586"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5"/>
                <w:sz w:val="28"/>
                <w:szCs w:val="28"/>
                <w14:textOutline w14:w="5103" w14:cap="sq" w14:cmpd="sng">
                  <w14:solidFill>
                    <w14:srgbClr w14:val="000000"/>
                  </w14:solidFill>
                  <w14:prstDash w14:val="solid"/>
                  <w14:bevel/>
                </w14:textOutline>
              </w:rPr>
              <w:t>技术评分</w:t>
            </w:r>
          </w:p>
        </w:tc>
        <w:tc>
          <w:tcPr>
            <w:tcW w:w="2237" w:type="dxa"/>
            <w:vAlign w:val="center"/>
          </w:tcPr>
          <w:p w14:paraId="7C3BE415">
            <w:pPr>
              <w:spacing w:before="201" w:line="223" w:lineRule="auto"/>
              <w:ind w:left="517"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5"/>
                <w:sz w:val="28"/>
                <w:szCs w:val="28"/>
                <w14:textOutline w14:w="5103" w14:cap="sq" w14:cmpd="sng">
                  <w14:solidFill>
                    <w14:srgbClr w14:val="000000"/>
                  </w14:solidFill>
                  <w14:prstDash w14:val="solid"/>
                  <w14:bevel/>
                </w14:textOutline>
              </w:rPr>
              <w:t>价格评分</w:t>
            </w:r>
          </w:p>
        </w:tc>
      </w:tr>
      <w:tr w14:paraId="2B6F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237" w:type="dxa"/>
            <w:vAlign w:val="center"/>
          </w:tcPr>
          <w:p w14:paraId="164B4F6F">
            <w:pPr>
              <w:spacing w:before="200" w:line="224" w:lineRule="auto"/>
              <w:ind w:left="481"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10"/>
                <w:sz w:val="28"/>
                <w:szCs w:val="28"/>
              </w:rPr>
              <w:t>100</w:t>
            </w:r>
            <w:r>
              <w:rPr>
                <w:rFonts w:hint="eastAsia" w:ascii="仿宋_GB2312" w:hAnsi="仿宋_GB2312" w:eastAsia="仿宋_GB2312" w:cs="仿宋_GB2312"/>
                <w:spacing w:val="-50"/>
                <w:sz w:val="28"/>
                <w:szCs w:val="28"/>
              </w:rPr>
              <w:t xml:space="preserve"> </w:t>
            </w:r>
            <w:r>
              <w:rPr>
                <w:rFonts w:hint="eastAsia" w:ascii="仿宋_GB2312" w:hAnsi="仿宋_GB2312" w:eastAsia="仿宋_GB2312" w:cs="仿宋_GB2312"/>
                <w:spacing w:val="-10"/>
                <w:sz w:val="28"/>
                <w:szCs w:val="28"/>
              </w:rPr>
              <w:t>分值</w:t>
            </w:r>
          </w:p>
        </w:tc>
        <w:tc>
          <w:tcPr>
            <w:tcW w:w="2237" w:type="dxa"/>
            <w:vAlign w:val="center"/>
          </w:tcPr>
          <w:p w14:paraId="5230963D">
            <w:pPr>
              <w:spacing w:before="202" w:line="224" w:lineRule="auto"/>
              <w:ind w:left="767"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50"/>
                <w:sz w:val="28"/>
                <w:szCs w:val="28"/>
                <w:u w:val="none" w:color="auto"/>
                <w:lang w:val="en-US" w:eastAsia="zh-CN"/>
              </w:rPr>
              <w:t>25</w:t>
            </w:r>
            <w:r>
              <w:rPr>
                <w:rFonts w:hint="eastAsia" w:ascii="仿宋_GB2312" w:hAnsi="仿宋_GB2312" w:eastAsia="仿宋_GB2312" w:cs="仿宋_GB2312"/>
                <w:spacing w:val="-5"/>
                <w:sz w:val="28"/>
                <w:szCs w:val="28"/>
              </w:rPr>
              <w:t>分</w:t>
            </w:r>
          </w:p>
        </w:tc>
        <w:tc>
          <w:tcPr>
            <w:tcW w:w="2237" w:type="dxa"/>
            <w:vAlign w:val="center"/>
          </w:tcPr>
          <w:p w14:paraId="707FF74A">
            <w:pPr>
              <w:spacing w:before="202" w:line="224" w:lineRule="auto"/>
              <w:ind w:left="829"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50"/>
                <w:sz w:val="28"/>
                <w:szCs w:val="28"/>
                <w:u w:val="none" w:color="auto"/>
                <w:lang w:val="en-US" w:eastAsia="zh-CN"/>
              </w:rPr>
              <w:t>50</w:t>
            </w:r>
            <w:r>
              <w:rPr>
                <w:rFonts w:hint="eastAsia" w:ascii="仿宋_GB2312" w:hAnsi="仿宋_GB2312" w:eastAsia="仿宋_GB2312" w:cs="仿宋_GB2312"/>
                <w:spacing w:val="-5"/>
                <w:sz w:val="28"/>
                <w:szCs w:val="28"/>
              </w:rPr>
              <w:t>分</w:t>
            </w:r>
          </w:p>
        </w:tc>
        <w:tc>
          <w:tcPr>
            <w:tcW w:w="2237" w:type="dxa"/>
            <w:vAlign w:val="center"/>
          </w:tcPr>
          <w:p w14:paraId="115F0682">
            <w:pPr>
              <w:spacing w:before="202" w:line="224" w:lineRule="auto"/>
              <w:ind w:left="775" w:leftChars="0"/>
              <w:jc w:val="both"/>
              <w:rPr>
                <w:rFonts w:hint="eastAsia" w:ascii="仿宋_GB2312" w:hAnsi="仿宋_GB2312" w:eastAsia="仿宋_GB2312" w:cs="仿宋_GB2312"/>
                <w:sz w:val="28"/>
                <w:szCs w:val="28"/>
                <w:vertAlign w:val="baseline"/>
              </w:rPr>
            </w:pPr>
            <w:r>
              <w:rPr>
                <w:rFonts w:hint="eastAsia" w:ascii="仿宋_GB2312" w:hAnsi="仿宋_GB2312" w:eastAsia="仿宋_GB2312" w:cs="仿宋_GB2312"/>
                <w:spacing w:val="-11"/>
                <w:sz w:val="28"/>
                <w:szCs w:val="28"/>
                <w:lang w:val="en-US" w:eastAsia="zh-CN"/>
              </w:rPr>
              <w:t>25</w:t>
            </w:r>
            <w:r>
              <w:rPr>
                <w:rFonts w:hint="eastAsia" w:ascii="仿宋_GB2312" w:hAnsi="仿宋_GB2312" w:eastAsia="仿宋_GB2312" w:cs="仿宋_GB2312"/>
                <w:spacing w:val="-11"/>
                <w:sz w:val="28"/>
                <w:szCs w:val="28"/>
              </w:rPr>
              <w:t>分</w:t>
            </w:r>
          </w:p>
        </w:tc>
      </w:tr>
    </w:tbl>
    <w:p w14:paraId="651B60F4">
      <w:pPr>
        <w:pStyle w:val="5"/>
      </w:pPr>
    </w:p>
    <w:p w14:paraId="018C24B7">
      <w:pPr>
        <w:pStyle w:val="6"/>
        <w:spacing w:before="91" w:line="223" w:lineRule="auto"/>
        <w:ind w:left="558"/>
        <w:outlineLvl w:val="1"/>
        <w:rPr>
          <w:rFonts w:hint="eastAsia" w:ascii="仿宋_GB2312" w:hAnsi="仿宋_GB2312" w:eastAsia="仿宋_GB2312" w:cs="仿宋_GB2312"/>
          <w:sz w:val="28"/>
          <w:szCs w:val="28"/>
        </w:rPr>
      </w:pPr>
      <w:bookmarkStart w:id="0" w:name="_Toc24782"/>
      <w:bookmarkStart w:id="1" w:name="_Toc27606"/>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2</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商务评分表</w:t>
      </w:r>
      <w:r>
        <w:rPr>
          <w:rFonts w:hint="eastAsia" w:ascii="仿宋_GB2312" w:hAnsi="仿宋_GB2312" w:eastAsia="仿宋_GB2312" w:cs="仿宋_GB2312"/>
          <w:spacing w:val="-3"/>
          <w:sz w:val="28"/>
          <w:szCs w:val="28"/>
          <w:lang w:eastAsia="zh-CN"/>
          <w14:textOutline w14:w="5103" w14:cap="sq" w14:cmpd="sng">
            <w14:solidFill>
              <w14:srgbClr w14:val="000000"/>
            </w14:solidFill>
            <w14:prstDash w14:val="solid"/>
            <w14:bevel/>
          </w14:textOutli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3"/>
        <w:gridCol w:w="5805"/>
        <w:gridCol w:w="900"/>
        <w:gridCol w:w="850"/>
      </w:tblGrid>
      <w:tr w14:paraId="3CB79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3B08FEBB">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2" w:name="_Toc7853"/>
            <w:r>
              <w:rPr>
                <w:rFonts w:hint="eastAsia" w:ascii="仿宋_GB2312" w:hAnsi="仿宋_GB2312" w:eastAsia="仿宋_GB2312" w:cs="仿宋_GB2312"/>
                <w:b/>
                <w:bCs/>
                <w:sz w:val="28"/>
                <w:szCs w:val="28"/>
                <w:vertAlign w:val="baseline"/>
                <w:lang w:val="en-US" w:eastAsia="zh-CN"/>
              </w:rPr>
              <w:t>评审项目</w:t>
            </w:r>
            <w:bookmarkEnd w:id="2"/>
          </w:p>
        </w:tc>
        <w:tc>
          <w:tcPr>
            <w:tcW w:w="5805" w:type="dxa"/>
          </w:tcPr>
          <w:p w14:paraId="13559666">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3" w:name="_Toc17395"/>
            <w:r>
              <w:rPr>
                <w:rFonts w:hint="eastAsia" w:ascii="仿宋_GB2312" w:hAnsi="仿宋_GB2312" w:eastAsia="仿宋_GB2312" w:cs="仿宋_GB2312"/>
                <w:b/>
                <w:bCs/>
                <w:sz w:val="28"/>
                <w:szCs w:val="28"/>
                <w:vertAlign w:val="baseline"/>
                <w:lang w:val="en-US" w:eastAsia="zh-CN"/>
              </w:rPr>
              <w:t>评分标准</w:t>
            </w:r>
            <w:bookmarkEnd w:id="3"/>
          </w:p>
        </w:tc>
        <w:tc>
          <w:tcPr>
            <w:tcW w:w="900" w:type="dxa"/>
          </w:tcPr>
          <w:p w14:paraId="2B7DC172">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4" w:name="_Toc16603"/>
            <w:r>
              <w:rPr>
                <w:rFonts w:hint="eastAsia" w:ascii="仿宋_GB2312" w:hAnsi="仿宋_GB2312" w:eastAsia="仿宋_GB2312" w:cs="仿宋_GB2312"/>
                <w:b/>
                <w:bCs/>
                <w:sz w:val="28"/>
                <w:szCs w:val="28"/>
                <w:vertAlign w:val="baseline"/>
                <w:lang w:val="en-US" w:eastAsia="zh-CN"/>
              </w:rPr>
              <w:t>分值</w:t>
            </w:r>
            <w:bookmarkEnd w:id="4"/>
          </w:p>
        </w:tc>
        <w:tc>
          <w:tcPr>
            <w:tcW w:w="850" w:type="dxa"/>
          </w:tcPr>
          <w:p w14:paraId="7FDC87C8">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5" w:name="_Toc14247"/>
            <w:r>
              <w:rPr>
                <w:rFonts w:hint="eastAsia" w:ascii="仿宋_GB2312" w:hAnsi="仿宋_GB2312" w:eastAsia="仿宋_GB2312" w:cs="仿宋_GB2312"/>
                <w:b/>
                <w:bCs/>
                <w:sz w:val="28"/>
                <w:szCs w:val="28"/>
                <w:vertAlign w:val="baseline"/>
                <w:lang w:val="en-US" w:eastAsia="zh-CN"/>
              </w:rPr>
              <w:t>评分</w:t>
            </w:r>
            <w:bookmarkEnd w:id="5"/>
          </w:p>
        </w:tc>
      </w:tr>
      <w:tr w14:paraId="1BEA6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4D7F23C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Cs/>
                <w:sz w:val="28"/>
                <w:szCs w:val="28"/>
              </w:rPr>
              <w:t>同类项目经验</w:t>
            </w:r>
          </w:p>
        </w:tc>
        <w:tc>
          <w:tcPr>
            <w:tcW w:w="5805" w:type="dxa"/>
          </w:tcPr>
          <w:p w14:paraId="0E904C30">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cs="Times New Roman"/>
                <w:bCs w:val="0"/>
                <w:sz w:val="21"/>
                <w:szCs w:val="24"/>
                <w:lang w:val="en-US" w:eastAsia="zh-CN"/>
              </w:rPr>
              <w:t>提供</w:t>
            </w:r>
            <w:r>
              <w:rPr>
                <w:rFonts w:hint="eastAsia" w:ascii="Times New Roman" w:hAnsi="Times New Roman" w:eastAsia="宋体" w:cs="Times New Roman"/>
                <w:bCs w:val="0"/>
                <w:sz w:val="21"/>
                <w:szCs w:val="24"/>
              </w:rPr>
              <w:t>自202</w:t>
            </w:r>
            <w:r>
              <w:rPr>
                <w:rFonts w:hint="eastAsia" w:ascii="Times New Roman" w:hAnsi="Times New Roman" w:eastAsia="宋体" w:cs="Times New Roman"/>
                <w:bCs w:val="0"/>
                <w:sz w:val="21"/>
                <w:szCs w:val="24"/>
                <w:lang w:val="en-US" w:eastAsia="zh-CN"/>
              </w:rPr>
              <w:t>0</w:t>
            </w:r>
            <w:r>
              <w:rPr>
                <w:rFonts w:hint="eastAsia" w:ascii="Times New Roman" w:hAnsi="Times New Roman" w:eastAsia="宋体" w:cs="Times New Roman"/>
                <w:bCs w:val="0"/>
                <w:sz w:val="21"/>
                <w:szCs w:val="24"/>
              </w:rPr>
              <w:t>年1月1日至今（以合同签订日期为准）承接过的同类项目业绩情况。</w:t>
            </w:r>
          </w:p>
          <w:p w14:paraId="089C69C6">
            <w:pPr>
              <w:spacing w:before="93" w:beforeLines="30" w:after="93" w:afterLines="30"/>
              <w:rPr>
                <w:rFonts w:hint="eastAsia" w:ascii="Times New Roman" w:hAnsi="Times New Roman" w:eastAsia="宋体" w:cs="Times New Roman"/>
                <w:bCs w:val="0"/>
                <w:sz w:val="21"/>
                <w:szCs w:val="24"/>
              </w:rPr>
            </w:pPr>
            <w:r>
              <w:rPr>
                <w:rFonts w:hint="eastAsia" w:cs="Times New Roman"/>
                <w:bCs w:val="0"/>
                <w:sz w:val="21"/>
                <w:szCs w:val="24"/>
                <w:lang w:eastAsia="zh-CN"/>
              </w:rPr>
              <w:t>报价人</w:t>
            </w:r>
            <w:r>
              <w:rPr>
                <w:rFonts w:hint="eastAsia" w:ascii="Times New Roman" w:hAnsi="Times New Roman" w:eastAsia="宋体" w:cs="Times New Roman"/>
                <w:bCs w:val="0"/>
                <w:sz w:val="21"/>
                <w:szCs w:val="24"/>
              </w:rPr>
              <w:t>每提供一份符合要求的同类项目业绩证明材料，得</w:t>
            </w:r>
            <w:r>
              <w:rPr>
                <w:rFonts w:hint="eastAsia" w:ascii="Times New Roman" w:hAnsi="Times New Roman" w:eastAsia="宋体" w:cs="Times New Roman"/>
                <w:bCs w:val="0"/>
                <w:sz w:val="21"/>
                <w:szCs w:val="24"/>
                <w:lang w:val="en-US" w:eastAsia="zh-CN"/>
              </w:rPr>
              <w:t>5</w:t>
            </w:r>
            <w:r>
              <w:rPr>
                <w:rFonts w:hint="eastAsia" w:ascii="Times New Roman" w:hAnsi="Times New Roman" w:eastAsia="宋体" w:cs="Times New Roman"/>
                <w:bCs w:val="0"/>
                <w:sz w:val="21"/>
                <w:szCs w:val="24"/>
              </w:rPr>
              <w:t>分；本项最高得20分。</w:t>
            </w:r>
          </w:p>
          <w:p w14:paraId="540520D0">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评分说明：关于业绩范围的认定：</w:t>
            </w:r>
            <w:r>
              <w:rPr>
                <w:rFonts w:hint="eastAsia" w:ascii="Times New Roman" w:hAnsi="Times New Roman" w:eastAsia="宋体" w:cs="Times New Roman"/>
                <w:b w:val="0"/>
                <w:sz w:val="21"/>
                <w:szCs w:val="24"/>
              </w:rPr>
              <w:t>同类项目指团体接待服务项目</w:t>
            </w:r>
            <w:r>
              <w:rPr>
                <w:rFonts w:hint="eastAsia" w:ascii="Times New Roman" w:hAnsi="Times New Roman" w:eastAsia="宋体" w:cs="Times New Roman"/>
                <w:bCs w:val="0"/>
                <w:sz w:val="21"/>
                <w:szCs w:val="24"/>
              </w:rPr>
              <w:t>。</w:t>
            </w:r>
          </w:p>
          <w:p w14:paraId="5FA4BA81">
            <w:pPr>
              <w:spacing w:before="93" w:beforeLines="30" w:after="93" w:afterLines="30" w:line="240" w:lineRule="auto"/>
              <w:ind w:right="0"/>
              <w:jc w:val="left"/>
              <w:rPr>
                <w:rFonts w:hint="eastAsia" w:ascii="仿宋_GB2312" w:hAnsi="仿宋_GB2312" w:eastAsia="仿宋_GB2312" w:cs="仿宋_GB2312"/>
                <w:spacing w:val="-2"/>
                <w:sz w:val="24"/>
                <w:szCs w:val="24"/>
                <w:lang w:eastAsia="zh-CN"/>
              </w:rPr>
            </w:pPr>
            <w:r>
              <w:rPr>
                <w:rFonts w:hint="eastAsia" w:ascii="Times New Roman" w:hAnsi="Times New Roman" w:eastAsia="宋体" w:cs="Times New Roman"/>
                <w:bCs w:val="0"/>
                <w:sz w:val="21"/>
                <w:szCs w:val="24"/>
              </w:rPr>
              <w:t>注：须提供合同关键页复印件作为证明材料，有效证明材料须体现合同签订日期、合同服务内容、签字盖章页等关键内容。证明材料不完整、不清晰、评标委员会无法确定业绩关键信息的将不予认可。</w:t>
            </w:r>
          </w:p>
        </w:tc>
        <w:tc>
          <w:tcPr>
            <w:tcW w:w="900" w:type="dxa"/>
          </w:tcPr>
          <w:p w14:paraId="23348E3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20</w:t>
            </w:r>
          </w:p>
        </w:tc>
        <w:tc>
          <w:tcPr>
            <w:tcW w:w="850" w:type="dxa"/>
          </w:tcPr>
          <w:p w14:paraId="0C65DCA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6C8A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393" w:type="dxa"/>
          </w:tcPr>
          <w:p w14:paraId="43727D0A">
            <w:pPr>
              <w:spacing w:before="91" w:line="461" w:lineRule="exact"/>
              <w:jc w:val="center"/>
              <w:rPr>
                <w:rFonts w:hint="eastAsia" w:ascii="仿宋_GB2312" w:hAnsi="仿宋_GB2312" w:eastAsia="仿宋_GB2312" w:cs="仿宋_GB2312"/>
                <w:bCs/>
                <w:sz w:val="28"/>
                <w:szCs w:val="28"/>
              </w:rPr>
            </w:pPr>
            <w:bookmarkStart w:id="6" w:name="_Toc8168"/>
            <w:r>
              <w:rPr>
                <w:rFonts w:hint="eastAsia" w:ascii="仿宋_GB2312" w:hAnsi="仿宋_GB2312" w:eastAsia="仿宋_GB2312" w:cs="仿宋_GB2312"/>
                <w:bCs/>
                <w:sz w:val="28"/>
                <w:szCs w:val="28"/>
              </w:rPr>
              <w:t>客户满意度评价情况</w:t>
            </w:r>
          </w:p>
        </w:tc>
        <w:tc>
          <w:tcPr>
            <w:tcW w:w="5805" w:type="dxa"/>
          </w:tcPr>
          <w:p w14:paraId="5CFD49FB">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cs="Times New Roman"/>
                <w:bCs w:val="0"/>
                <w:sz w:val="21"/>
                <w:szCs w:val="24"/>
                <w:lang w:val="en-US" w:eastAsia="zh-CN"/>
              </w:rPr>
              <w:t>提供</w:t>
            </w:r>
            <w:r>
              <w:rPr>
                <w:rFonts w:hint="eastAsia" w:ascii="Times New Roman" w:hAnsi="Times New Roman" w:eastAsia="宋体" w:cs="Times New Roman"/>
                <w:bCs w:val="0"/>
                <w:sz w:val="21"/>
                <w:szCs w:val="24"/>
              </w:rPr>
              <w:t>以往服务项目的客户满意度评价情况。具体如下：</w:t>
            </w:r>
          </w:p>
          <w:p w14:paraId="4AD50924">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根据上述“同类项目经验”提供的有效业绩中，获得客户单位的表扬信或感谢信或满意度正面评价证明的，每提供一份有效证明材料，得1分；本项最高得</w:t>
            </w:r>
            <w:r>
              <w:rPr>
                <w:rFonts w:hint="eastAsia" w:cs="Times New Roman"/>
                <w:bCs w:val="0"/>
                <w:sz w:val="21"/>
                <w:szCs w:val="24"/>
                <w:lang w:val="en-US" w:eastAsia="zh-CN"/>
              </w:rPr>
              <w:t>5</w:t>
            </w:r>
            <w:r>
              <w:rPr>
                <w:rFonts w:hint="eastAsia" w:ascii="Times New Roman" w:hAnsi="Times New Roman" w:eastAsia="宋体" w:cs="Times New Roman"/>
                <w:bCs w:val="0"/>
                <w:sz w:val="21"/>
                <w:szCs w:val="24"/>
              </w:rPr>
              <w:t>分。</w:t>
            </w:r>
          </w:p>
          <w:p w14:paraId="2D7F2592">
            <w:pPr>
              <w:spacing w:before="93" w:beforeLines="30" w:after="93" w:afterLines="30" w:line="240" w:lineRule="auto"/>
              <w:ind w:right="0"/>
              <w:jc w:val="left"/>
              <w:rPr>
                <w:rFonts w:hint="eastAsia" w:ascii="仿宋_GB2312" w:hAnsi="仿宋_GB2312" w:eastAsia="仿宋_GB2312" w:cs="仿宋_GB2312"/>
                <w:bCs/>
                <w:sz w:val="24"/>
                <w:szCs w:val="24"/>
              </w:rPr>
            </w:pPr>
            <w:r>
              <w:rPr>
                <w:rFonts w:hint="eastAsia" w:ascii="Times New Roman" w:hAnsi="Times New Roman" w:eastAsia="宋体" w:cs="Times New Roman"/>
                <w:bCs w:val="0"/>
                <w:sz w:val="21"/>
                <w:szCs w:val="24"/>
              </w:rPr>
              <w:t>注：须提供有效业绩合同甲方或甲方项目主管部门盖章的满意度评价文件，不提供不得分。同一客户单位提供多份评价的只按一份计算。</w:t>
            </w:r>
          </w:p>
        </w:tc>
        <w:tc>
          <w:tcPr>
            <w:tcW w:w="900" w:type="dxa"/>
          </w:tcPr>
          <w:p w14:paraId="67C6C32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5</w:t>
            </w:r>
          </w:p>
        </w:tc>
        <w:tc>
          <w:tcPr>
            <w:tcW w:w="850" w:type="dxa"/>
          </w:tcPr>
          <w:p w14:paraId="109CBE2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29E65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25B5791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合计</w:t>
            </w:r>
            <w:bookmarkEnd w:id="6"/>
          </w:p>
        </w:tc>
        <w:tc>
          <w:tcPr>
            <w:tcW w:w="5805" w:type="dxa"/>
          </w:tcPr>
          <w:p w14:paraId="1C93018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c>
          <w:tcPr>
            <w:tcW w:w="900" w:type="dxa"/>
          </w:tcPr>
          <w:p w14:paraId="51C8AED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25</w:t>
            </w:r>
          </w:p>
        </w:tc>
        <w:tc>
          <w:tcPr>
            <w:tcW w:w="850" w:type="dxa"/>
          </w:tcPr>
          <w:p w14:paraId="6DA97F4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bl>
    <w:p w14:paraId="0F705E64">
      <w:pPr>
        <w:pStyle w:val="6"/>
        <w:spacing w:before="91" w:line="223" w:lineRule="auto"/>
        <w:ind w:left="558"/>
        <w:outlineLvl w:val="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3</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技术评分表</w:t>
      </w:r>
      <w:r>
        <w:rPr>
          <w:rFonts w:hint="eastAsia" w:ascii="仿宋_GB2312" w:hAnsi="仿宋_GB2312" w:eastAsia="仿宋_GB2312" w:cs="仿宋_GB2312"/>
          <w:spacing w:val="-3"/>
          <w:sz w:val="28"/>
          <w:szCs w:val="28"/>
          <w:lang w:eastAsia="zh-CN"/>
          <w14:textOutline w14:w="5103" w14:cap="sq" w14:cmpd="sng">
            <w14:solidFill>
              <w14:srgbClr w14:val="000000"/>
            </w14:solidFill>
            <w14:prstDash w14:val="solid"/>
            <w14:bevel/>
          </w14:textOutli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5805"/>
        <w:gridCol w:w="915"/>
        <w:gridCol w:w="835"/>
      </w:tblGrid>
      <w:tr w14:paraId="2D49E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60D7A433">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7" w:name="_Toc8398"/>
            <w:r>
              <w:rPr>
                <w:rFonts w:hint="eastAsia" w:ascii="仿宋_GB2312" w:hAnsi="仿宋_GB2312" w:eastAsia="仿宋_GB2312" w:cs="仿宋_GB2312"/>
                <w:b/>
                <w:bCs/>
                <w:sz w:val="28"/>
                <w:szCs w:val="28"/>
                <w:vertAlign w:val="baseline"/>
                <w:lang w:val="en-US" w:eastAsia="zh-CN"/>
              </w:rPr>
              <w:t>评审项目</w:t>
            </w:r>
            <w:bookmarkEnd w:id="7"/>
          </w:p>
        </w:tc>
        <w:tc>
          <w:tcPr>
            <w:tcW w:w="5805" w:type="dxa"/>
          </w:tcPr>
          <w:p w14:paraId="2BC75778">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8" w:name="_Toc5264"/>
            <w:r>
              <w:rPr>
                <w:rFonts w:hint="eastAsia" w:ascii="仿宋_GB2312" w:hAnsi="仿宋_GB2312" w:eastAsia="仿宋_GB2312" w:cs="仿宋_GB2312"/>
                <w:b/>
                <w:bCs/>
                <w:sz w:val="28"/>
                <w:szCs w:val="28"/>
                <w:vertAlign w:val="baseline"/>
                <w:lang w:val="en-US" w:eastAsia="zh-CN"/>
              </w:rPr>
              <w:t>评分标准</w:t>
            </w:r>
            <w:bookmarkEnd w:id="8"/>
          </w:p>
        </w:tc>
        <w:tc>
          <w:tcPr>
            <w:tcW w:w="915" w:type="dxa"/>
          </w:tcPr>
          <w:p w14:paraId="1DCEDE29">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9" w:name="_Toc10890"/>
            <w:r>
              <w:rPr>
                <w:rFonts w:hint="eastAsia" w:ascii="仿宋_GB2312" w:hAnsi="仿宋_GB2312" w:eastAsia="仿宋_GB2312" w:cs="仿宋_GB2312"/>
                <w:b/>
                <w:bCs/>
                <w:sz w:val="28"/>
                <w:szCs w:val="28"/>
                <w:vertAlign w:val="baseline"/>
                <w:lang w:val="en-US" w:eastAsia="zh-CN"/>
              </w:rPr>
              <w:t>分值</w:t>
            </w:r>
            <w:bookmarkEnd w:id="9"/>
          </w:p>
        </w:tc>
        <w:tc>
          <w:tcPr>
            <w:tcW w:w="835" w:type="dxa"/>
          </w:tcPr>
          <w:p w14:paraId="05983B35">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10" w:name="_Toc18057"/>
            <w:r>
              <w:rPr>
                <w:rFonts w:hint="eastAsia" w:ascii="仿宋_GB2312" w:hAnsi="仿宋_GB2312" w:eastAsia="仿宋_GB2312" w:cs="仿宋_GB2312"/>
                <w:b/>
                <w:bCs/>
                <w:sz w:val="28"/>
                <w:szCs w:val="28"/>
                <w:vertAlign w:val="baseline"/>
                <w:lang w:val="en-US" w:eastAsia="zh-CN"/>
              </w:rPr>
              <w:t>评分</w:t>
            </w:r>
            <w:bookmarkEnd w:id="10"/>
          </w:p>
        </w:tc>
      </w:tr>
      <w:tr w14:paraId="4CB0E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0A26F014">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Cs/>
                <w:sz w:val="28"/>
                <w:szCs w:val="28"/>
              </w:rPr>
              <w:t>接待服务方案</w:t>
            </w:r>
          </w:p>
        </w:tc>
        <w:tc>
          <w:tcPr>
            <w:tcW w:w="5805" w:type="dxa"/>
          </w:tcPr>
          <w:p w14:paraId="4C42E234">
            <w:pPr>
              <w:spacing w:before="93" w:beforeLines="30" w:after="93" w:afterLines="30"/>
              <w:rPr>
                <w:rFonts w:hint="eastAsia"/>
              </w:rPr>
            </w:pPr>
            <w:r>
              <w:rPr>
                <w:rFonts w:hint="eastAsia"/>
              </w:rPr>
              <w:t>针对本次接待所制定的整体接待服务方案（包括但不限于提供食宿、交通安排、当地地陪等服务）。</w:t>
            </w:r>
            <w:r>
              <w:rPr>
                <w:rFonts w:hint="eastAsia"/>
                <w:lang w:eastAsia="zh-CN"/>
              </w:rPr>
              <w:t>报价人</w:t>
            </w:r>
            <w:r>
              <w:rPr>
                <w:rFonts w:hint="eastAsia"/>
              </w:rPr>
              <w:t>需结合本项目的工作内容要求拟定工作流程，制定接待服务方案。根据服务方案的优劣情况进行横向对比，具体如下：</w:t>
            </w:r>
          </w:p>
          <w:p w14:paraId="1726B165">
            <w:pPr>
              <w:spacing w:before="93" w:beforeLines="30" w:after="93" w:afterLines="30"/>
              <w:rPr>
                <w:rFonts w:hint="eastAsia"/>
              </w:rPr>
            </w:pPr>
            <w:r>
              <w:rPr>
                <w:rFonts w:hint="eastAsia"/>
              </w:rPr>
              <w:t>1、整体接待服务方案清晰合理，服务方案切实可行，得</w:t>
            </w:r>
            <w:r>
              <w:rPr>
                <w:rFonts w:hint="eastAsia"/>
                <w:lang w:val="en-US" w:eastAsia="zh-CN"/>
              </w:rPr>
              <w:t>2</w:t>
            </w:r>
            <w:r>
              <w:rPr>
                <w:rFonts w:hint="eastAsia"/>
              </w:rPr>
              <w:t>5分；</w:t>
            </w:r>
          </w:p>
          <w:p w14:paraId="6429E930">
            <w:pPr>
              <w:spacing w:before="93" w:beforeLines="30" w:after="93" w:afterLines="30"/>
              <w:rPr>
                <w:rFonts w:hint="eastAsia"/>
              </w:rPr>
            </w:pPr>
            <w:r>
              <w:rPr>
                <w:rFonts w:hint="eastAsia"/>
              </w:rPr>
              <w:t>2、整体接待服务方案基本清晰，服务方案有一定可行性，得1</w:t>
            </w:r>
            <w:r>
              <w:rPr>
                <w:rFonts w:hint="eastAsia"/>
                <w:lang w:val="en-US" w:eastAsia="zh-CN"/>
              </w:rPr>
              <w:t>5</w:t>
            </w:r>
            <w:r>
              <w:rPr>
                <w:rFonts w:hint="eastAsia"/>
              </w:rPr>
              <w:t>分；</w:t>
            </w:r>
          </w:p>
          <w:p w14:paraId="1ED1DB3F">
            <w:pPr>
              <w:spacing w:before="93" w:beforeLines="30" w:after="93" w:afterLines="30"/>
              <w:rPr>
                <w:rFonts w:hint="eastAsia"/>
              </w:rPr>
            </w:pPr>
            <w:r>
              <w:rPr>
                <w:rFonts w:hint="eastAsia"/>
              </w:rPr>
              <w:t>3、整体接待服务方案较为笼统，服务方案内容不完整，得5分；</w:t>
            </w:r>
          </w:p>
          <w:p w14:paraId="1105577F">
            <w:pPr>
              <w:spacing w:before="46" w:line="234" w:lineRule="auto"/>
              <w:ind w:right="183"/>
              <w:jc w:val="both"/>
              <w:rPr>
                <w:rFonts w:hint="eastAsia" w:ascii="仿宋_GB2312" w:hAnsi="仿宋_GB2312" w:eastAsia="仿宋_GB2312" w:cs="仿宋_GB2312"/>
                <w:spacing w:val="-2"/>
                <w:sz w:val="24"/>
                <w:szCs w:val="24"/>
                <w:lang w:eastAsia="zh-CN"/>
              </w:rPr>
            </w:pPr>
            <w:r>
              <w:rPr>
                <w:rFonts w:hint="eastAsia"/>
              </w:rPr>
              <w:t>4、未提供相关内容则不得分。</w:t>
            </w:r>
          </w:p>
        </w:tc>
        <w:tc>
          <w:tcPr>
            <w:tcW w:w="915" w:type="dxa"/>
          </w:tcPr>
          <w:p w14:paraId="68B2506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25</w:t>
            </w:r>
          </w:p>
        </w:tc>
        <w:tc>
          <w:tcPr>
            <w:tcW w:w="835" w:type="dxa"/>
          </w:tcPr>
          <w:p w14:paraId="67389BC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7676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393" w:type="dxa"/>
          </w:tcPr>
          <w:p w14:paraId="5573E07D">
            <w:pPr>
              <w:spacing w:before="91" w:line="461" w:lineRule="exact"/>
              <w:jc w:val="center"/>
              <w:rPr>
                <w:rFonts w:hint="eastAsia" w:ascii="仿宋_GB2312" w:hAnsi="仿宋_GB2312" w:eastAsia="仿宋_GB2312" w:cs="仿宋_GB2312"/>
                <w:bCs/>
                <w:sz w:val="28"/>
                <w:szCs w:val="28"/>
              </w:rPr>
            </w:pPr>
            <w:bookmarkStart w:id="11" w:name="_Toc14945"/>
            <w:r>
              <w:rPr>
                <w:rFonts w:hint="eastAsia" w:ascii="仿宋_GB2312" w:hAnsi="仿宋_GB2312" w:eastAsia="仿宋_GB2312" w:cs="仿宋_GB2312"/>
                <w:bCs/>
                <w:sz w:val="28"/>
                <w:szCs w:val="28"/>
              </w:rPr>
              <w:t>团队配置及</w:t>
            </w:r>
            <w:bookmarkStart w:id="12" w:name="_Hlk163578317"/>
            <w:r>
              <w:rPr>
                <w:rFonts w:hint="eastAsia" w:ascii="仿宋_GB2312" w:hAnsi="仿宋_GB2312" w:eastAsia="仿宋_GB2312" w:cs="仿宋_GB2312"/>
                <w:bCs/>
                <w:sz w:val="28"/>
                <w:szCs w:val="28"/>
              </w:rPr>
              <w:t>地陪</w:t>
            </w:r>
            <w:bookmarkEnd w:id="12"/>
            <w:r>
              <w:rPr>
                <w:rFonts w:hint="eastAsia" w:ascii="仿宋_GB2312" w:hAnsi="仿宋_GB2312" w:eastAsia="仿宋_GB2312" w:cs="仿宋_GB2312"/>
                <w:bCs/>
                <w:sz w:val="28"/>
                <w:szCs w:val="28"/>
              </w:rPr>
              <w:t>服务</w:t>
            </w:r>
          </w:p>
        </w:tc>
        <w:tc>
          <w:tcPr>
            <w:tcW w:w="5805" w:type="dxa"/>
          </w:tcPr>
          <w:p w14:paraId="56296CF1">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针对本次</w:t>
            </w:r>
            <w:r>
              <w:rPr>
                <w:rFonts w:hint="eastAsia" w:ascii="Times New Roman" w:hAnsi="Times New Roman" w:eastAsia="宋体" w:cs="Times New Roman"/>
                <w:bCs w:val="0"/>
                <w:sz w:val="21"/>
                <w:szCs w:val="24"/>
                <w:lang w:eastAsia="zh-CN"/>
              </w:rPr>
              <w:t>接待</w:t>
            </w:r>
            <w:r>
              <w:rPr>
                <w:rFonts w:hint="eastAsia" w:ascii="Times New Roman" w:hAnsi="Times New Roman" w:eastAsia="宋体" w:cs="Times New Roman"/>
                <w:bCs w:val="0"/>
                <w:sz w:val="21"/>
                <w:szCs w:val="24"/>
              </w:rPr>
              <w:t>所投入的团队配置及地陪服务情况。根据优劣情况进行横向比较，具体如下：</w:t>
            </w:r>
          </w:p>
          <w:p w14:paraId="343BE1F4">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1、服务团队人员配置合理，设置专职的对接人员及地陪人员，各人员分工明确且具备接待服务经验，能够对应提供地陪服务，能够满足实际需求，得</w:t>
            </w:r>
            <w:r>
              <w:rPr>
                <w:rFonts w:hint="eastAsia" w:ascii="Times New Roman" w:hAnsi="Times New Roman" w:eastAsia="宋体" w:cs="Times New Roman"/>
                <w:bCs w:val="0"/>
                <w:sz w:val="21"/>
                <w:szCs w:val="24"/>
                <w:lang w:val="en-US" w:eastAsia="zh-CN"/>
              </w:rPr>
              <w:t>1</w:t>
            </w:r>
            <w:r>
              <w:rPr>
                <w:rFonts w:hint="eastAsia" w:ascii="Times New Roman" w:hAnsi="Times New Roman" w:eastAsia="宋体" w:cs="Times New Roman"/>
                <w:bCs w:val="0"/>
                <w:sz w:val="21"/>
                <w:szCs w:val="24"/>
              </w:rPr>
              <w:t>5分；</w:t>
            </w:r>
          </w:p>
          <w:p w14:paraId="0D327C92">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2、服务团队人员配置较合理，列有对接人员及地陪人员介绍，分工较为明确能够提供地陪服务，得</w:t>
            </w:r>
            <w:r>
              <w:rPr>
                <w:rFonts w:hint="eastAsia" w:ascii="Times New Roman" w:hAnsi="Times New Roman" w:eastAsia="宋体" w:cs="Times New Roman"/>
                <w:bCs w:val="0"/>
                <w:sz w:val="21"/>
                <w:szCs w:val="24"/>
                <w:lang w:val="en-US" w:eastAsia="zh-CN"/>
              </w:rPr>
              <w:t>10</w:t>
            </w:r>
            <w:r>
              <w:rPr>
                <w:rFonts w:hint="eastAsia" w:ascii="Times New Roman" w:hAnsi="Times New Roman" w:eastAsia="宋体" w:cs="Times New Roman"/>
                <w:bCs w:val="0"/>
                <w:sz w:val="21"/>
                <w:szCs w:val="24"/>
              </w:rPr>
              <w:t>分；</w:t>
            </w:r>
          </w:p>
          <w:p w14:paraId="17F632D3">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3、列有服务团队人员清单，整体配置一般，分工不明确，整体情况较差，得</w:t>
            </w:r>
            <w:r>
              <w:rPr>
                <w:rFonts w:hint="eastAsia" w:ascii="Times New Roman" w:hAnsi="Times New Roman" w:eastAsia="宋体" w:cs="Times New Roman"/>
                <w:bCs w:val="0"/>
                <w:sz w:val="21"/>
                <w:szCs w:val="24"/>
                <w:lang w:val="en-US" w:eastAsia="zh-CN"/>
              </w:rPr>
              <w:t>5</w:t>
            </w:r>
            <w:r>
              <w:rPr>
                <w:rFonts w:hint="eastAsia" w:ascii="Times New Roman" w:hAnsi="Times New Roman" w:eastAsia="宋体" w:cs="Times New Roman"/>
                <w:bCs w:val="0"/>
                <w:sz w:val="21"/>
                <w:szCs w:val="24"/>
              </w:rPr>
              <w:t>分。</w:t>
            </w:r>
          </w:p>
          <w:p w14:paraId="0CB6A6B1">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4、未提供相关内容则不得分。</w:t>
            </w:r>
          </w:p>
          <w:p w14:paraId="2DDCD9D0">
            <w:pPr>
              <w:spacing w:before="93" w:beforeLines="30" w:after="93" w:afterLines="30" w:line="240" w:lineRule="auto"/>
              <w:ind w:right="0"/>
              <w:jc w:val="left"/>
              <w:rPr>
                <w:rFonts w:hint="eastAsia" w:ascii="仿宋_GB2312" w:hAnsi="仿宋_GB2312" w:eastAsia="仿宋_GB2312" w:cs="仿宋_GB2312"/>
                <w:bCs/>
                <w:sz w:val="24"/>
                <w:szCs w:val="24"/>
              </w:rPr>
            </w:pPr>
            <w:r>
              <w:rPr>
                <w:rFonts w:hint="eastAsia" w:ascii="Times New Roman" w:hAnsi="Times New Roman" w:eastAsia="宋体" w:cs="Times New Roman"/>
                <w:bCs w:val="0"/>
                <w:sz w:val="21"/>
                <w:szCs w:val="24"/>
              </w:rPr>
              <w:t>注：需提供服务团队人员情况，并列有各人员的信息情况。</w:t>
            </w:r>
          </w:p>
        </w:tc>
        <w:tc>
          <w:tcPr>
            <w:tcW w:w="915" w:type="dxa"/>
          </w:tcPr>
          <w:p w14:paraId="2D8D276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15</w:t>
            </w:r>
          </w:p>
        </w:tc>
        <w:tc>
          <w:tcPr>
            <w:tcW w:w="835" w:type="dxa"/>
          </w:tcPr>
          <w:p w14:paraId="660D6FD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334E3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393" w:type="dxa"/>
          </w:tcPr>
          <w:p w14:paraId="067F22E4">
            <w:pPr>
              <w:spacing w:before="91" w:line="461"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服务</w:t>
            </w:r>
            <w:r>
              <w:rPr>
                <w:rFonts w:hint="eastAsia" w:ascii="仿宋_GB2312" w:hAnsi="仿宋_GB2312" w:eastAsia="仿宋_GB2312" w:cs="仿宋_GB2312"/>
                <w:bCs/>
                <w:sz w:val="28"/>
                <w:szCs w:val="28"/>
              </w:rPr>
              <w:t>质量控制措施</w:t>
            </w:r>
          </w:p>
        </w:tc>
        <w:tc>
          <w:tcPr>
            <w:tcW w:w="5805" w:type="dxa"/>
          </w:tcPr>
          <w:p w14:paraId="7003735D">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针对为本项目拟定的</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质量控制措施。</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质量控制措施包含不限于</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质量目标、对接协调服务、人员安全保障等。根据</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质量控制措施的优劣情况进行横向比较，具体如下：</w:t>
            </w:r>
          </w:p>
          <w:p w14:paraId="5EC64E05">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1、</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质量管控措施详细合理，列有详细的对接协调响应和人员安全保障等内容，可执行性强，能够起到</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质量管控效果，得5分；</w:t>
            </w:r>
          </w:p>
          <w:p w14:paraId="34EEBA35">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2、</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质量管控措施较为合理，列有简单的对接协调响应和人员安全保障等内容，基本能够达到质量管控效果，得3分；</w:t>
            </w:r>
          </w:p>
          <w:p w14:paraId="2A398779">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3、</w:t>
            </w:r>
            <w:r>
              <w:rPr>
                <w:rFonts w:hint="eastAsia" w:ascii="Times New Roman" w:hAnsi="Times New Roman" w:cs="Times New Roman"/>
                <w:bCs w:val="0"/>
                <w:sz w:val="21"/>
                <w:szCs w:val="24"/>
                <w:lang w:val="en-US" w:eastAsia="zh-CN"/>
              </w:rPr>
              <w:t>服务</w:t>
            </w:r>
            <w:r>
              <w:rPr>
                <w:rFonts w:hint="eastAsia" w:ascii="Times New Roman" w:hAnsi="Times New Roman" w:eastAsia="宋体" w:cs="Times New Roman"/>
                <w:bCs w:val="0"/>
                <w:sz w:val="21"/>
                <w:szCs w:val="24"/>
              </w:rPr>
              <w:t>质量管控措施一般，各部分内容描述较为笼统，可执行较差，得1分；</w:t>
            </w:r>
          </w:p>
          <w:p w14:paraId="25C6E13D">
            <w:pPr>
              <w:spacing w:before="93" w:beforeLines="30" w:after="93" w:afterLines="30" w:line="240" w:lineRule="auto"/>
              <w:ind w:right="0"/>
              <w:jc w:val="left"/>
              <w:rPr>
                <w:rFonts w:hint="eastAsia" w:ascii="仿宋_GB2312" w:hAnsi="仿宋_GB2312" w:eastAsia="仿宋_GB2312" w:cs="仿宋_GB2312"/>
                <w:bCs/>
                <w:sz w:val="24"/>
                <w:szCs w:val="24"/>
              </w:rPr>
            </w:pPr>
            <w:r>
              <w:rPr>
                <w:rFonts w:hint="eastAsia" w:ascii="Times New Roman" w:hAnsi="Times New Roman" w:eastAsia="宋体" w:cs="Times New Roman"/>
                <w:bCs w:val="0"/>
                <w:sz w:val="21"/>
                <w:szCs w:val="24"/>
              </w:rPr>
              <w:t>4、未提供相关内容则不得分。</w:t>
            </w:r>
          </w:p>
        </w:tc>
        <w:tc>
          <w:tcPr>
            <w:tcW w:w="915" w:type="dxa"/>
          </w:tcPr>
          <w:p w14:paraId="298F1E2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5</w:t>
            </w:r>
          </w:p>
        </w:tc>
        <w:tc>
          <w:tcPr>
            <w:tcW w:w="835" w:type="dxa"/>
          </w:tcPr>
          <w:p w14:paraId="3740952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1914F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393" w:type="dxa"/>
          </w:tcPr>
          <w:p w14:paraId="5A35D552">
            <w:pPr>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应急保障方案</w:t>
            </w:r>
          </w:p>
        </w:tc>
        <w:tc>
          <w:tcPr>
            <w:tcW w:w="5805" w:type="dxa"/>
          </w:tcPr>
          <w:p w14:paraId="428EBF85">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cs="Times New Roman"/>
                <w:bCs w:val="0"/>
                <w:sz w:val="21"/>
                <w:szCs w:val="24"/>
                <w:lang w:val="en-US" w:eastAsia="zh-CN"/>
              </w:rPr>
              <w:t>针对</w:t>
            </w:r>
            <w:r>
              <w:rPr>
                <w:rFonts w:hint="eastAsia" w:ascii="Times New Roman" w:hAnsi="Times New Roman" w:eastAsia="宋体" w:cs="Times New Roman"/>
                <w:bCs w:val="0"/>
                <w:sz w:val="21"/>
                <w:szCs w:val="24"/>
              </w:rPr>
              <w:t>本项目拟定的应急保障方案。应急保障方案包含不限于应急设备、应急人员、应急物资等，并提供适用于本项目的应急处理方案：</w:t>
            </w:r>
          </w:p>
          <w:p w14:paraId="66368D76">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1、列有应急设备、应急人员、应急物资，应急方案及措施完善且切实可行，可操作性高，得5分；</w:t>
            </w:r>
          </w:p>
          <w:p w14:paraId="74E157BF">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2、列有应急设备、应急人员、应急物资，应急方案及措施一般，可操作性基本可行，得3分；</w:t>
            </w:r>
          </w:p>
          <w:p w14:paraId="62758B41">
            <w:pPr>
              <w:spacing w:before="93" w:beforeLines="30" w:after="93" w:afterLines="30"/>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3、所列的应急设备、应急人员、应急物资不足，应急方案及措施不完善，可操作性差，得1分；</w:t>
            </w:r>
          </w:p>
          <w:p w14:paraId="41578243">
            <w:pPr>
              <w:spacing w:before="93" w:beforeLines="30" w:after="93" w:afterLines="30" w:line="240" w:lineRule="auto"/>
              <w:ind w:right="0"/>
              <w:jc w:val="left"/>
              <w:rPr>
                <w:rFonts w:hint="eastAsia" w:ascii="仿宋_GB2312" w:hAnsi="仿宋_GB2312" w:eastAsia="仿宋_GB2312" w:cs="仿宋_GB2312"/>
                <w:bCs/>
                <w:sz w:val="24"/>
                <w:szCs w:val="24"/>
              </w:rPr>
            </w:pPr>
            <w:r>
              <w:rPr>
                <w:rFonts w:hint="eastAsia" w:ascii="Times New Roman" w:hAnsi="Times New Roman" w:eastAsia="宋体" w:cs="Times New Roman"/>
                <w:bCs w:val="0"/>
                <w:sz w:val="21"/>
                <w:szCs w:val="24"/>
              </w:rPr>
              <w:t>4、未提供相关内容则不得分。</w:t>
            </w:r>
          </w:p>
        </w:tc>
        <w:tc>
          <w:tcPr>
            <w:tcW w:w="915" w:type="dxa"/>
          </w:tcPr>
          <w:p w14:paraId="6140E5E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_GB2312" w:hAnsi="仿宋_GB2312" w:eastAsia="仿宋_GB2312" w:cs="仿宋_GB2312"/>
                <w:b w:val="0"/>
                <w:bCs w:val="0"/>
                <w:sz w:val="28"/>
                <w:szCs w:val="28"/>
                <w:vertAlign w:val="baseline"/>
                <w:lang w:val="en-US" w:eastAsia="zh-CN"/>
              </w:rPr>
            </w:pPr>
            <w:r>
              <w:rPr>
                <w:rFonts w:hint="eastAsia" w:ascii="仿宋_GB2312" w:hAnsi="仿宋_GB2312" w:eastAsia="仿宋_GB2312" w:cs="仿宋_GB2312"/>
                <w:b w:val="0"/>
                <w:bCs w:val="0"/>
                <w:sz w:val="28"/>
                <w:szCs w:val="28"/>
                <w:vertAlign w:val="baseline"/>
                <w:lang w:val="en-US" w:eastAsia="zh-CN"/>
              </w:rPr>
              <w:t>5</w:t>
            </w:r>
          </w:p>
        </w:tc>
        <w:tc>
          <w:tcPr>
            <w:tcW w:w="835" w:type="dxa"/>
          </w:tcPr>
          <w:p w14:paraId="0625757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r w14:paraId="0747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14:paraId="6593651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合计</w:t>
            </w:r>
            <w:bookmarkEnd w:id="11"/>
          </w:p>
        </w:tc>
        <w:tc>
          <w:tcPr>
            <w:tcW w:w="5805" w:type="dxa"/>
          </w:tcPr>
          <w:p w14:paraId="42DFD02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c>
          <w:tcPr>
            <w:tcW w:w="915" w:type="dxa"/>
          </w:tcPr>
          <w:p w14:paraId="2BB53EB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50</w:t>
            </w:r>
          </w:p>
        </w:tc>
        <w:tc>
          <w:tcPr>
            <w:tcW w:w="835" w:type="dxa"/>
          </w:tcPr>
          <w:p w14:paraId="2F9BFB1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仿宋_GB2312" w:hAnsi="仿宋_GB2312" w:eastAsia="仿宋_GB2312" w:cs="仿宋_GB2312"/>
                <w:b/>
                <w:bCs/>
                <w:sz w:val="28"/>
                <w:szCs w:val="28"/>
                <w:vertAlign w:val="baseline"/>
                <w:lang w:eastAsia="zh-CN"/>
              </w:rPr>
            </w:pPr>
          </w:p>
        </w:tc>
      </w:tr>
    </w:tbl>
    <w:p w14:paraId="2FF7EC02">
      <w:pPr>
        <w:pStyle w:val="6"/>
        <w:spacing w:before="91" w:line="223" w:lineRule="auto"/>
        <w:ind w:left="558"/>
        <w:outlineLvl w:val="1"/>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4</w:t>
      </w:r>
      <w:r>
        <w:rPr>
          <w:rFonts w:hint="eastAsia" w:ascii="仿宋_GB2312" w:hAnsi="仿宋_GB2312" w:eastAsia="仿宋_GB2312" w:cs="仿宋_GB2312"/>
          <w:spacing w:val="-3"/>
          <w:sz w:val="28"/>
          <w:szCs w:val="28"/>
          <w14:textOutline w14:w="5103" w14:cap="sq" w14:cmpd="sng">
            <w14:solidFill>
              <w14:srgbClr w14:val="000000"/>
            </w14:solidFill>
            <w14:prstDash w14:val="solid"/>
            <w14:bevel/>
          </w14:textOutline>
        </w:rPr>
        <w:t>）</w:t>
      </w:r>
      <w:r>
        <w:rPr>
          <w:rFonts w:hint="eastAsia" w:ascii="仿宋_GB2312" w:hAnsi="仿宋_GB2312" w:eastAsia="仿宋_GB2312" w:cs="仿宋_GB2312"/>
          <w:spacing w:val="-3"/>
          <w:sz w:val="28"/>
          <w:szCs w:val="28"/>
          <w:lang w:val="en-US" w:eastAsia="zh-CN"/>
          <w14:textOutline w14:w="5103" w14:cap="sq" w14:cmpd="sng">
            <w14:solidFill>
              <w14:srgbClr w14:val="000000"/>
            </w14:solidFill>
            <w14:prstDash w14:val="solid"/>
            <w14:bevel/>
          </w14:textOutline>
        </w:rPr>
        <w:t>价格评分表</w:t>
      </w:r>
      <w:r>
        <w:rPr>
          <w:rFonts w:hint="eastAsia" w:ascii="仿宋_GB2312" w:hAnsi="仿宋_GB2312" w:eastAsia="仿宋_GB2312" w:cs="仿宋_GB2312"/>
          <w:spacing w:val="-3"/>
          <w:sz w:val="28"/>
          <w:szCs w:val="28"/>
          <w:lang w:eastAsia="zh-CN"/>
          <w14:textOutline w14:w="5103" w14:cap="sq" w14:cmpd="sng">
            <w14:solidFill>
              <w14:srgbClr w14:val="000000"/>
            </w14:solidFill>
            <w14:prstDash w14:val="solid"/>
            <w14:bevel/>
          </w14:textOutli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5790"/>
        <w:gridCol w:w="915"/>
        <w:gridCol w:w="835"/>
      </w:tblGrid>
      <w:tr w14:paraId="1FBE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8" w:type="dxa"/>
          </w:tcPr>
          <w:p w14:paraId="0D326549">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13" w:name="_Toc6039"/>
            <w:r>
              <w:rPr>
                <w:rFonts w:hint="eastAsia" w:ascii="仿宋_GB2312" w:hAnsi="仿宋_GB2312" w:eastAsia="仿宋_GB2312" w:cs="仿宋_GB2312"/>
                <w:b/>
                <w:bCs/>
                <w:sz w:val="28"/>
                <w:szCs w:val="28"/>
                <w:vertAlign w:val="baseline"/>
                <w:lang w:val="en-US" w:eastAsia="zh-CN"/>
              </w:rPr>
              <w:t>评审项目</w:t>
            </w:r>
            <w:bookmarkEnd w:id="13"/>
          </w:p>
        </w:tc>
        <w:tc>
          <w:tcPr>
            <w:tcW w:w="5790" w:type="dxa"/>
          </w:tcPr>
          <w:p w14:paraId="4E035A4C">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14" w:name="_Toc2856"/>
            <w:r>
              <w:rPr>
                <w:rFonts w:hint="eastAsia" w:ascii="仿宋_GB2312" w:hAnsi="仿宋_GB2312" w:eastAsia="仿宋_GB2312" w:cs="仿宋_GB2312"/>
                <w:b/>
                <w:bCs/>
                <w:sz w:val="28"/>
                <w:szCs w:val="28"/>
                <w:vertAlign w:val="baseline"/>
                <w:lang w:val="en-US" w:eastAsia="zh-CN"/>
              </w:rPr>
              <w:t>评分标准</w:t>
            </w:r>
            <w:bookmarkEnd w:id="14"/>
          </w:p>
        </w:tc>
        <w:tc>
          <w:tcPr>
            <w:tcW w:w="915" w:type="dxa"/>
          </w:tcPr>
          <w:p w14:paraId="5F452053">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15" w:name="_Toc26221"/>
            <w:r>
              <w:rPr>
                <w:rFonts w:hint="eastAsia" w:ascii="仿宋_GB2312" w:hAnsi="仿宋_GB2312" w:eastAsia="仿宋_GB2312" w:cs="仿宋_GB2312"/>
                <w:b/>
                <w:bCs/>
                <w:sz w:val="28"/>
                <w:szCs w:val="28"/>
                <w:vertAlign w:val="baseline"/>
                <w:lang w:val="en-US" w:eastAsia="zh-CN"/>
              </w:rPr>
              <w:t>分值</w:t>
            </w:r>
            <w:bookmarkEnd w:id="15"/>
          </w:p>
        </w:tc>
        <w:tc>
          <w:tcPr>
            <w:tcW w:w="835" w:type="dxa"/>
          </w:tcPr>
          <w:p w14:paraId="27FD7012">
            <w:pPr>
              <w:keepNext w:val="0"/>
              <w:keepLines w:val="0"/>
              <w:pageBreakBefore w:val="0"/>
              <w:widowControl w:val="0"/>
              <w:kinsoku/>
              <w:wordWrap/>
              <w:overflowPunct/>
              <w:topLinePunct w:val="0"/>
              <w:autoSpaceDE/>
              <w:autoSpaceDN/>
              <w:bidi w:val="0"/>
              <w:adjustRightInd/>
              <w:snapToGrid/>
              <w:spacing w:line="91" w:lineRule="auto"/>
              <w:jc w:val="center"/>
              <w:textAlignment w:val="auto"/>
              <w:outlineLvl w:val="0"/>
              <w:rPr>
                <w:rFonts w:hint="default" w:ascii="仿宋_GB2312" w:hAnsi="仿宋_GB2312" w:eastAsia="仿宋_GB2312" w:cs="仿宋_GB2312"/>
                <w:b/>
                <w:bCs/>
                <w:sz w:val="28"/>
                <w:szCs w:val="28"/>
                <w:vertAlign w:val="baseline"/>
                <w:lang w:val="en-US" w:eastAsia="zh-CN"/>
              </w:rPr>
            </w:pPr>
            <w:bookmarkStart w:id="16" w:name="_Toc8804"/>
            <w:r>
              <w:rPr>
                <w:rFonts w:hint="eastAsia" w:ascii="仿宋_GB2312" w:hAnsi="仿宋_GB2312" w:eastAsia="仿宋_GB2312" w:cs="仿宋_GB2312"/>
                <w:b/>
                <w:bCs/>
                <w:sz w:val="28"/>
                <w:szCs w:val="28"/>
                <w:vertAlign w:val="baseline"/>
                <w:lang w:val="en-US" w:eastAsia="zh-CN"/>
              </w:rPr>
              <w:t>评分</w:t>
            </w:r>
            <w:bookmarkEnd w:id="16"/>
          </w:p>
        </w:tc>
      </w:tr>
      <w:tr w14:paraId="5CE8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8" w:type="dxa"/>
            <w:vAlign w:val="center"/>
          </w:tcPr>
          <w:p w14:paraId="1880E5A9">
            <w:pPr>
              <w:spacing w:before="91" w:line="223" w:lineRule="auto"/>
              <w:jc w:val="center"/>
              <w:rPr>
                <w:rFonts w:hint="default" w:ascii="仿宋_GB2312" w:hAnsi="仿宋_GB2312" w:eastAsia="仿宋_GB2312" w:cs="仿宋_GB2312"/>
                <w:b/>
                <w:bCs/>
                <w:sz w:val="28"/>
                <w:szCs w:val="28"/>
                <w:vertAlign w:val="baseline"/>
                <w:lang w:val="en-US" w:eastAsia="zh-CN"/>
              </w:rPr>
            </w:pPr>
            <w:r>
              <w:rPr>
                <w:rFonts w:ascii="仿宋" w:hAnsi="仿宋" w:eastAsia="仿宋" w:cs="仿宋"/>
                <w:spacing w:val="-5"/>
                <w:sz w:val="28"/>
                <w:szCs w:val="28"/>
              </w:rPr>
              <w:t>价格部分</w:t>
            </w:r>
          </w:p>
        </w:tc>
        <w:tc>
          <w:tcPr>
            <w:tcW w:w="5790" w:type="dxa"/>
            <w:vAlign w:val="center"/>
          </w:tcPr>
          <w:p w14:paraId="755746A9">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本项目价格分统一采用低价优先法计算，即满足招标文件要求且最后不含税总价报价最低的</w:t>
            </w:r>
            <w:r>
              <w:rPr>
                <w:rFonts w:hint="eastAsia" w:cs="Times New Roman"/>
                <w:bCs w:val="0"/>
                <w:sz w:val="21"/>
                <w:szCs w:val="24"/>
                <w:lang w:eastAsia="zh-CN"/>
              </w:rPr>
              <w:t>报价人</w:t>
            </w:r>
            <w:r>
              <w:rPr>
                <w:rFonts w:hint="eastAsia" w:ascii="Times New Roman" w:hAnsi="Times New Roman" w:eastAsia="宋体" w:cs="Times New Roman"/>
                <w:bCs w:val="0"/>
                <w:sz w:val="21"/>
                <w:szCs w:val="24"/>
              </w:rPr>
              <w:t>的不含税总价报价为基准价，其价格分为满分。</w:t>
            </w:r>
          </w:p>
          <w:p w14:paraId="5DF87DBE">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其他</w:t>
            </w:r>
            <w:r>
              <w:rPr>
                <w:rFonts w:hint="eastAsia" w:cs="Times New Roman"/>
                <w:bCs w:val="0"/>
                <w:sz w:val="21"/>
                <w:szCs w:val="24"/>
                <w:lang w:eastAsia="zh-CN"/>
              </w:rPr>
              <w:t>报价人</w:t>
            </w:r>
            <w:r>
              <w:rPr>
                <w:rFonts w:hint="eastAsia" w:ascii="Times New Roman" w:hAnsi="Times New Roman" w:eastAsia="宋体" w:cs="Times New Roman"/>
                <w:bCs w:val="0"/>
                <w:sz w:val="21"/>
                <w:szCs w:val="24"/>
              </w:rPr>
              <w:t>的价格分统一按照下列公式计算：报价得分=（基准价/评标价）×2</w:t>
            </w:r>
            <w:r>
              <w:rPr>
                <w:rFonts w:hint="eastAsia" w:cs="Times New Roman"/>
                <w:bCs w:val="0"/>
                <w:sz w:val="21"/>
                <w:szCs w:val="24"/>
                <w:lang w:val="en-US" w:eastAsia="zh-CN"/>
              </w:rPr>
              <w:t>5</w:t>
            </w:r>
            <w:r>
              <w:rPr>
                <w:rFonts w:hint="eastAsia" w:ascii="Times New Roman" w:hAnsi="Times New Roman" w:eastAsia="宋体" w:cs="Times New Roman"/>
                <w:bCs w:val="0"/>
                <w:sz w:val="21"/>
                <w:szCs w:val="24"/>
              </w:rPr>
              <w:t>。</w:t>
            </w:r>
          </w:p>
          <w:p w14:paraId="022C408D">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说明：</w:t>
            </w:r>
          </w:p>
          <w:p w14:paraId="4D8105A3">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（1）本项目评标价为</w:t>
            </w:r>
            <w:r>
              <w:rPr>
                <w:rFonts w:hint="eastAsia" w:cs="Times New Roman"/>
                <w:bCs w:val="0"/>
                <w:sz w:val="21"/>
                <w:szCs w:val="24"/>
                <w:lang w:eastAsia="zh-CN"/>
              </w:rPr>
              <w:t>报价人</w:t>
            </w:r>
            <w:r>
              <w:rPr>
                <w:rFonts w:hint="eastAsia" w:ascii="Times New Roman" w:hAnsi="Times New Roman" w:eastAsia="宋体" w:cs="Times New Roman"/>
                <w:bCs w:val="0"/>
                <w:sz w:val="21"/>
                <w:szCs w:val="24"/>
              </w:rPr>
              <w:t>对应报价表各类型所报的价格。其中，“住宿”以单价+服务费为评审依据；“餐饮”以单价+服务费为评审依据；“车辆出行”以车辆的单价为评审依据；“</w:t>
            </w:r>
            <w:r>
              <w:rPr>
                <w:rFonts w:hint="eastAsia" w:ascii="Times New Roman" w:hAnsi="Times New Roman" w:cs="Times New Roman"/>
                <w:bCs w:val="0"/>
                <w:sz w:val="21"/>
                <w:szCs w:val="24"/>
                <w:lang w:val="en-US" w:eastAsia="zh-CN"/>
              </w:rPr>
              <w:t>景点门票代订</w:t>
            </w:r>
            <w:r>
              <w:rPr>
                <w:rFonts w:hint="eastAsia" w:ascii="Times New Roman" w:hAnsi="Times New Roman" w:eastAsia="宋体" w:cs="Times New Roman"/>
                <w:bCs w:val="0"/>
                <w:sz w:val="21"/>
                <w:szCs w:val="24"/>
              </w:rPr>
              <w:t>”以服务费为评审依据；“接待及地陪”以单价为评审依据。</w:t>
            </w:r>
          </w:p>
          <w:p w14:paraId="39973620">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（2）本标包中，分别将各类型的评标价代入公式计算，并根据各类型所占的比例进行加权计算，汇总算出最终的价格得分。其中，“住宿”占比权重为</w:t>
            </w:r>
            <w:r>
              <w:rPr>
                <w:rFonts w:hint="eastAsia" w:ascii="Times New Roman" w:hAnsi="Times New Roman" w:cs="Times New Roman"/>
                <w:bCs w:val="0"/>
                <w:sz w:val="21"/>
                <w:szCs w:val="24"/>
                <w:lang w:val="en-US" w:eastAsia="zh-CN"/>
              </w:rPr>
              <w:t>10</w:t>
            </w:r>
            <w:r>
              <w:rPr>
                <w:rFonts w:hint="eastAsia" w:ascii="Times New Roman" w:hAnsi="Times New Roman" w:eastAsia="宋体" w:cs="Times New Roman"/>
                <w:bCs w:val="0"/>
                <w:sz w:val="21"/>
                <w:szCs w:val="24"/>
              </w:rPr>
              <w:t>%；“餐饮”占比权重为</w:t>
            </w:r>
            <w:r>
              <w:rPr>
                <w:rFonts w:hint="eastAsia" w:ascii="Times New Roman" w:hAnsi="Times New Roman" w:cs="Times New Roman"/>
                <w:bCs w:val="0"/>
                <w:sz w:val="21"/>
                <w:szCs w:val="24"/>
                <w:lang w:val="en-US" w:eastAsia="zh-CN"/>
              </w:rPr>
              <w:t>10</w:t>
            </w:r>
            <w:r>
              <w:rPr>
                <w:rFonts w:hint="eastAsia" w:ascii="Times New Roman" w:hAnsi="Times New Roman" w:eastAsia="宋体" w:cs="Times New Roman"/>
                <w:bCs w:val="0"/>
                <w:sz w:val="21"/>
                <w:szCs w:val="24"/>
              </w:rPr>
              <w:t>%；“车辆出行”占比权重为</w:t>
            </w:r>
            <w:r>
              <w:rPr>
                <w:rFonts w:hint="eastAsia" w:ascii="Times New Roman" w:hAnsi="Times New Roman" w:cs="Times New Roman"/>
                <w:bCs w:val="0"/>
                <w:sz w:val="21"/>
                <w:szCs w:val="24"/>
                <w:lang w:val="en-US" w:eastAsia="zh-CN"/>
              </w:rPr>
              <w:t>60</w:t>
            </w:r>
            <w:r>
              <w:rPr>
                <w:rFonts w:hint="eastAsia" w:ascii="Times New Roman" w:hAnsi="Times New Roman" w:eastAsia="宋体" w:cs="Times New Roman"/>
                <w:bCs w:val="0"/>
                <w:sz w:val="21"/>
                <w:szCs w:val="24"/>
              </w:rPr>
              <w:t>%；“</w:t>
            </w:r>
            <w:r>
              <w:rPr>
                <w:rFonts w:hint="eastAsia" w:ascii="Times New Roman" w:hAnsi="Times New Roman" w:cs="Times New Roman"/>
                <w:bCs w:val="0"/>
                <w:sz w:val="21"/>
                <w:szCs w:val="24"/>
                <w:lang w:val="en-US" w:eastAsia="zh-CN"/>
              </w:rPr>
              <w:t>景点门票代订</w:t>
            </w:r>
            <w:r>
              <w:rPr>
                <w:rFonts w:hint="eastAsia" w:ascii="Times New Roman" w:hAnsi="Times New Roman" w:eastAsia="宋体" w:cs="Times New Roman"/>
                <w:bCs w:val="0"/>
                <w:sz w:val="21"/>
                <w:szCs w:val="24"/>
              </w:rPr>
              <w:t>”占比权重为10%；“接待及地陪”占比权重为</w:t>
            </w:r>
            <w:r>
              <w:rPr>
                <w:rFonts w:hint="eastAsia" w:ascii="Times New Roman" w:hAnsi="Times New Roman" w:cs="Times New Roman"/>
                <w:bCs w:val="0"/>
                <w:sz w:val="21"/>
                <w:szCs w:val="24"/>
                <w:lang w:val="en-US" w:eastAsia="zh-CN"/>
              </w:rPr>
              <w:t>10</w:t>
            </w:r>
            <w:r>
              <w:rPr>
                <w:rFonts w:hint="eastAsia" w:ascii="Times New Roman" w:hAnsi="Times New Roman" w:eastAsia="宋体" w:cs="Times New Roman"/>
                <w:bCs w:val="0"/>
                <w:sz w:val="21"/>
                <w:szCs w:val="24"/>
              </w:rPr>
              <w:t>%。</w:t>
            </w:r>
          </w:p>
          <w:p w14:paraId="135BBD1D">
            <w:pPr>
              <w:spacing w:before="93" w:beforeLines="30" w:after="93" w:afterLines="30"/>
              <w:jc w:val="left"/>
              <w:rPr>
                <w:rFonts w:hint="eastAsia" w:ascii="Times New Roman" w:hAnsi="Times New Roman" w:eastAsia="宋体" w:cs="Times New Roman"/>
                <w:bCs w:val="0"/>
                <w:sz w:val="21"/>
                <w:szCs w:val="24"/>
              </w:rPr>
            </w:pPr>
            <w:r>
              <w:rPr>
                <w:rFonts w:hint="eastAsia" w:ascii="Times New Roman" w:hAnsi="Times New Roman" w:eastAsia="宋体" w:cs="Times New Roman"/>
                <w:bCs w:val="0"/>
                <w:sz w:val="21"/>
                <w:szCs w:val="24"/>
              </w:rPr>
              <w:t>（3）如价格有算术性修正，请以修正后的价格为准。</w:t>
            </w:r>
          </w:p>
          <w:p w14:paraId="23815143">
            <w:pPr>
              <w:spacing w:before="93" w:beforeLines="30" w:after="93" w:afterLines="30" w:line="240" w:lineRule="auto"/>
              <w:ind w:right="0"/>
              <w:jc w:val="left"/>
              <w:rPr>
                <w:rFonts w:hint="default" w:ascii="仿宋_GB2312" w:hAnsi="仿宋_GB2312" w:eastAsia="仿宋_GB2312" w:cs="仿宋_GB2312"/>
                <w:b/>
                <w:bCs/>
                <w:sz w:val="28"/>
                <w:szCs w:val="28"/>
                <w:vertAlign w:val="baseline"/>
                <w:lang w:val="en-US" w:eastAsia="zh-CN"/>
              </w:rPr>
            </w:pPr>
            <w:r>
              <w:rPr>
                <w:rFonts w:hint="eastAsia" w:ascii="Times New Roman" w:hAnsi="Times New Roman" w:eastAsia="宋体" w:cs="Times New Roman"/>
                <w:bCs w:val="0"/>
                <w:sz w:val="21"/>
                <w:szCs w:val="24"/>
              </w:rPr>
              <w:t>备注：价格得分四舍五入，小数点后保留两位有</w:t>
            </w:r>
            <w:r>
              <w:rPr>
                <w:rFonts w:hint="eastAsia" w:ascii="Times New Roman" w:hAnsi="Times New Roman" w:eastAsia="宋体" w:cs="Times New Roman"/>
                <w:bCs w:val="0"/>
                <w:sz w:val="21"/>
                <w:szCs w:val="24"/>
                <w:lang w:val="en-US" w:eastAsia="zh-CN"/>
              </w:rPr>
              <w:t>效</w:t>
            </w:r>
            <w:r>
              <w:rPr>
                <w:rFonts w:hint="eastAsia" w:ascii="Times New Roman" w:hAnsi="Times New Roman" w:eastAsia="宋体" w:cs="Times New Roman"/>
                <w:bCs w:val="0"/>
                <w:sz w:val="21"/>
                <w:szCs w:val="24"/>
              </w:rPr>
              <w:t>数。</w:t>
            </w:r>
          </w:p>
        </w:tc>
        <w:tc>
          <w:tcPr>
            <w:tcW w:w="915" w:type="dxa"/>
            <w:vAlign w:val="center"/>
          </w:tcPr>
          <w:p w14:paraId="58FB0491">
            <w:pPr>
              <w:spacing w:before="91" w:line="181" w:lineRule="auto"/>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25</w:t>
            </w:r>
          </w:p>
        </w:tc>
        <w:tc>
          <w:tcPr>
            <w:tcW w:w="835" w:type="dxa"/>
            <w:vAlign w:val="center"/>
          </w:tcPr>
          <w:p w14:paraId="4F4843D4">
            <w:pPr>
              <w:jc w:val="center"/>
              <w:rPr>
                <w:rFonts w:hint="eastAsia" w:ascii="仿宋_GB2312" w:hAnsi="仿宋_GB2312" w:eastAsia="仿宋_GB2312" w:cs="仿宋_GB2312"/>
                <w:b/>
                <w:bCs/>
                <w:sz w:val="28"/>
                <w:szCs w:val="28"/>
                <w:vertAlign w:val="baseline"/>
                <w:lang w:eastAsia="zh-CN"/>
              </w:rPr>
            </w:pPr>
          </w:p>
        </w:tc>
      </w:tr>
    </w:tbl>
    <w:p w14:paraId="29C78DB7">
      <w:pPr>
        <w:spacing w:line="240" w:lineRule="auto"/>
        <w:jc w:val="both"/>
        <w:outlineLvl w:val="9"/>
      </w:pPr>
      <w:r>
        <w:rPr>
          <w:rFonts w:hint="eastAsia" w:ascii="仿宋_GB2312" w:hAnsi="仿宋_GB2312" w:eastAsia="仿宋_GB2312" w:cs="仿宋_GB2312"/>
          <w:b/>
          <w:bCs/>
          <w:sz w:val="24"/>
          <w:szCs w:val="24"/>
          <w:lang w:val="en-US" w:eastAsia="zh-CN"/>
        </w:rPr>
        <w:t>注：各项分值及内容可按实际采购项目情况调整</w:t>
      </w:r>
      <w:bookmarkEnd w:id="0"/>
      <w:bookmarkEnd w:id="1"/>
    </w:p>
    <w:sectPr>
      <w:footerReference r:id="rId3" w:type="default"/>
      <w:pgSz w:w="11906" w:h="16838"/>
      <w:pgMar w:top="2098" w:right="1587" w:bottom="1984" w:left="1587" w:header="851" w:footer="709"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547307E-6A7E-401C-A845-707AFB83C538}"/>
  </w:font>
  <w:font w:name="仿宋_GB2312">
    <w:panose1 w:val="02010609030101010101"/>
    <w:charset w:val="86"/>
    <w:family w:val="modern"/>
    <w:pitch w:val="default"/>
    <w:sig w:usb0="00000001" w:usb1="080E0000" w:usb2="00000000" w:usb3="00000000" w:csb0="00040000" w:csb1="00000000"/>
    <w:embedRegular r:id="rId2" w:fontKey="{BE0B1B75-D9FB-4A70-A7BD-CA19AEFC15D9}"/>
  </w:font>
  <w:font w:name="仿宋">
    <w:panose1 w:val="02010609060101010101"/>
    <w:charset w:val="86"/>
    <w:family w:val="modern"/>
    <w:pitch w:val="default"/>
    <w:sig w:usb0="800002BF" w:usb1="38CF7CFA" w:usb2="00000016" w:usb3="00000000" w:csb0="00040001" w:csb1="00000000"/>
    <w:embedRegular r:id="rId3" w:fontKey="{356D7085-5B8F-4BB1-89C8-47F6A98675D8}"/>
  </w:font>
  <w:font w:name="方正小标宋简体">
    <w:panose1 w:val="02000000000000000000"/>
    <w:charset w:val="86"/>
    <w:family w:val="auto"/>
    <w:pitch w:val="default"/>
    <w:sig w:usb0="00000001" w:usb1="08000000" w:usb2="00000000" w:usb3="00000000" w:csb0="00040000" w:csb1="00000000"/>
    <w:embedRegular r:id="rId4" w:fontKey="{A3EB4B4B-175F-4A16-98D1-5180F00252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DA264">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D5744">
                          <w:pPr>
                            <w:pStyle w:val="7"/>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1D5744">
                    <w:pPr>
                      <w:pStyle w:val="7"/>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N2JlM2YwZjQxOGE1OWUxOThlMmM0OTUzNzk1YTMifQ=="/>
  </w:docVars>
  <w:rsids>
    <w:rsidRoot w:val="1C0A0DEF"/>
    <w:rsid w:val="1C0A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570"/>
    </w:pPr>
    <w:rPr>
      <w:sz w:val="28"/>
    </w:rPr>
  </w:style>
  <w:style w:type="paragraph" w:styleId="5">
    <w:name w:val="Normal Indent"/>
    <w:basedOn w:val="1"/>
    <w:qFormat/>
    <w:uiPriority w:val="0"/>
    <w:pPr>
      <w:ind w:firstLine="420" w:firstLineChars="200"/>
    </w:pPr>
  </w:style>
  <w:style w:type="paragraph" w:styleId="6">
    <w:name w:val="Body Text"/>
    <w:basedOn w:val="1"/>
    <w:qFormat/>
    <w:uiPriority w:val="99"/>
    <w:pPr>
      <w:spacing w:after="120"/>
    </w:pPr>
  </w:style>
  <w:style w:type="paragraph" w:styleId="7">
    <w:name w:val="footer"/>
    <w:basedOn w:val="1"/>
    <w:unhideWhenUsed/>
    <w:qFormat/>
    <w:uiPriority w:val="0"/>
    <w:pPr>
      <w:tabs>
        <w:tab w:val="center" w:pos="4153"/>
        <w:tab w:val="right" w:pos="8306"/>
      </w:tabs>
      <w:snapToGrid w:val="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autoRedefine/>
    <w:semiHidden/>
    <w:qFormat/>
    <w:uiPriority w:val="0"/>
    <w:rPr>
      <w:rFonts w:ascii="宋体" w:hAnsi="宋体" w:eastAsia="宋体" w:cs="宋体"/>
      <w:sz w:val="22"/>
      <w:szCs w:val="22"/>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2024-11-21T06:50:00Z</dcterms:created>
  <dc:creator>DumPLing</dc:creator>
  <cp:lastModifiedBy>DumPLing</cp:lastModifiedBy>
  <dcterms:modified xsi:type="dcterms:W3CDTF">2024-11-21T06:53:15Z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953F16D54F4B456AA7AAAC3F55D560B6_11</vt:lpwstr>
  </property>
</Properties>
</file>