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1C20D9">
      <w:pPr>
        <w:spacing w:line="360" w:lineRule="auto"/>
        <w:jc w:val="center"/>
        <w:rPr>
          <w:rFonts w:hint="eastAsia" w:ascii="宋体" w:hAnsi="宋体" w:eastAsia="宋体" w:cs="宋体"/>
          <w:b/>
          <w:bCs/>
          <w:color w:val="auto"/>
          <w:sz w:val="52"/>
          <w:szCs w:val="52"/>
          <w:highlight w:val="none"/>
          <w:lang w:val="en-US" w:eastAsia="zh-CN"/>
        </w:rPr>
      </w:pPr>
    </w:p>
    <w:p w14:paraId="4ADC9805">
      <w:pPr>
        <w:spacing w:line="360" w:lineRule="auto"/>
        <w:jc w:val="center"/>
        <w:rPr>
          <w:rFonts w:hint="eastAsia" w:ascii="宋体" w:hAnsi="宋体" w:eastAsia="宋体" w:cs="宋体"/>
          <w:b/>
          <w:bCs/>
          <w:color w:val="auto"/>
          <w:sz w:val="52"/>
          <w:szCs w:val="52"/>
          <w:highlight w:val="none"/>
        </w:rPr>
      </w:pPr>
    </w:p>
    <w:p w14:paraId="664BE473">
      <w:pPr>
        <w:spacing w:line="360" w:lineRule="auto"/>
        <w:jc w:val="center"/>
        <w:rPr>
          <w:rFonts w:hint="eastAsia" w:ascii="宋体" w:hAnsi="宋体" w:eastAsia="宋体" w:cs="宋体"/>
          <w:color w:val="auto"/>
          <w:sz w:val="30"/>
          <w:highlight w:val="none"/>
        </w:rPr>
      </w:pPr>
      <w:r>
        <w:rPr>
          <w:rFonts w:hint="eastAsia" w:ascii="宋体" w:hAnsi="宋体" w:eastAsia="宋体" w:cs="宋体"/>
          <w:b/>
          <w:bCs/>
          <w:color w:val="auto"/>
          <w:sz w:val="52"/>
          <w:szCs w:val="52"/>
          <w:highlight w:val="none"/>
          <w:lang w:eastAsia="zh-CN"/>
        </w:rPr>
        <w:t>更换7至11号电梯项目</w:t>
      </w:r>
    </w:p>
    <w:p w14:paraId="5EC3A171">
      <w:pPr>
        <w:spacing w:line="360" w:lineRule="auto"/>
        <w:rPr>
          <w:rFonts w:hint="eastAsia" w:ascii="宋体" w:hAnsi="宋体" w:eastAsia="宋体" w:cs="宋体"/>
          <w:color w:val="auto"/>
          <w:sz w:val="30"/>
          <w:highlight w:val="none"/>
        </w:rPr>
      </w:pPr>
    </w:p>
    <w:p w14:paraId="489517B2">
      <w:pPr>
        <w:spacing w:line="360" w:lineRule="auto"/>
        <w:rPr>
          <w:rFonts w:hint="eastAsia" w:ascii="宋体" w:hAnsi="宋体" w:eastAsia="宋体" w:cs="宋体"/>
          <w:color w:val="auto"/>
          <w:sz w:val="30"/>
          <w:highlight w:val="none"/>
        </w:rPr>
      </w:pPr>
    </w:p>
    <w:p w14:paraId="575385FD">
      <w:pPr>
        <w:spacing w:line="360" w:lineRule="auto"/>
        <w:jc w:val="center"/>
        <w:rPr>
          <w:rFonts w:hint="eastAsia" w:ascii="宋体" w:hAnsi="宋体" w:eastAsia="宋体" w:cs="宋体"/>
          <w:b/>
          <w:color w:val="auto"/>
          <w:spacing w:val="20"/>
          <w:kern w:val="10"/>
          <w:sz w:val="84"/>
          <w:szCs w:val="84"/>
          <w:highlight w:val="none"/>
        </w:rPr>
      </w:pPr>
      <w:r>
        <w:rPr>
          <w:rFonts w:hint="eastAsia" w:ascii="宋体" w:hAnsi="宋体" w:eastAsia="宋体" w:cs="宋体"/>
          <w:b/>
          <w:color w:val="auto"/>
          <w:spacing w:val="20"/>
          <w:kern w:val="10"/>
          <w:sz w:val="84"/>
          <w:szCs w:val="84"/>
          <w:highlight w:val="none"/>
        </w:rPr>
        <w:t>招标文件</w:t>
      </w:r>
    </w:p>
    <w:p w14:paraId="1DC1216D">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eastAsia="zh-CN"/>
        </w:rPr>
        <w:t>M4400000707526352</w:t>
      </w:r>
      <w:r>
        <w:rPr>
          <w:rFonts w:hint="eastAsia" w:ascii="宋体" w:hAnsi="宋体" w:eastAsia="宋体" w:cs="宋体"/>
          <w:color w:val="auto"/>
          <w:sz w:val="36"/>
          <w:szCs w:val="36"/>
          <w:highlight w:val="none"/>
        </w:rPr>
        <w:t>）</w:t>
      </w:r>
    </w:p>
    <w:p w14:paraId="419A222E">
      <w:pPr>
        <w:tabs>
          <w:tab w:val="left" w:pos="8118"/>
        </w:tabs>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p>
    <w:p w14:paraId="36E7269C">
      <w:pPr>
        <w:spacing w:line="360" w:lineRule="auto"/>
        <w:jc w:val="center"/>
        <w:rPr>
          <w:rFonts w:hint="eastAsia" w:ascii="宋体" w:hAnsi="宋体" w:eastAsia="宋体" w:cs="宋体"/>
          <w:color w:val="auto"/>
          <w:sz w:val="28"/>
          <w:szCs w:val="28"/>
          <w:highlight w:val="none"/>
        </w:rPr>
      </w:pPr>
    </w:p>
    <w:p w14:paraId="00A6F866">
      <w:pPr>
        <w:spacing w:line="360" w:lineRule="auto"/>
        <w:jc w:val="center"/>
        <w:rPr>
          <w:rFonts w:hint="eastAsia" w:ascii="宋体" w:hAnsi="宋体" w:eastAsia="宋体" w:cs="宋体"/>
          <w:color w:val="auto"/>
          <w:sz w:val="28"/>
          <w:szCs w:val="28"/>
          <w:highlight w:val="none"/>
        </w:rPr>
      </w:pPr>
    </w:p>
    <w:p w14:paraId="36F5F64A">
      <w:pPr>
        <w:spacing w:line="360" w:lineRule="auto"/>
        <w:jc w:val="center"/>
        <w:rPr>
          <w:rFonts w:hint="eastAsia" w:ascii="宋体" w:hAnsi="宋体" w:eastAsia="宋体" w:cs="宋体"/>
          <w:color w:val="auto"/>
          <w:sz w:val="28"/>
          <w:szCs w:val="28"/>
          <w:highlight w:val="none"/>
        </w:rPr>
      </w:pPr>
    </w:p>
    <w:p w14:paraId="62F9A285">
      <w:pPr>
        <w:snapToGrid w:val="0"/>
        <w:spacing w:line="600" w:lineRule="atLeast"/>
        <w:rPr>
          <w:rFonts w:hint="eastAsia" w:ascii="宋体" w:hAnsi="宋体" w:eastAsia="宋体" w:cs="宋体"/>
          <w:color w:val="auto"/>
          <w:sz w:val="30"/>
          <w:highlight w:val="none"/>
        </w:rPr>
      </w:pPr>
    </w:p>
    <w:p w14:paraId="7846CF69">
      <w:pPr>
        <w:snapToGrid w:val="0"/>
        <w:spacing w:line="600" w:lineRule="atLeast"/>
        <w:rPr>
          <w:rFonts w:hint="eastAsia" w:ascii="宋体" w:hAnsi="宋体" w:eastAsia="宋体" w:cs="宋体"/>
          <w:color w:val="auto"/>
          <w:sz w:val="30"/>
          <w:highlight w:val="none"/>
        </w:rPr>
      </w:pPr>
    </w:p>
    <w:p w14:paraId="347D03A4">
      <w:pPr>
        <w:snapToGrid w:val="0"/>
        <w:spacing w:line="600" w:lineRule="atLeast"/>
        <w:ind w:firstLine="1200" w:firstLineChars="400"/>
        <w:rPr>
          <w:rFonts w:hint="eastAsia" w:ascii="宋体" w:hAnsi="宋体" w:eastAsia="宋体" w:cs="宋体"/>
          <w:color w:val="auto"/>
          <w:sz w:val="30"/>
          <w:highlight w:val="none"/>
        </w:rPr>
      </w:pPr>
    </w:p>
    <w:p w14:paraId="4DEDE23C">
      <w:pPr>
        <w:snapToGrid w:val="0"/>
        <w:spacing w:line="600" w:lineRule="atLeast"/>
        <w:ind w:firstLine="1200" w:firstLineChars="400"/>
        <w:rPr>
          <w:rFonts w:hint="eastAsia" w:ascii="宋体" w:hAnsi="宋体" w:eastAsia="宋体" w:cs="宋体"/>
          <w:color w:val="auto"/>
          <w:sz w:val="30"/>
          <w:highlight w:val="none"/>
        </w:rPr>
      </w:pPr>
    </w:p>
    <w:p w14:paraId="4815D274">
      <w:pPr>
        <w:snapToGrid w:val="0"/>
        <w:spacing w:line="600" w:lineRule="atLeast"/>
        <w:ind w:firstLine="1200" w:firstLineChars="400"/>
        <w:rPr>
          <w:rFonts w:hint="eastAsia" w:ascii="宋体" w:hAnsi="宋体" w:eastAsia="宋体" w:cs="宋体"/>
          <w:color w:val="auto"/>
          <w:sz w:val="30"/>
          <w:highlight w:val="none"/>
        </w:rPr>
      </w:pPr>
    </w:p>
    <w:p w14:paraId="697A02EF">
      <w:pPr>
        <w:snapToGrid w:val="0"/>
        <w:spacing w:line="600" w:lineRule="atLeast"/>
        <w:ind w:firstLine="1200" w:firstLineChars="400"/>
        <w:rPr>
          <w:rFonts w:hint="eastAsia" w:ascii="宋体" w:hAnsi="宋体" w:eastAsia="宋体" w:cs="宋体"/>
          <w:color w:val="auto"/>
          <w:sz w:val="30"/>
          <w:highlight w:val="none"/>
          <w:u w:val="single"/>
          <w:lang w:eastAsia="zh-CN"/>
        </w:rPr>
      </w:pPr>
      <w:r>
        <w:rPr>
          <w:rFonts w:hint="eastAsia" w:ascii="宋体" w:hAnsi="宋体" w:eastAsia="宋体" w:cs="宋体"/>
          <w:color w:val="auto"/>
          <w:sz w:val="30"/>
          <w:highlight w:val="none"/>
        </w:rPr>
        <w:t>招   标   人：</w:t>
      </w:r>
      <w:r>
        <w:rPr>
          <w:rFonts w:hint="eastAsia" w:ascii="宋体" w:hAnsi="宋体" w:eastAsia="宋体" w:cs="宋体"/>
          <w:color w:val="auto"/>
          <w:sz w:val="30"/>
          <w:highlight w:val="none"/>
          <w:u w:val="single"/>
          <w:lang w:eastAsia="zh-CN"/>
        </w:rPr>
        <w:t>广东南方报业传媒集团物业管理有限公司</w:t>
      </w:r>
    </w:p>
    <w:p w14:paraId="01711B67">
      <w:pPr>
        <w:snapToGrid w:val="0"/>
        <w:spacing w:line="600" w:lineRule="atLeast"/>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招标代理机构：</w:t>
      </w:r>
      <w:r>
        <w:rPr>
          <w:rFonts w:hint="eastAsia" w:ascii="宋体" w:hAnsi="宋体" w:eastAsia="宋体" w:cs="宋体"/>
          <w:color w:val="auto"/>
          <w:sz w:val="30"/>
          <w:highlight w:val="none"/>
          <w:u w:val="single"/>
        </w:rPr>
        <w:t>广东省机电设备招标有限公司</w:t>
      </w:r>
    </w:p>
    <w:p w14:paraId="446E9909">
      <w:pPr>
        <w:spacing w:line="360" w:lineRule="auto"/>
        <w:jc w:val="center"/>
        <w:rPr>
          <w:rFonts w:hint="eastAsia" w:ascii="宋体" w:hAnsi="宋体" w:eastAsia="宋体" w:cs="宋体"/>
          <w:b/>
          <w:color w:val="auto"/>
          <w:sz w:val="28"/>
          <w:szCs w:val="28"/>
          <w:highlight w:val="none"/>
        </w:rPr>
        <w:sectPr>
          <w:headerReference r:id="rId3" w:type="default"/>
          <w:footerReference r:id="rId4" w:type="default"/>
          <w:pgSz w:w="11906" w:h="16838"/>
          <w:pgMar w:top="1134" w:right="1418" w:bottom="1134" w:left="1418" w:header="851" w:footer="992" w:gutter="0"/>
          <w:pgNumType w:start="1"/>
          <w:cols w:space="720" w:num="1"/>
          <w:docGrid w:type="lines" w:linePitch="312" w:charSpace="0"/>
        </w:sectPr>
      </w:pPr>
      <w:r>
        <w:rPr>
          <w:rFonts w:hint="eastAsia" w:ascii="宋体" w:hAnsi="宋体" w:eastAsia="宋体" w:cs="宋体"/>
          <w:color w:val="auto"/>
          <w:sz w:val="30"/>
          <w:szCs w:val="30"/>
          <w:highlight w:val="none"/>
          <w:lang w:val="en-US" w:eastAsia="zh-CN"/>
        </w:rPr>
        <w:t>2024</w:t>
      </w: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11</w:t>
      </w:r>
      <w:r>
        <w:rPr>
          <w:rFonts w:hint="eastAsia" w:ascii="宋体" w:hAnsi="宋体" w:eastAsia="宋体" w:cs="宋体"/>
          <w:color w:val="auto"/>
          <w:sz w:val="30"/>
          <w:szCs w:val="30"/>
          <w:highlight w:val="none"/>
        </w:rPr>
        <w:t>月</w:t>
      </w:r>
    </w:p>
    <w:p w14:paraId="4F283878">
      <w:pPr>
        <w:spacing w:line="360" w:lineRule="auto"/>
        <w:jc w:val="center"/>
        <w:outlineLvl w:val="0"/>
        <w:rPr>
          <w:rFonts w:hint="eastAsia" w:ascii="宋体" w:hAnsi="宋体" w:eastAsia="宋体" w:cs="宋体"/>
          <w:b/>
          <w:color w:val="auto"/>
          <w:sz w:val="28"/>
          <w:szCs w:val="28"/>
          <w:highlight w:val="none"/>
        </w:rPr>
      </w:pPr>
      <w:bookmarkStart w:id="0" w:name="_Toc27156"/>
      <w:r>
        <w:rPr>
          <w:rFonts w:hint="eastAsia" w:ascii="宋体" w:hAnsi="宋体" w:eastAsia="宋体" w:cs="宋体"/>
          <w:b/>
          <w:color w:val="auto"/>
          <w:sz w:val="28"/>
          <w:szCs w:val="28"/>
          <w:highlight w:val="none"/>
        </w:rPr>
        <w:t>投标提示</w:t>
      </w:r>
      <w:bookmarkEnd w:id="0"/>
    </w:p>
    <w:p w14:paraId="38F27909">
      <w:pPr>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highlight w:val="none"/>
        </w:rPr>
        <w:t>（本提示内容非招标文件的组成部分，仅为投标人制作文件提醒。如有不一致，以招标文件为准）</w:t>
      </w:r>
    </w:p>
    <w:p w14:paraId="77008F8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1、潜在投标供应商须按招标文件及公告要求登记。</w:t>
      </w:r>
    </w:p>
    <w:p w14:paraId="22B7D8F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2、本公司启用网上登记系统进行供应商登记及购买文件。请登录广咨电子招投标交易平台网站（www.gzebid.cn）进行供应商注册登记。</w:t>
      </w:r>
    </w:p>
    <w:p w14:paraId="7B650A20">
      <w:pPr>
        <w:tabs>
          <w:tab w:val="left" w:pos="851"/>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3、为避免因迟到而失去投标/报价资格，请供应商</w:t>
      </w:r>
      <w:r>
        <w:rPr>
          <w:rFonts w:hint="eastAsia" w:ascii="宋体" w:hAnsi="宋体" w:eastAsia="宋体" w:cs="宋体"/>
          <w:b/>
          <w:color w:val="auto"/>
          <w:highlight w:val="none"/>
          <w:u w:val="single"/>
        </w:rPr>
        <w:t>适当提前到达开标现场</w:t>
      </w:r>
      <w:r>
        <w:rPr>
          <w:rFonts w:hint="eastAsia" w:ascii="宋体" w:hAnsi="宋体" w:eastAsia="宋体" w:cs="宋体"/>
          <w:color w:val="auto"/>
          <w:highlight w:val="none"/>
        </w:rPr>
        <w:t>。</w:t>
      </w:r>
    </w:p>
    <w:p w14:paraId="3F6240D9">
      <w:pPr>
        <w:tabs>
          <w:tab w:val="left" w:pos="851"/>
        </w:tabs>
        <w:snapToGrid w:val="0"/>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4、投标/报价文件应按顺序</w:t>
      </w:r>
      <w:r>
        <w:rPr>
          <w:rFonts w:hint="eastAsia" w:ascii="宋体" w:hAnsi="宋体" w:eastAsia="宋体" w:cs="宋体"/>
          <w:b/>
          <w:color w:val="auto"/>
          <w:highlight w:val="none"/>
          <w:u w:val="single"/>
        </w:rPr>
        <w:t>编制页码</w:t>
      </w:r>
      <w:r>
        <w:rPr>
          <w:rFonts w:hint="eastAsia" w:ascii="宋体" w:hAnsi="宋体" w:eastAsia="宋体" w:cs="宋体"/>
          <w:color w:val="auto"/>
          <w:highlight w:val="none"/>
        </w:rPr>
        <w:t>。</w:t>
      </w:r>
    </w:p>
    <w:p w14:paraId="0D018424">
      <w:pPr>
        <w:tabs>
          <w:tab w:val="left" w:pos="851"/>
        </w:tabs>
        <w:snapToGrid w:val="0"/>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5、请仔细检查投标/报价文件是否已按招标文件要求</w:t>
      </w:r>
      <w:r>
        <w:rPr>
          <w:rFonts w:hint="eastAsia" w:ascii="宋体" w:hAnsi="宋体" w:eastAsia="宋体" w:cs="宋体"/>
          <w:b/>
          <w:color w:val="auto"/>
          <w:highlight w:val="none"/>
          <w:u w:val="single"/>
        </w:rPr>
        <w:t>盖章、签字（签章）、签署日期</w:t>
      </w:r>
      <w:r>
        <w:rPr>
          <w:rFonts w:hint="eastAsia" w:ascii="宋体" w:hAnsi="宋体" w:eastAsia="宋体" w:cs="宋体"/>
          <w:color w:val="auto"/>
          <w:highlight w:val="none"/>
        </w:rPr>
        <w:t>。</w:t>
      </w:r>
    </w:p>
    <w:p w14:paraId="263FBE61">
      <w:pPr>
        <w:tabs>
          <w:tab w:val="left" w:pos="851"/>
        </w:tabs>
        <w:snapToGrid w:val="0"/>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6、请正确填写《开标/报价一览表》。多子包项目请仔细检查子包号，子包号与子包名称必须对应。</w:t>
      </w:r>
    </w:p>
    <w:p w14:paraId="563C6195">
      <w:pPr>
        <w:tabs>
          <w:tab w:val="left" w:pos="851"/>
        </w:tabs>
        <w:snapToGrid w:val="0"/>
        <w:spacing w:line="360" w:lineRule="auto"/>
        <w:ind w:left="315" w:hanging="315" w:hangingChars="150"/>
        <w:rPr>
          <w:rFonts w:hint="eastAsia" w:ascii="宋体" w:hAnsi="宋体" w:eastAsia="宋体" w:cs="宋体"/>
          <w:color w:val="auto"/>
          <w:highlight w:val="none"/>
        </w:rPr>
      </w:pPr>
      <w:r>
        <w:rPr>
          <w:rFonts w:hint="eastAsia" w:ascii="宋体" w:hAnsi="宋体" w:eastAsia="宋体" w:cs="宋体"/>
          <w:color w:val="auto"/>
          <w:highlight w:val="none"/>
        </w:rPr>
        <w:t>7、单独提交的</w:t>
      </w:r>
      <w:r>
        <w:rPr>
          <w:rFonts w:hint="eastAsia" w:ascii="宋体" w:hAnsi="宋体" w:eastAsia="宋体" w:cs="宋体"/>
          <w:b/>
          <w:color w:val="auto"/>
          <w:highlight w:val="none"/>
          <w:u w:val="single"/>
        </w:rPr>
        <w:t>信封</w:t>
      </w:r>
      <w:r>
        <w:rPr>
          <w:rFonts w:hint="eastAsia" w:ascii="宋体" w:hAnsi="宋体" w:eastAsia="宋体" w:cs="宋体"/>
          <w:color w:val="auto"/>
          <w:highlight w:val="none"/>
        </w:rPr>
        <w:t>内容应包括：</w:t>
      </w:r>
      <w:r>
        <w:rPr>
          <w:rFonts w:hint="eastAsia" w:ascii="宋体" w:hAnsi="宋体" w:eastAsia="宋体" w:cs="宋体"/>
          <w:b/>
          <w:color w:val="auto"/>
          <w:highlight w:val="none"/>
          <w:u w:val="single"/>
        </w:rPr>
        <w:t>投标保证金凭证</w:t>
      </w:r>
      <w:r>
        <w:rPr>
          <w:rFonts w:hint="eastAsia" w:ascii="宋体" w:hAnsi="宋体" w:eastAsia="宋体" w:cs="宋体"/>
          <w:color w:val="auto"/>
          <w:highlight w:val="none"/>
        </w:rPr>
        <w:t>（提供银行支付凭证</w:t>
      </w:r>
      <w:r>
        <w:rPr>
          <w:rFonts w:hint="eastAsia" w:ascii="宋体" w:hAnsi="宋体" w:eastAsia="宋体" w:cs="宋体"/>
          <w:b/>
          <w:color w:val="auto"/>
          <w:highlight w:val="none"/>
          <w:u w:val="single"/>
        </w:rPr>
        <w:t>复印件</w:t>
      </w:r>
      <w:r>
        <w:rPr>
          <w:rFonts w:hint="eastAsia" w:ascii="宋体" w:hAnsi="宋体" w:eastAsia="宋体" w:cs="宋体"/>
          <w:color w:val="auto"/>
          <w:highlight w:val="none"/>
        </w:rPr>
        <w:t>）、</w:t>
      </w:r>
      <w:r>
        <w:rPr>
          <w:rFonts w:hint="eastAsia" w:ascii="宋体" w:hAnsi="宋体" w:eastAsia="宋体" w:cs="宋体"/>
          <w:b/>
          <w:color w:val="auto"/>
          <w:highlight w:val="none"/>
          <w:u w:val="single"/>
        </w:rPr>
        <w:t>退投标保证金说明函原件</w:t>
      </w:r>
      <w:r>
        <w:rPr>
          <w:rFonts w:hint="eastAsia" w:ascii="宋体" w:hAnsi="宋体" w:eastAsia="宋体" w:cs="宋体"/>
          <w:color w:val="auto"/>
          <w:highlight w:val="none"/>
        </w:rPr>
        <w:t>。</w:t>
      </w:r>
    </w:p>
    <w:p w14:paraId="38BBD822">
      <w:pPr>
        <w:tabs>
          <w:tab w:val="left" w:pos="851"/>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8、供应商须通过广咨电子招投标交易平台网站（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"http://www.gzebid.cn）获取子账号的方式递交投标/报价保证金及中标/"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http://www.gzebid.cn）获取子账号的方式递交投标/报价保证金及中标/</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成交服务费。</w:t>
      </w:r>
    </w:p>
    <w:p w14:paraId="23678B1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9、每个供应商每个项目的保证金缴纳账户是唯一的，本司将根据唯一保证金缴纳账户的缴纳情况，确认供应商是否已按规定缴纳项目保证金。所以请各供应商缴纳保证金前务必核对正确的缴纳账户，错缴误缴导致未按项目缴纳保证金的情况将由供应商自行负责。</w:t>
      </w:r>
    </w:p>
    <w:p w14:paraId="39287F6A">
      <w:pPr>
        <w:tabs>
          <w:tab w:val="left" w:pos="851"/>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10、投标/报价保证金必须于招标文件递交截止时间前到达广东省机电设备招标有限公司的账户。</w:t>
      </w:r>
    </w:p>
    <w:p w14:paraId="69B43ED9">
      <w:pPr>
        <w:tabs>
          <w:tab w:val="left" w:pos="851"/>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11、未中标供应商的投标保证金退款程序：在</w:t>
      </w:r>
      <w:r>
        <w:rPr>
          <w:rFonts w:hint="eastAsia" w:ascii="宋体" w:hAnsi="宋体" w:eastAsia="宋体" w:cs="宋体"/>
          <w:b/>
          <w:color w:val="auto"/>
          <w:highlight w:val="none"/>
          <w:u w:val="single"/>
        </w:rPr>
        <w:t>中标通知书发出后的五个工作日内</w:t>
      </w:r>
      <w:r>
        <w:rPr>
          <w:rFonts w:hint="eastAsia" w:ascii="宋体" w:hAnsi="宋体" w:eastAsia="宋体" w:cs="宋体"/>
          <w:color w:val="auto"/>
          <w:highlight w:val="none"/>
        </w:rPr>
        <w:t>按规定程序原额退还。</w:t>
      </w:r>
    </w:p>
    <w:p w14:paraId="1514170E">
      <w:pPr>
        <w:tabs>
          <w:tab w:val="left" w:pos="851"/>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12、中标供应商的投标保证金退款程序：在</w:t>
      </w:r>
      <w:r>
        <w:rPr>
          <w:rFonts w:hint="eastAsia" w:ascii="宋体" w:hAnsi="宋体" w:eastAsia="宋体" w:cs="宋体"/>
          <w:b/>
          <w:color w:val="auto"/>
          <w:highlight w:val="none"/>
          <w:u w:val="single"/>
        </w:rPr>
        <w:t>收到</w:t>
      </w:r>
      <w:r>
        <w:rPr>
          <w:rFonts w:hint="eastAsia" w:ascii="宋体" w:hAnsi="宋体" w:eastAsia="宋体" w:cs="宋体"/>
          <w:color w:val="auto"/>
          <w:highlight w:val="none"/>
        </w:rPr>
        <w:t>中标供应商提交的</w:t>
      </w:r>
      <w:r>
        <w:rPr>
          <w:rFonts w:hint="eastAsia" w:ascii="宋体" w:hAnsi="宋体" w:eastAsia="宋体" w:cs="宋体"/>
          <w:b/>
          <w:color w:val="auto"/>
          <w:highlight w:val="none"/>
          <w:u w:val="single"/>
        </w:rPr>
        <w:t>合同原件或复印件后五个工作日内</w:t>
      </w:r>
      <w:r>
        <w:rPr>
          <w:rFonts w:hint="eastAsia" w:ascii="宋体" w:hAnsi="宋体" w:eastAsia="宋体" w:cs="宋体"/>
          <w:color w:val="auto"/>
          <w:highlight w:val="none"/>
        </w:rPr>
        <w:t>原额退还。</w:t>
      </w:r>
    </w:p>
    <w:p w14:paraId="6DD7983B">
      <w:pPr>
        <w:tabs>
          <w:tab w:val="left" w:pos="851"/>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13、如招标文件有澄清、修改或者延期的，我司会在相关媒体上发布公告，并</w:t>
      </w:r>
      <w:r>
        <w:rPr>
          <w:rFonts w:hint="eastAsia" w:ascii="宋体" w:hAnsi="宋体" w:eastAsia="宋体" w:cs="宋体"/>
          <w:b/>
          <w:color w:val="auto"/>
          <w:highlight w:val="none"/>
          <w:u w:val="single"/>
        </w:rPr>
        <w:t>以电子邮件的形式</w:t>
      </w:r>
      <w:r>
        <w:rPr>
          <w:rFonts w:hint="eastAsia" w:ascii="宋体" w:hAnsi="宋体" w:eastAsia="宋体" w:cs="宋体"/>
          <w:color w:val="auto"/>
          <w:highlight w:val="none"/>
        </w:rPr>
        <w:t>通知所有登记及购买招标文件的供应商。</w:t>
      </w:r>
    </w:p>
    <w:p w14:paraId="5C70DA85">
      <w:pPr>
        <w:tabs>
          <w:tab w:val="left" w:pos="851"/>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14、如投标/报价产品属于许可证管理范围内的，须提交相应的许可证复印件。</w:t>
      </w:r>
    </w:p>
    <w:p w14:paraId="79AD8F22">
      <w:pPr>
        <w:tabs>
          <w:tab w:val="left" w:pos="851"/>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15、如供应商以非独立法人注册的分公司名义代表总公司盖章和签署文件的，须提供总公司的营业执照副本复印件及总公司针对本项目投标/报价的授权书原件。</w:t>
      </w:r>
    </w:p>
    <w:p w14:paraId="464B173D">
      <w:pPr>
        <w:tabs>
          <w:tab w:val="left" w:pos="851"/>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16、以联合体形式投标/报价的，请提交《联合体共同投标协议书》。</w:t>
      </w:r>
    </w:p>
    <w:p w14:paraId="08B99E38">
      <w:pPr>
        <w:tabs>
          <w:tab w:val="left" w:pos="851"/>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为了提高采购效率，节约社会交易成本与时间，本司希望购买了招标文件而决定不参加本次投标的供应商，在投标/报价文件递交截止时间的3日前，按《投标/报价邀请函》中的联系方式，以书面形式告知招标代理机构。对您的支持与配合，谨此致谢。</w:t>
      </w:r>
    </w:p>
    <w:p w14:paraId="008E3DD0">
      <w:pPr>
        <w:tabs>
          <w:tab w:val="left" w:pos="851"/>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18、因场地有限，本公司无法提供停车位，不便之处敬请谅解</w:t>
      </w:r>
      <w:r>
        <w:rPr>
          <w:rFonts w:hint="eastAsia" w:ascii="宋体" w:hAnsi="宋体" w:eastAsia="宋体" w:cs="宋体"/>
          <w:color w:val="auto"/>
          <w:szCs w:val="21"/>
          <w:highlight w:val="none"/>
        </w:rPr>
        <w:t>。</w:t>
      </w:r>
    </w:p>
    <w:p w14:paraId="3CCE0F40">
      <w:pPr>
        <w:tabs>
          <w:tab w:val="left" w:pos="851"/>
        </w:tabs>
        <w:snapToGrid w:val="0"/>
        <w:spacing w:line="360" w:lineRule="auto"/>
        <w:jc w:val="center"/>
        <w:rPr>
          <w:rFonts w:hint="eastAsia" w:ascii="宋体" w:hAnsi="宋体" w:eastAsia="宋体" w:cs="宋体"/>
          <w:b/>
          <w:color w:val="auto"/>
          <w:sz w:val="44"/>
          <w:szCs w:val="32"/>
          <w:highlight w:val="none"/>
        </w:rPr>
        <w:sectPr>
          <w:footerReference r:id="rId5" w:type="default"/>
          <w:pgSz w:w="11906" w:h="16838"/>
          <w:pgMar w:top="1134" w:right="1418" w:bottom="1134" w:left="1418" w:header="851" w:footer="992" w:gutter="0"/>
          <w:pgNumType w:start="1"/>
          <w:cols w:space="720" w:num="1"/>
          <w:docGrid w:type="lines" w:linePitch="312" w:charSpace="0"/>
        </w:sectPr>
      </w:pPr>
    </w:p>
    <w:p w14:paraId="1270C902">
      <w:pPr>
        <w:pStyle w:val="26"/>
        <w:rPr>
          <w:rFonts w:hint="eastAsia" w:ascii="宋体" w:hAnsi="宋体" w:eastAsia="宋体" w:cs="宋体"/>
          <w:color w:val="auto"/>
          <w:highlight w:val="none"/>
        </w:rPr>
      </w:pPr>
    </w:p>
    <w:p w14:paraId="18EEBAD9">
      <w:pPr>
        <w:tabs>
          <w:tab w:val="left" w:pos="851"/>
        </w:tabs>
        <w:snapToGrid w:val="0"/>
        <w:spacing w:line="360" w:lineRule="auto"/>
        <w:jc w:val="center"/>
        <w:rPr>
          <w:rFonts w:hint="eastAsia" w:ascii="宋体" w:hAnsi="宋体" w:eastAsia="宋体" w:cs="宋体"/>
          <w:b/>
          <w:color w:val="auto"/>
          <w:sz w:val="44"/>
          <w:szCs w:val="32"/>
          <w:highlight w:val="none"/>
        </w:rPr>
      </w:pPr>
      <w:r>
        <w:rPr>
          <w:rFonts w:hint="eastAsia" w:ascii="宋体" w:hAnsi="宋体" w:eastAsia="宋体" w:cs="宋体"/>
          <w:b/>
          <w:color w:val="auto"/>
          <w:sz w:val="44"/>
          <w:szCs w:val="32"/>
          <w:highlight w:val="none"/>
        </w:rPr>
        <w:t>目 录</w:t>
      </w:r>
    </w:p>
    <w:p w14:paraId="059101F3">
      <w:pPr>
        <w:pStyle w:val="253"/>
        <w:tabs>
          <w:tab w:val="right" w:leader="dot" w:pos="9070"/>
        </w:tabs>
        <w:rPr>
          <w:rFonts w:hint="eastAsia" w:ascii="宋体" w:hAnsi="宋体" w:eastAsia="宋体" w:cs="宋体"/>
          <w:color w:val="auto"/>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p>
    <w:p w14:paraId="6C74A94A">
      <w:pPr>
        <w:pStyle w:val="253"/>
        <w:tabs>
          <w:tab w:val="right" w:leader="dot" w:pos="9070"/>
        </w:tabs>
        <w:spacing w:line="48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_Toc12054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投标邀请函</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_Toc12054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A270F93">
      <w:pPr>
        <w:pStyle w:val="253"/>
        <w:tabs>
          <w:tab w:val="right" w:leader="dot" w:pos="9070"/>
        </w:tabs>
        <w:spacing w:line="48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_Toc9976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_Toc9976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F347B58">
      <w:pPr>
        <w:pStyle w:val="253"/>
        <w:tabs>
          <w:tab w:val="right" w:leader="dot" w:pos="9070"/>
        </w:tabs>
        <w:spacing w:line="48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_Toc5009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用户需求书</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_Toc5009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3035A6A0">
      <w:pPr>
        <w:pStyle w:val="253"/>
        <w:tabs>
          <w:tab w:val="right" w:leader="dot" w:pos="9070"/>
        </w:tabs>
        <w:spacing w:line="48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_Toc30591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第四章  合同格式（参考）</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_Toc30591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132E52E">
      <w:pPr>
        <w:pStyle w:val="253"/>
        <w:tabs>
          <w:tab w:val="right" w:leader="dot" w:pos="9070"/>
        </w:tabs>
        <w:spacing w:line="48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_Toc31761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_Toc31761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ABD597D">
      <w:pPr>
        <w:pStyle w:val="253"/>
        <w:tabs>
          <w:tab w:val="right" w:leader="dot" w:pos="9070"/>
        </w:tabs>
        <w:spacing w:line="480" w:lineRule="auto"/>
        <w:rPr>
          <w:rFonts w:hint="eastAsia" w:ascii="宋体" w:hAnsi="宋体" w:eastAsia="宋体" w:cs="宋体"/>
          <w:color w:val="auto"/>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_Toc5715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_Toc5715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AF898EA">
      <w:pPr>
        <w:pStyle w:val="253"/>
        <w:tabs>
          <w:tab w:val="right" w:leader="dot" w:pos="9070"/>
        </w:tabs>
        <w:rPr>
          <w:rFonts w:hint="eastAsia" w:ascii="宋体" w:hAnsi="宋体" w:eastAsia="宋体" w:cs="宋体"/>
          <w:color w:val="auto"/>
          <w:highlight w:val="none"/>
        </w:rPr>
      </w:pPr>
    </w:p>
    <w:p w14:paraId="74E330CC">
      <w:pPr>
        <w:rPr>
          <w:rFonts w:hint="eastAsia" w:ascii="宋体" w:hAnsi="宋体" w:eastAsia="宋体" w:cs="宋体"/>
          <w:color w:val="auto"/>
          <w:sz w:val="30"/>
          <w:szCs w:val="30"/>
          <w:highlight w:val="none"/>
        </w:rPr>
        <w:sectPr>
          <w:footerReference r:id="rId6" w:type="default"/>
          <w:pgSz w:w="11906" w:h="16838"/>
          <w:pgMar w:top="1134" w:right="1418" w:bottom="1134" w:left="1418" w:header="851" w:footer="992" w:gutter="0"/>
          <w:cols w:space="720" w:num="1"/>
          <w:docGrid w:type="lines" w:linePitch="312" w:charSpace="0"/>
        </w:sectPr>
      </w:pPr>
      <w:r>
        <w:rPr>
          <w:rFonts w:hint="eastAsia" w:ascii="宋体" w:hAnsi="宋体" w:eastAsia="宋体" w:cs="宋体"/>
          <w:color w:val="auto"/>
          <w:szCs w:val="30"/>
          <w:highlight w:val="none"/>
        </w:rPr>
        <w:fldChar w:fldCharType="end"/>
      </w:r>
    </w:p>
    <w:p w14:paraId="7DD3ED0D">
      <w:pPr>
        <w:pStyle w:val="26"/>
        <w:rPr>
          <w:rFonts w:hint="eastAsia" w:ascii="宋体" w:hAnsi="宋体" w:eastAsia="宋体" w:cs="宋体"/>
          <w:color w:val="auto"/>
          <w:highlight w:val="none"/>
        </w:rPr>
      </w:pPr>
    </w:p>
    <w:p w14:paraId="5C979B70">
      <w:pPr>
        <w:spacing w:before="312" w:beforeLines="100" w:after="312" w:afterLines="100"/>
        <w:jc w:val="center"/>
        <w:rPr>
          <w:rFonts w:hint="eastAsia" w:ascii="宋体" w:hAnsi="宋体" w:eastAsia="宋体" w:cs="宋体"/>
          <w:b/>
          <w:color w:val="auto"/>
          <w:sz w:val="44"/>
          <w:highlight w:val="none"/>
        </w:rPr>
      </w:pPr>
    </w:p>
    <w:p w14:paraId="74428521">
      <w:pPr>
        <w:spacing w:line="360" w:lineRule="auto"/>
        <w:jc w:val="center"/>
        <w:rPr>
          <w:rFonts w:hint="eastAsia" w:ascii="宋体" w:hAnsi="宋体" w:eastAsia="宋体" w:cs="宋体"/>
          <w:b/>
          <w:color w:val="auto"/>
          <w:sz w:val="44"/>
          <w:highlight w:val="none"/>
        </w:rPr>
      </w:pPr>
    </w:p>
    <w:p w14:paraId="09D9B6B9">
      <w:pPr>
        <w:spacing w:line="360" w:lineRule="auto"/>
        <w:jc w:val="center"/>
        <w:rPr>
          <w:rFonts w:hint="eastAsia" w:ascii="宋体" w:hAnsi="宋体" w:eastAsia="宋体" w:cs="宋体"/>
          <w:b/>
          <w:color w:val="auto"/>
          <w:sz w:val="44"/>
          <w:highlight w:val="none"/>
        </w:rPr>
      </w:pPr>
    </w:p>
    <w:p w14:paraId="42B2CC2F">
      <w:pPr>
        <w:spacing w:line="360" w:lineRule="auto"/>
        <w:jc w:val="center"/>
        <w:rPr>
          <w:rFonts w:hint="eastAsia" w:ascii="宋体" w:hAnsi="宋体" w:eastAsia="宋体" w:cs="宋体"/>
          <w:b/>
          <w:color w:val="auto"/>
          <w:sz w:val="44"/>
          <w:highlight w:val="none"/>
        </w:rPr>
      </w:pPr>
    </w:p>
    <w:p w14:paraId="1BA5A1D3">
      <w:pPr>
        <w:spacing w:line="360" w:lineRule="auto"/>
        <w:jc w:val="center"/>
        <w:rPr>
          <w:rFonts w:hint="eastAsia" w:ascii="宋体" w:hAnsi="宋体" w:eastAsia="宋体" w:cs="宋体"/>
          <w:b/>
          <w:color w:val="auto"/>
          <w:sz w:val="44"/>
          <w:highlight w:val="none"/>
        </w:rPr>
      </w:pPr>
    </w:p>
    <w:p w14:paraId="7D20FFA4">
      <w:pPr>
        <w:spacing w:line="360" w:lineRule="auto"/>
        <w:jc w:val="center"/>
        <w:rPr>
          <w:rFonts w:hint="eastAsia" w:ascii="宋体" w:hAnsi="宋体" w:eastAsia="宋体" w:cs="宋体"/>
          <w:b/>
          <w:color w:val="auto"/>
          <w:sz w:val="44"/>
          <w:highlight w:val="none"/>
        </w:rPr>
      </w:pPr>
    </w:p>
    <w:p w14:paraId="2F789CA6">
      <w:pPr>
        <w:spacing w:line="360" w:lineRule="auto"/>
        <w:jc w:val="center"/>
        <w:rPr>
          <w:rFonts w:hint="eastAsia" w:ascii="宋体" w:hAnsi="宋体" w:eastAsia="宋体" w:cs="宋体"/>
          <w:b/>
          <w:color w:val="auto"/>
          <w:sz w:val="44"/>
          <w:highlight w:val="none"/>
        </w:rPr>
      </w:pPr>
    </w:p>
    <w:p w14:paraId="58BD78E9">
      <w:pPr>
        <w:spacing w:line="360" w:lineRule="auto"/>
        <w:jc w:val="center"/>
        <w:rPr>
          <w:rFonts w:hint="eastAsia" w:ascii="宋体" w:hAnsi="宋体" w:eastAsia="宋体" w:cs="宋体"/>
          <w:b/>
          <w:color w:val="auto"/>
          <w:sz w:val="44"/>
          <w:highlight w:val="none"/>
        </w:rPr>
      </w:pPr>
    </w:p>
    <w:p w14:paraId="1F5F95F4">
      <w:pPr>
        <w:jc w:val="center"/>
        <w:outlineLvl w:val="0"/>
        <w:rPr>
          <w:rFonts w:hint="eastAsia" w:ascii="宋体" w:hAnsi="宋体" w:eastAsia="宋体" w:cs="宋体"/>
          <w:b/>
          <w:color w:val="auto"/>
          <w:sz w:val="44"/>
          <w:szCs w:val="44"/>
          <w:highlight w:val="none"/>
        </w:rPr>
      </w:pPr>
      <w:bookmarkStart w:id="1" w:name="_Toc12054"/>
      <w:r>
        <w:rPr>
          <w:rFonts w:hint="eastAsia" w:ascii="宋体" w:hAnsi="宋体" w:eastAsia="宋体" w:cs="宋体"/>
          <w:b/>
          <w:color w:val="auto"/>
          <w:sz w:val="44"/>
          <w:szCs w:val="44"/>
          <w:highlight w:val="none"/>
        </w:rPr>
        <w:t>第一章</w:t>
      </w:r>
      <w:bookmarkStart w:id="2" w:name="_Toc477186208"/>
      <w:r>
        <w:rPr>
          <w:rFonts w:hint="eastAsia" w:ascii="宋体" w:hAnsi="宋体" w:eastAsia="宋体" w:cs="宋体"/>
          <w:b/>
          <w:color w:val="auto"/>
          <w:sz w:val="44"/>
          <w:szCs w:val="44"/>
          <w:highlight w:val="none"/>
        </w:rPr>
        <w:t xml:space="preserve">  投标邀请函</w:t>
      </w:r>
      <w:bookmarkEnd w:id="1"/>
      <w:bookmarkEnd w:id="2"/>
    </w:p>
    <w:p w14:paraId="12977990">
      <w:pPr>
        <w:tabs>
          <w:tab w:val="left" w:pos="6420"/>
        </w:tabs>
        <w:adjustRightInd w:val="0"/>
        <w:snapToGrid w:val="0"/>
        <w:spacing w:line="360" w:lineRule="auto"/>
        <w:jc w:val="center"/>
        <w:rPr>
          <w:rFonts w:hint="eastAsia" w:ascii="宋体" w:hAnsi="宋体" w:eastAsia="宋体" w:cs="宋体"/>
          <w:b/>
          <w:color w:val="auto"/>
          <w:kern w:val="28"/>
          <w:sz w:val="32"/>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8"/>
          <w:sz w:val="32"/>
          <w:highlight w:val="none"/>
        </w:rPr>
        <w:t>投 标 邀 请 函</w:t>
      </w:r>
    </w:p>
    <w:p w14:paraId="109692A8">
      <w:pPr>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[项目编号：</w:t>
      </w:r>
      <w:r>
        <w:rPr>
          <w:rFonts w:hint="eastAsia" w:ascii="宋体" w:hAnsi="宋体" w:eastAsia="宋体" w:cs="宋体"/>
          <w:color w:val="auto"/>
          <w:szCs w:val="24"/>
          <w:highlight w:val="none"/>
          <w:lang w:eastAsia="zh-CN"/>
        </w:rPr>
        <w:t>M4400000707526352</w:t>
      </w:r>
      <w:r>
        <w:rPr>
          <w:rFonts w:hint="eastAsia" w:ascii="宋体" w:hAnsi="宋体" w:eastAsia="宋体" w:cs="宋体"/>
          <w:color w:val="auto"/>
          <w:szCs w:val="24"/>
          <w:highlight w:val="none"/>
        </w:rPr>
        <w:t>]</w:t>
      </w:r>
    </w:p>
    <w:p w14:paraId="7B80714F">
      <w:pPr>
        <w:spacing w:line="360" w:lineRule="auto"/>
        <w:ind w:left="-359" w:leftChars="-171" w:firstLine="464" w:firstLineChars="220"/>
        <w:rPr>
          <w:rFonts w:hint="eastAsia" w:ascii="宋体" w:hAnsi="宋体" w:eastAsia="宋体" w:cs="宋体"/>
          <w:b/>
          <w:color w:val="auto"/>
          <w:kern w:val="28"/>
          <w:sz w:val="32"/>
          <w:highlight w:val="none"/>
        </w:rPr>
      </w:pPr>
      <w:r>
        <w:rPr>
          <w:rFonts w:hint="eastAsia" w:ascii="宋体" w:hAnsi="宋体" w:eastAsia="宋体" w:cs="宋体"/>
          <w:b/>
          <w:color w:val="auto"/>
          <w:kern w:val="28"/>
          <w:highlight w:val="none"/>
        </w:rPr>
        <w:t>广东省机电设备招标有限公司</w:t>
      </w:r>
      <w:r>
        <w:rPr>
          <w:rFonts w:hint="eastAsia" w:ascii="宋体" w:hAnsi="宋体" w:eastAsia="宋体" w:cs="宋体"/>
          <w:color w:val="auto"/>
          <w:kern w:val="28"/>
          <w:highlight w:val="none"/>
        </w:rPr>
        <w:t>（以下称“招标代理机构”）受</w:t>
      </w:r>
      <w:r>
        <w:rPr>
          <w:rFonts w:hint="eastAsia" w:ascii="宋体" w:hAnsi="宋体" w:eastAsia="宋体" w:cs="宋体"/>
          <w:b/>
          <w:bCs/>
          <w:color w:val="auto"/>
          <w:highlight w:val="none"/>
          <w:lang w:eastAsia="zh-CN"/>
        </w:rPr>
        <w:t>广东南方报业传媒集团物业管理有限公司</w:t>
      </w:r>
      <w:r>
        <w:rPr>
          <w:rFonts w:hint="eastAsia" w:ascii="宋体" w:hAnsi="宋体" w:eastAsia="宋体" w:cs="宋体"/>
          <w:color w:val="auto"/>
          <w:kern w:val="28"/>
          <w:highlight w:val="none"/>
        </w:rPr>
        <w:t>（以下称“招标人”）的委托，就</w:t>
      </w:r>
      <w:r>
        <w:rPr>
          <w:rFonts w:hint="eastAsia" w:ascii="宋体" w:hAnsi="宋体" w:eastAsia="宋体" w:cs="宋体"/>
          <w:b/>
          <w:bCs/>
          <w:color w:val="auto"/>
          <w:highlight w:val="none"/>
          <w:lang w:eastAsia="zh-CN"/>
        </w:rPr>
        <w:t>更换7至11号电梯项目</w:t>
      </w:r>
      <w:r>
        <w:rPr>
          <w:rFonts w:hint="eastAsia" w:ascii="宋体" w:hAnsi="宋体" w:eastAsia="宋体" w:cs="宋体"/>
          <w:color w:val="auto"/>
          <w:kern w:val="28"/>
          <w:highlight w:val="none"/>
        </w:rPr>
        <w:t>进行国内公开招标。</w:t>
      </w:r>
      <w:r>
        <w:rPr>
          <w:rFonts w:hint="eastAsia" w:ascii="宋体" w:hAnsi="宋体" w:eastAsia="宋体" w:cs="宋体"/>
          <w:color w:val="auto"/>
          <w:highlight w:val="none"/>
        </w:rPr>
        <w:t xml:space="preserve">有关事项如下： </w:t>
      </w:r>
    </w:p>
    <w:p w14:paraId="39256EF2">
      <w:pPr>
        <w:tabs>
          <w:tab w:val="left" w:pos="0"/>
        </w:tabs>
        <w:spacing w:line="360" w:lineRule="auto"/>
        <w:outlineLvl w:val="0"/>
        <w:rPr>
          <w:rFonts w:hint="eastAsia" w:ascii="宋体" w:hAnsi="宋体" w:eastAsia="宋体" w:cs="宋体"/>
          <w:b/>
          <w:color w:val="auto"/>
          <w:highlight w:val="none"/>
        </w:rPr>
      </w:pPr>
      <w:bookmarkStart w:id="3" w:name="_Toc476177325"/>
      <w:bookmarkStart w:id="4" w:name="_Toc19867"/>
      <w:bookmarkStart w:id="5" w:name="_Toc477186209"/>
      <w:bookmarkStart w:id="6" w:name="_Toc476177879"/>
      <w:bookmarkStart w:id="7" w:name="_Toc477185848"/>
      <w:r>
        <w:rPr>
          <w:rFonts w:hint="eastAsia" w:ascii="宋体" w:hAnsi="宋体" w:eastAsia="宋体" w:cs="宋体"/>
          <w:b/>
          <w:color w:val="auto"/>
          <w:highlight w:val="none"/>
        </w:rPr>
        <w:t>一、项目概况</w:t>
      </w:r>
      <w:bookmarkEnd w:id="3"/>
      <w:bookmarkEnd w:id="4"/>
      <w:bookmarkEnd w:id="5"/>
      <w:bookmarkEnd w:id="6"/>
      <w:bookmarkEnd w:id="7"/>
    </w:p>
    <w:p w14:paraId="0FA524E8">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4"/>
          <w:highlight w:val="none"/>
        </w:rPr>
        <w:t>项目编号：</w:t>
      </w:r>
      <w:r>
        <w:rPr>
          <w:rFonts w:hint="eastAsia" w:ascii="宋体" w:hAnsi="宋体" w:eastAsia="宋体" w:cs="宋体"/>
          <w:color w:val="auto"/>
          <w:szCs w:val="24"/>
          <w:highlight w:val="none"/>
          <w:lang w:eastAsia="zh-CN"/>
        </w:rPr>
        <w:t>M4400000707526352</w:t>
      </w:r>
    </w:p>
    <w:p w14:paraId="63B6AFD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项目名称：</w:t>
      </w:r>
      <w:r>
        <w:rPr>
          <w:rFonts w:hint="eastAsia" w:ascii="宋体" w:hAnsi="宋体" w:eastAsia="宋体" w:cs="宋体"/>
          <w:b/>
          <w:color w:val="auto"/>
          <w:szCs w:val="21"/>
          <w:highlight w:val="none"/>
          <w:lang w:eastAsia="zh-CN"/>
        </w:rPr>
        <w:t>更换7至11号电梯项目</w:t>
      </w:r>
      <w:r>
        <w:rPr>
          <w:rFonts w:hint="eastAsia" w:ascii="宋体" w:hAnsi="宋体" w:eastAsia="宋体" w:cs="宋体"/>
          <w:b/>
          <w:color w:val="auto"/>
          <w:szCs w:val="21"/>
          <w:highlight w:val="none"/>
        </w:rPr>
        <w:t>。</w:t>
      </w:r>
    </w:p>
    <w:p w14:paraId="791704B8">
      <w:pPr>
        <w:tabs>
          <w:tab w:val="left" w:pos="540"/>
        </w:tabs>
        <w:spacing w:line="360" w:lineRule="auto"/>
        <w:outlineLvl w:val="0"/>
        <w:rPr>
          <w:rFonts w:hint="eastAsia" w:ascii="宋体" w:hAnsi="宋体" w:eastAsia="宋体" w:cs="宋体"/>
          <w:color w:val="auto"/>
          <w:szCs w:val="21"/>
          <w:highlight w:val="none"/>
          <w:lang w:val="en-US" w:eastAsia="zh-CN"/>
        </w:rPr>
      </w:pPr>
      <w:bookmarkStart w:id="8" w:name="_Toc17501"/>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项目预算金额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本项目设置最高限价，最高限价为330万元。</w:t>
      </w:r>
    </w:p>
    <w:p w14:paraId="726C1A00">
      <w:pPr>
        <w:tabs>
          <w:tab w:val="left" w:pos="540"/>
        </w:tabs>
        <w:spacing w:line="360" w:lineRule="auto"/>
        <w:outlineLvl w:val="0"/>
        <w:rPr>
          <w:rFonts w:hint="eastAsia" w:ascii="宋体" w:hAnsi="宋体" w:eastAsia="宋体" w:cs="宋体"/>
          <w:b/>
          <w:color w:val="auto"/>
          <w:highlight w:val="none"/>
        </w:rPr>
      </w:pPr>
      <w:r>
        <w:rPr>
          <w:rFonts w:hint="eastAsia" w:ascii="宋体" w:hAnsi="宋体" w:eastAsia="宋体" w:cs="宋体"/>
          <w:b/>
          <w:color w:val="auto"/>
          <w:highlight w:val="none"/>
          <w:lang w:val="zh-CN"/>
        </w:rPr>
        <w:t>注：</w:t>
      </w:r>
      <w:r>
        <w:rPr>
          <w:rFonts w:hint="eastAsia" w:ascii="宋体" w:hAnsi="宋体" w:eastAsia="宋体" w:cs="宋体"/>
          <w:b/>
          <w:color w:val="auto"/>
          <w:highlight w:val="none"/>
        </w:rPr>
        <w:t>如投标报价超过最高限价，则其投标文件作无效投标处理。</w:t>
      </w:r>
      <w:bookmarkEnd w:id="8"/>
    </w:p>
    <w:p w14:paraId="63C2F27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采购数量：1项</w:t>
      </w:r>
    </w:p>
    <w:p w14:paraId="501A89CC">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项目内容及要求：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974"/>
        <w:gridCol w:w="3151"/>
      </w:tblGrid>
      <w:tr w14:paraId="4582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54" w:type="dxa"/>
            <w:noWrap w:val="0"/>
            <w:vAlign w:val="center"/>
          </w:tcPr>
          <w:p w14:paraId="2ED9E9D3">
            <w:pPr>
              <w:spacing w:line="360" w:lineRule="auto"/>
              <w:jc w:val="center"/>
              <w:rPr>
                <w:rFonts w:hint="eastAsia" w:ascii="宋体" w:hAnsi="宋体" w:eastAsia="宋体" w:cs="宋体"/>
                <w:color w:val="auto"/>
                <w:szCs w:val="21"/>
                <w:highlight w:val="none"/>
              </w:rPr>
            </w:pPr>
            <w:bookmarkStart w:id="9" w:name="_Toc476177880"/>
            <w:bookmarkStart w:id="10" w:name="_Toc477185849"/>
            <w:bookmarkStart w:id="11" w:name="_Toc477186210"/>
            <w:bookmarkStart w:id="12" w:name="_Toc476177326"/>
            <w:r>
              <w:rPr>
                <w:rFonts w:hint="eastAsia" w:ascii="宋体" w:hAnsi="宋体" w:eastAsia="宋体" w:cs="宋体"/>
                <w:color w:val="auto"/>
                <w:szCs w:val="21"/>
                <w:highlight w:val="none"/>
              </w:rPr>
              <w:t>序号</w:t>
            </w:r>
          </w:p>
        </w:tc>
        <w:tc>
          <w:tcPr>
            <w:tcW w:w="4974" w:type="dxa"/>
            <w:noWrap w:val="0"/>
            <w:vAlign w:val="center"/>
          </w:tcPr>
          <w:p w14:paraId="7B68861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采购内容/用途</w:t>
            </w:r>
          </w:p>
        </w:tc>
        <w:tc>
          <w:tcPr>
            <w:tcW w:w="3151" w:type="dxa"/>
            <w:noWrap w:val="0"/>
            <w:vAlign w:val="center"/>
          </w:tcPr>
          <w:p w14:paraId="29A744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详细设备清单及规格说明</w:t>
            </w:r>
          </w:p>
        </w:tc>
      </w:tr>
      <w:tr w14:paraId="6A8C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noWrap w:val="0"/>
            <w:vAlign w:val="center"/>
          </w:tcPr>
          <w:p w14:paraId="4CC109D7">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974" w:type="dxa"/>
            <w:noWrap w:val="0"/>
            <w:vAlign w:val="center"/>
          </w:tcPr>
          <w:p w14:paraId="7B6F806C">
            <w:pPr>
              <w:shd w:val="clear" w:color="auto" w:fill="auto"/>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更换7至11号电梯项目</w:t>
            </w:r>
          </w:p>
        </w:tc>
        <w:tc>
          <w:tcPr>
            <w:tcW w:w="3151" w:type="dxa"/>
            <w:noWrap w:val="0"/>
            <w:vAlign w:val="center"/>
          </w:tcPr>
          <w:p w14:paraId="13F8F20F">
            <w:pPr>
              <w:shd w:val="clear" w:color="auto" w:fill="auto"/>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详见用户需求</w:t>
            </w:r>
          </w:p>
        </w:tc>
      </w:tr>
    </w:tbl>
    <w:p w14:paraId="01C220BA">
      <w:pPr>
        <w:shd w:val="clear" w:color="auto" w:fill="auto"/>
        <w:tabs>
          <w:tab w:val="left" w:pos="540"/>
        </w:tabs>
        <w:spacing w:line="360" w:lineRule="auto"/>
        <w:outlineLvl w:val="0"/>
        <w:rPr>
          <w:rFonts w:hint="eastAsia" w:ascii="宋体" w:hAnsi="宋体" w:eastAsia="宋体" w:cs="宋体"/>
          <w:b/>
          <w:color w:val="auto"/>
          <w:highlight w:val="none"/>
        </w:rPr>
      </w:pPr>
      <w:bookmarkStart w:id="13" w:name="_Toc22610"/>
      <w:r>
        <w:rPr>
          <w:rFonts w:hint="eastAsia" w:ascii="宋体" w:hAnsi="宋体" w:eastAsia="宋体" w:cs="宋体"/>
          <w:b/>
          <w:color w:val="auto"/>
          <w:highlight w:val="none"/>
          <w:lang w:val="zh-CN"/>
        </w:rPr>
        <w:t>注：投标人应对项目所有的内容进行投标，不允许只对其中部分内容进行投标</w:t>
      </w:r>
      <w:r>
        <w:rPr>
          <w:rFonts w:hint="eastAsia" w:ascii="宋体" w:hAnsi="宋体" w:eastAsia="宋体" w:cs="宋体"/>
          <w:b/>
          <w:color w:val="auto"/>
          <w:highlight w:val="none"/>
        </w:rPr>
        <w:t>。</w:t>
      </w:r>
      <w:bookmarkEnd w:id="13"/>
    </w:p>
    <w:p w14:paraId="03DA54C3">
      <w:pPr>
        <w:shd w:val="clear" w:color="auto" w:fill="auto"/>
        <w:tabs>
          <w:tab w:val="left" w:pos="540"/>
        </w:tabs>
        <w:spacing w:line="360" w:lineRule="auto"/>
        <w:outlineLvl w:val="0"/>
        <w:rPr>
          <w:rFonts w:hint="eastAsia" w:ascii="宋体" w:hAnsi="宋体" w:eastAsia="宋体" w:cs="宋体"/>
          <w:b/>
          <w:color w:val="auto"/>
          <w:highlight w:val="none"/>
        </w:rPr>
      </w:pPr>
      <w:bookmarkStart w:id="14" w:name="_Toc9782"/>
      <w:r>
        <w:rPr>
          <w:rFonts w:hint="eastAsia" w:ascii="宋体" w:hAnsi="宋体" w:eastAsia="宋体" w:cs="宋体"/>
          <w:b/>
          <w:color w:val="auto"/>
          <w:highlight w:val="none"/>
        </w:rPr>
        <w:t>二、合格投标人资格条件</w:t>
      </w:r>
      <w:bookmarkEnd w:id="9"/>
      <w:bookmarkEnd w:id="10"/>
      <w:bookmarkEnd w:id="11"/>
      <w:bookmarkEnd w:id="12"/>
      <w:bookmarkEnd w:id="14"/>
    </w:p>
    <w:p w14:paraId="5F044C6F">
      <w:pPr>
        <w:shd w:val="clear" w:color="auto" w:fill="auto"/>
        <w:spacing w:line="360" w:lineRule="auto"/>
        <w:ind w:left="-359" w:leftChars="-171" w:firstLine="462" w:firstLineChars="220"/>
        <w:rPr>
          <w:rFonts w:hint="eastAsia" w:ascii="宋体" w:hAnsi="宋体" w:cs="宋体"/>
          <w:bCs/>
          <w:kern w:val="28"/>
          <w:szCs w:val="22"/>
          <w:highlight w:val="none"/>
        </w:rPr>
      </w:pPr>
      <w:bookmarkStart w:id="15" w:name="_Toc476177881"/>
      <w:bookmarkStart w:id="16" w:name="_Toc476177327"/>
      <w:bookmarkStart w:id="17" w:name="_Toc477185850"/>
      <w:bookmarkStart w:id="18" w:name="_Toc477186211"/>
      <w:r>
        <w:rPr>
          <w:rFonts w:hint="eastAsia" w:ascii="宋体" w:hAnsi="宋体" w:cs="宋体"/>
          <w:bCs/>
          <w:kern w:val="28"/>
          <w:szCs w:val="22"/>
          <w:highlight w:val="none"/>
        </w:rPr>
        <w:t>2.1、投标人必须是在中华人民共和国范围内注册的独立法人</w:t>
      </w:r>
      <w:r>
        <w:rPr>
          <w:rFonts w:hint="eastAsia" w:ascii="宋体" w:hAnsi="宋体" w:cs="宋体"/>
          <w:bCs/>
          <w:kern w:val="28"/>
          <w:szCs w:val="22"/>
          <w:highlight w:val="none"/>
          <w:lang w:val="en-US" w:eastAsia="zh-CN"/>
        </w:rPr>
        <w:t>或其他组织</w:t>
      </w:r>
      <w:r>
        <w:rPr>
          <w:rFonts w:hint="eastAsia" w:ascii="宋体" w:hAnsi="宋体" w:cs="宋体"/>
          <w:bCs/>
          <w:kern w:val="28"/>
          <w:szCs w:val="22"/>
          <w:highlight w:val="none"/>
        </w:rPr>
        <w:t>，持有工商行政管理部门核发的有效的营业执照(若持有“一照一码”版本营业执照，则无需提交组织机构代码证及税务登记证）。</w:t>
      </w:r>
    </w:p>
    <w:p w14:paraId="1BE153B1">
      <w:pPr>
        <w:shd w:val="clear" w:color="auto" w:fill="auto"/>
        <w:spacing w:line="360" w:lineRule="auto"/>
        <w:ind w:left="-359" w:leftChars="-171" w:firstLine="462" w:firstLineChars="220"/>
        <w:rPr>
          <w:rFonts w:hint="eastAsia" w:ascii="宋体" w:hAnsi="宋体" w:eastAsia="宋体" w:cs="宋体"/>
          <w:bCs/>
          <w:kern w:val="28"/>
          <w:szCs w:val="22"/>
          <w:highlight w:val="none"/>
        </w:rPr>
      </w:pPr>
      <w:r>
        <w:rPr>
          <w:rFonts w:hint="eastAsia" w:ascii="宋体" w:hAnsi="宋体" w:eastAsia="宋体" w:cs="宋体"/>
          <w:bCs/>
          <w:kern w:val="28"/>
          <w:szCs w:val="22"/>
          <w:highlight w:val="none"/>
        </w:rPr>
        <w:t>2.2、</w:t>
      </w:r>
      <w:r>
        <w:rPr>
          <w:rFonts w:hint="eastAsia" w:ascii="宋体" w:hAnsi="宋体" w:eastAsia="宋体" w:cs="宋体"/>
          <w:i w:val="0"/>
          <w:iCs w:val="0"/>
          <w:caps w:val="0"/>
          <w:color w:val="2D2E2E"/>
          <w:spacing w:val="0"/>
          <w:sz w:val="21"/>
          <w:szCs w:val="21"/>
          <w:shd w:val="clear" w:color="auto" w:fill="FFFFFF"/>
        </w:rPr>
        <w:t>投标人必须是拟投标设备（指垂直电梯）的制造商（或制造商集团公司或制造商集团下属的子公司）或制造商授权参加本次投标的授权代理商；代理商需提供制造商的授权文件；同一个投标人所投设备均应为同一品牌</w:t>
      </w:r>
      <w:r>
        <w:rPr>
          <w:rFonts w:hint="eastAsia" w:ascii="宋体" w:hAnsi="宋体" w:eastAsia="宋体" w:cs="宋体"/>
          <w:bCs/>
          <w:i w:val="0"/>
          <w:iCs w:val="0"/>
          <w:caps w:val="0"/>
          <w:spacing w:val="0"/>
          <w:kern w:val="28"/>
          <w:sz w:val="21"/>
          <w:szCs w:val="22"/>
          <w:highlight w:val="none"/>
          <w:u w:val="none"/>
          <w:shd w:val="clear" w:color="auto" w:fill="auto"/>
        </w:rPr>
        <w:t>。</w:t>
      </w:r>
    </w:p>
    <w:p w14:paraId="483FA203">
      <w:pPr>
        <w:shd w:val="clear" w:color="auto" w:fill="auto"/>
        <w:spacing w:line="360" w:lineRule="auto"/>
        <w:ind w:left="-359" w:leftChars="-171" w:firstLine="462" w:firstLineChars="220"/>
        <w:rPr>
          <w:rFonts w:hint="eastAsia" w:ascii="宋体" w:hAnsi="宋体" w:eastAsia="宋体" w:cs="宋体"/>
          <w:bCs/>
          <w:i w:val="0"/>
          <w:iCs w:val="0"/>
          <w:caps w:val="0"/>
          <w:spacing w:val="0"/>
          <w:kern w:val="28"/>
          <w:sz w:val="21"/>
          <w:szCs w:val="22"/>
          <w:highlight w:val="none"/>
        </w:rPr>
      </w:pPr>
      <w:r>
        <w:rPr>
          <w:rFonts w:hint="eastAsia" w:ascii="宋体" w:hAnsi="宋体" w:eastAsia="宋体" w:cs="宋体"/>
          <w:bCs/>
          <w:i w:val="0"/>
          <w:iCs w:val="0"/>
          <w:caps w:val="0"/>
          <w:spacing w:val="0"/>
          <w:kern w:val="28"/>
          <w:sz w:val="21"/>
          <w:szCs w:val="22"/>
          <w:highlight w:val="none"/>
          <w:u w:val="none"/>
          <w:shd w:val="clear" w:color="auto" w:fill="auto"/>
          <w:lang w:val="en-US" w:eastAsia="zh-CN"/>
        </w:rPr>
        <w:t>2.3、</w:t>
      </w:r>
      <w:r>
        <w:rPr>
          <w:rFonts w:hint="eastAsia" w:ascii="宋体" w:hAnsi="宋体" w:eastAsia="宋体" w:cs="宋体"/>
          <w:bCs/>
          <w:i w:val="0"/>
          <w:iCs w:val="0"/>
          <w:caps w:val="0"/>
          <w:spacing w:val="0"/>
          <w:kern w:val="28"/>
          <w:sz w:val="21"/>
          <w:szCs w:val="22"/>
          <w:highlight w:val="none"/>
          <w:u w:val="none"/>
          <w:shd w:val="clear" w:color="auto" w:fill="auto"/>
        </w:rPr>
        <w:t>投标人需满足以下要求：</w:t>
      </w:r>
    </w:p>
    <w:p w14:paraId="538D24F8">
      <w:pPr>
        <w:shd w:val="clear" w:color="auto" w:fill="auto"/>
        <w:spacing w:line="360" w:lineRule="auto"/>
        <w:ind w:left="-359" w:leftChars="-171" w:firstLine="462" w:firstLineChars="220"/>
        <w:rPr>
          <w:rFonts w:hint="eastAsia" w:ascii="宋体" w:hAnsi="宋体" w:eastAsia="宋体" w:cs="宋体"/>
          <w:bCs/>
          <w:i w:val="0"/>
          <w:iCs w:val="0"/>
          <w:caps w:val="0"/>
          <w:spacing w:val="0"/>
          <w:kern w:val="28"/>
          <w:sz w:val="21"/>
          <w:szCs w:val="22"/>
          <w:highlight w:val="none"/>
        </w:rPr>
      </w:pPr>
      <w:r>
        <w:rPr>
          <w:rFonts w:hint="eastAsia" w:ascii="宋体" w:hAnsi="宋体" w:eastAsia="宋体" w:cs="宋体"/>
          <w:bCs/>
          <w:i w:val="0"/>
          <w:iCs w:val="0"/>
          <w:caps w:val="0"/>
          <w:spacing w:val="0"/>
          <w:kern w:val="28"/>
          <w:sz w:val="21"/>
          <w:szCs w:val="22"/>
          <w:highlight w:val="none"/>
          <w:u w:val="none"/>
          <w:shd w:val="clear" w:color="auto" w:fill="auto"/>
        </w:rPr>
        <w:t>①投标人拟投货物的制造商必须取得有效的《中华人民共和国特种设备制造许可证</w:t>
      </w:r>
      <w:r>
        <w:rPr>
          <w:rFonts w:hint="eastAsia" w:ascii="宋体" w:hAnsi="宋体" w:cs="宋体"/>
          <w:bCs/>
          <w:i w:val="0"/>
          <w:iCs w:val="0"/>
          <w:caps w:val="0"/>
          <w:spacing w:val="0"/>
          <w:kern w:val="28"/>
          <w:sz w:val="21"/>
          <w:szCs w:val="22"/>
          <w:highlight w:val="none"/>
          <w:u w:val="none"/>
          <w:shd w:val="clear" w:color="auto" w:fill="auto"/>
          <w:lang w:eastAsia="zh-CN"/>
        </w:rPr>
        <w:t>（</w:t>
      </w:r>
      <w:r>
        <w:rPr>
          <w:rFonts w:hint="eastAsia" w:ascii="宋体" w:hAnsi="宋体" w:cs="宋体"/>
          <w:bCs/>
          <w:i w:val="0"/>
          <w:iCs w:val="0"/>
          <w:caps w:val="0"/>
          <w:spacing w:val="0"/>
          <w:kern w:val="28"/>
          <w:sz w:val="21"/>
          <w:szCs w:val="22"/>
          <w:highlight w:val="none"/>
          <w:u w:val="none"/>
          <w:shd w:val="clear" w:color="auto" w:fill="auto"/>
          <w:lang w:val="en-US" w:eastAsia="zh-CN"/>
        </w:rPr>
        <w:t>电梯</w:t>
      </w:r>
      <w:r>
        <w:rPr>
          <w:rFonts w:hint="eastAsia" w:ascii="宋体" w:hAnsi="宋体" w:cs="宋体"/>
          <w:bCs/>
          <w:i w:val="0"/>
          <w:iCs w:val="0"/>
          <w:caps w:val="0"/>
          <w:spacing w:val="0"/>
          <w:kern w:val="28"/>
          <w:sz w:val="21"/>
          <w:szCs w:val="22"/>
          <w:highlight w:val="none"/>
          <w:u w:val="none"/>
          <w:shd w:val="clear" w:color="auto" w:fill="auto"/>
          <w:lang w:eastAsia="zh-CN"/>
        </w:rPr>
        <w:t>）</w:t>
      </w:r>
      <w:r>
        <w:rPr>
          <w:rFonts w:hint="eastAsia" w:ascii="宋体" w:hAnsi="宋体" w:eastAsia="宋体" w:cs="宋体"/>
          <w:bCs/>
          <w:i w:val="0"/>
          <w:iCs w:val="0"/>
          <w:caps w:val="0"/>
          <w:spacing w:val="0"/>
          <w:kern w:val="28"/>
          <w:sz w:val="21"/>
          <w:szCs w:val="22"/>
          <w:highlight w:val="none"/>
          <w:u w:val="none"/>
          <w:shd w:val="clear" w:color="auto" w:fill="auto"/>
        </w:rPr>
        <w:t>》</w:t>
      </w:r>
      <w:r>
        <w:rPr>
          <w:rFonts w:hint="eastAsia" w:ascii="宋体" w:hAnsi="宋体" w:cs="宋体"/>
          <w:bCs/>
          <w:i w:val="0"/>
          <w:iCs w:val="0"/>
          <w:caps w:val="0"/>
          <w:spacing w:val="0"/>
          <w:kern w:val="28"/>
          <w:sz w:val="21"/>
          <w:szCs w:val="22"/>
          <w:highlight w:val="none"/>
          <w:u w:val="none"/>
          <w:shd w:val="clear" w:color="auto" w:fill="auto"/>
          <w:lang w:val="en-US" w:eastAsia="zh-CN"/>
        </w:rPr>
        <w:t>或《</w:t>
      </w:r>
      <w:r>
        <w:rPr>
          <w:rFonts w:hint="eastAsia" w:ascii="宋体" w:hAnsi="宋体" w:eastAsia="宋体" w:cs="宋体"/>
          <w:bCs/>
          <w:i w:val="0"/>
          <w:iCs w:val="0"/>
          <w:caps w:val="0"/>
          <w:spacing w:val="0"/>
          <w:kern w:val="28"/>
          <w:sz w:val="21"/>
          <w:szCs w:val="22"/>
          <w:highlight w:val="none"/>
          <w:u w:val="none"/>
          <w:shd w:val="clear" w:color="auto" w:fill="auto"/>
        </w:rPr>
        <w:t>中华人民共和国特种设备</w:t>
      </w:r>
      <w:r>
        <w:rPr>
          <w:rFonts w:hint="eastAsia" w:ascii="宋体" w:hAnsi="宋体" w:cs="宋体"/>
          <w:bCs/>
          <w:i w:val="0"/>
          <w:iCs w:val="0"/>
          <w:caps w:val="0"/>
          <w:spacing w:val="0"/>
          <w:kern w:val="28"/>
          <w:sz w:val="21"/>
          <w:szCs w:val="22"/>
          <w:highlight w:val="none"/>
          <w:u w:val="none"/>
          <w:shd w:val="clear" w:color="auto" w:fill="auto"/>
          <w:lang w:val="en-US" w:eastAsia="zh-CN"/>
        </w:rPr>
        <w:t>生产</w:t>
      </w:r>
      <w:r>
        <w:rPr>
          <w:rFonts w:hint="eastAsia" w:ascii="宋体" w:hAnsi="宋体" w:eastAsia="宋体" w:cs="宋体"/>
          <w:bCs/>
          <w:i w:val="0"/>
          <w:iCs w:val="0"/>
          <w:caps w:val="0"/>
          <w:spacing w:val="0"/>
          <w:kern w:val="28"/>
          <w:sz w:val="21"/>
          <w:szCs w:val="22"/>
          <w:highlight w:val="none"/>
          <w:u w:val="none"/>
          <w:shd w:val="clear" w:color="auto" w:fill="auto"/>
        </w:rPr>
        <w:t>许可证</w:t>
      </w:r>
      <w:r>
        <w:rPr>
          <w:rFonts w:hint="eastAsia" w:ascii="宋体" w:hAnsi="宋体" w:cs="宋体"/>
          <w:bCs/>
          <w:i w:val="0"/>
          <w:iCs w:val="0"/>
          <w:caps w:val="0"/>
          <w:spacing w:val="0"/>
          <w:kern w:val="28"/>
          <w:sz w:val="21"/>
          <w:szCs w:val="22"/>
          <w:highlight w:val="none"/>
          <w:u w:val="none"/>
          <w:shd w:val="clear" w:color="auto" w:fill="auto"/>
          <w:lang w:val="en-US" w:eastAsia="zh-CN"/>
        </w:rPr>
        <w:t>》许可项目为电梯制造（含安装、修理、改造）、许可参数额定速度V≤6.0m/s</w:t>
      </w:r>
      <w:r>
        <w:rPr>
          <w:rFonts w:hint="eastAsia" w:ascii="宋体" w:hAnsi="宋体" w:eastAsia="宋体" w:cs="宋体"/>
          <w:bCs/>
          <w:i w:val="0"/>
          <w:iCs w:val="0"/>
          <w:caps w:val="0"/>
          <w:spacing w:val="0"/>
          <w:kern w:val="28"/>
          <w:sz w:val="21"/>
          <w:szCs w:val="22"/>
          <w:highlight w:val="none"/>
          <w:u w:val="none"/>
          <w:shd w:val="clear" w:color="auto" w:fill="auto"/>
        </w:rPr>
        <w:t>资质；</w:t>
      </w:r>
    </w:p>
    <w:p w14:paraId="710880C5">
      <w:pPr>
        <w:shd w:val="clear" w:color="auto" w:fill="auto"/>
        <w:spacing w:line="360" w:lineRule="auto"/>
        <w:ind w:left="-359" w:leftChars="-171" w:firstLine="462" w:firstLineChars="220"/>
        <w:rPr>
          <w:rFonts w:hint="eastAsia" w:ascii="宋体" w:hAnsi="宋体" w:eastAsia="宋体" w:cs="宋体"/>
          <w:bCs/>
          <w:i w:val="0"/>
          <w:iCs w:val="0"/>
          <w:caps w:val="0"/>
          <w:spacing w:val="0"/>
          <w:kern w:val="28"/>
          <w:sz w:val="21"/>
          <w:szCs w:val="22"/>
          <w:highlight w:val="none"/>
        </w:rPr>
      </w:pPr>
      <w:r>
        <w:rPr>
          <w:rFonts w:hint="eastAsia" w:ascii="宋体" w:hAnsi="宋体" w:eastAsia="宋体" w:cs="宋体"/>
          <w:bCs/>
          <w:i w:val="0"/>
          <w:iCs w:val="0"/>
          <w:caps w:val="0"/>
          <w:spacing w:val="0"/>
          <w:kern w:val="28"/>
          <w:sz w:val="21"/>
          <w:szCs w:val="22"/>
          <w:highlight w:val="none"/>
          <w:u w:val="none"/>
          <w:shd w:val="clear" w:color="auto" w:fill="auto"/>
        </w:rPr>
        <w:t>②投标人拟投货物需提供完全满足本项目电梯规格的《特种设备型式试验证书（电梯）》（电梯规格详见</w:t>
      </w:r>
      <w:r>
        <w:rPr>
          <w:rFonts w:hint="eastAsia" w:ascii="宋体" w:hAnsi="宋体" w:eastAsia="宋体" w:cs="宋体"/>
          <w:bCs/>
          <w:i w:val="0"/>
          <w:iCs w:val="0"/>
          <w:caps w:val="0"/>
          <w:spacing w:val="0"/>
          <w:kern w:val="28"/>
          <w:sz w:val="21"/>
          <w:szCs w:val="22"/>
          <w:highlight w:val="none"/>
          <w:u w:val="none"/>
          <w:shd w:val="clear" w:color="auto" w:fill="auto"/>
          <w:lang w:val="en-US" w:eastAsia="zh-CN"/>
        </w:rPr>
        <w:t>第三章</w:t>
      </w:r>
      <w:r>
        <w:rPr>
          <w:rFonts w:hint="eastAsia" w:ascii="宋体" w:hAnsi="宋体" w:eastAsia="宋体" w:cs="宋体"/>
          <w:bCs/>
          <w:i w:val="0"/>
          <w:iCs w:val="0"/>
          <w:caps w:val="0"/>
          <w:spacing w:val="0"/>
          <w:kern w:val="28"/>
          <w:sz w:val="21"/>
          <w:szCs w:val="22"/>
          <w:highlight w:val="none"/>
          <w:u w:val="none"/>
          <w:shd w:val="clear" w:color="auto" w:fill="auto"/>
          <w:lang w:eastAsia="zh-CN"/>
        </w:rPr>
        <w:t>《</w:t>
      </w:r>
      <w:r>
        <w:rPr>
          <w:rFonts w:hint="eastAsia" w:ascii="宋体" w:hAnsi="宋体" w:eastAsia="宋体" w:cs="宋体"/>
          <w:bCs/>
          <w:i w:val="0"/>
          <w:iCs w:val="0"/>
          <w:caps w:val="0"/>
          <w:spacing w:val="0"/>
          <w:kern w:val="28"/>
          <w:sz w:val="21"/>
          <w:szCs w:val="22"/>
          <w:highlight w:val="none"/>
          <w:u w:val="none"/>
          <w:shd w:val="clear" w:color="auto" w:fill="auto"/>
          <w:lang w:val="en-US" w:eastAsia="zh-CN"/>
        </w:rPr>
        <w:t>用户需求书</w:t>
      </w:r>
      <w:r>
        <w:rPr>
          <w:rFonts w:hint="eastAsia" w:ascii="宋体" w:hAnsi="宋体" w:eastAsia="宋体" w:cs="宋体"/>
          <w:bCs/>
          <w:i w:val="0"/>
          <w:iCs w:val="0"/>
          <w:caps w:val="0"/>
          <w:spacing w:val="0"/>
          <w:kern w:val="28"/>
          <w:sz w:val="21"/>
          <w:szCs w:val="22"/>
          <w:highlight w:val="none"/>
          <w:u w:val="none"/>
          <w:shd w:val="clear" w:color="auto" w:fill="auto"/>
          <w:lang w:eastAsia="zh-CN"/>
        </w:rPr>
        <w:t>》</w:t>
      </w:r>
      <w:r>
        <w:rPr>
          <w:rFonts w:hint="eastAsia" w:ascii="宋体" w:hAnsi="宋体" w:eastAsia="宋体" w:cs="宋体"/>
          <w:bCs/>
          <w:i w:val="0"/>
          <w:iCs w:val="0"/>
          <w:caps w:val="0"/>
          <w:spacing w:val="0"/>
          <w:kern w:val="28"/>
          <w:sz w:val="21"/>
          <w:szCs w:val="22"/>
          <w:highlight w:val="none"/>
          <w:u w:val="none"/>
          <w:shd w:val="clear" w:color="auto" w:fill="auto"/>
        </w:rPr>
        <w:t>中的额定载重、额定速度）。</w:t>
      </w:r>
    </w:p>
    <w:p w14:paraId="43921CA5">
      <w:pPr>
        <w:shd w:val="clear" w:color="auto" w:fill="auto"/>
        <w:spacing w:line="360" w:lineRule="auto"/>
        <w:ind w:left="-359" w:leftChars="-171" w:firstLine="462" w:firstLineChars="220"/>
        <w:rPr>
          <w:rFonts w:hint="eastAsia" w:ascii="宋体" w:hAnsi="宋体" w:eastAsia="宋体" w:cs="宋体"/>
          <w:bCs/>
          <w:kern w:val="28"/>
          <w:szCs w:val="22"/>
          <w:highlight w:val="none"/>
          <w:lang w:eastAsia="zh-CN"/>
        </w:rPr>
      </w:pPr>
      <w:r>
        <w:rPr>
          <w:rFonts w:hint="eastAsia" w:ascii="宋体" w:hAnsi="宋体" w:eastAsia="宋体" w:cs="宋体"/>
          <w:bCs/>
          <w:i w:val="0"/>
          <w:iCs w:val="0"/>
          <w:caps w:val="0"/>
          <w:spacing w:val="0"/>
          <w:kern w:val="28"/>
          <w:sz w:val="21"/>
          <w:szCs w:val="22"/>
          <w:highlight w:val="none"/>
          <w:u w:val="none"/>
          <w:shd w:val="clear" w:color="auto" w:fill="auto"/>
          <w:lang w:val="en-US" w:eastAsia="zh-CN"/>
        </w:rPr>
        <w:t>2.4、</w:t>
      </w:r>
      <w:r>
        <w:rPr>
          <w:rFonts w:hint="eastAsia" w:ascii="宋体" w:hAnsi="宋体" w:cs="宋体"/>
          <w:bCs/>
          <w:color w:val="auto"/>
          <w:kern w:val="28"/>
          <w:szCs w:val="22"/>
          <w:highlight w:val="none"/>
          <w:lang w:val="en-US" w:eastAsia="zh-CN"/>
        </w:rPr>
        <w:t>投标人提供2022年度或2023年度的财务状况报告（若2024年新成立的，提供成立至今的月或季度财务状况报告复印件并加盖公章）或者基本户开户银行出具的资信证明复印件</w:t>
      </w:r>
      <w:r>
        <w:rPr>
          <w:rFonts w:hint="eastAsia" w:ascii="宋体" w:hAnsi="宋体" w:cs="宋体"/>
          <w:bCs/>
          <w:kern w:val="28"/>
          <w:szCs w:val="22"/>
          <w:highlight w:val="none"/>
          <w:lang w:eastAsia="zh-CN"/>
        </w:rPr>
        <w:t>。</w:t>
      </w:r>
    </w:p>
    <w:p w14:paraId="78758802">
      <w:pPr>
        <w:shd w:val="clear" w:color="auto" w:fill="auto"/>
        <w:spacing w:line="360" w:lineRule="auto"/>
        <w:ind w:left="-359" w:leftChars="-171" w:firstLine="462" w:firstLineChars="220"/>
        <w:rPr>
          <w:rFonts w:hint="eastAsia" w:ascii="宋体" w:hAnsi="宋体" w:cs="宋体"/>
          <w:bCs/>
          <w:kern w:val="28"/>
          <w:szCs w:val="22"/>
          <w:highlight w:val="none"/>
          <w:lang w:val="en-US" w:eastAsia="zh-CN"/>
        </w:rPr>
      </w:pPr>
      <w:r>
        <w:rPr>
          <w:rFonts w:hint="eastAsia" w:ascii="宋体" w:hAnsi="宋体" w:cs="宋体"/>
          <w:bCs/>
          <w:kern w:val="28"/>
          <w:szCs w:val="22"/>
          <w:highlight w:val="none"/>
          <w:lang w:val="en-US" w:eastAsia="zh-CN"/>
        </w:rPr>
        <w:t>2.5、投标人有依法缴纳税收和社会保障资金的良好记录：提供2024年至今任意1个月缴纳税收和社会保障资金的相关材料。如依法免税或不需要缴纳社会保障资金的，提供相应证明材料。</w:t>
      </w:r>
    </w:p>
    <w:p w14:paraId="45674BE3">
      <w:pPr>
        <w:shd w:val="clear" w:color="auto" w:fill="auto"/>
        <w:spacing w:line="360" w:lineRule="auto"/>
        <w:ind w:left="-359" w:leftChars="-171" w:firstLine="462" w:firstLineChars="220"/>
        <w:rPr>
          <w:rFonts w:hint="eastAsia" w:ascii="宋体" w:hAnsi="宋体" w:eastAsia="宋体" w:cs="宋体"/>
          <w:bCs/>
          <w:kern w:val="28"/>
          <w:szCs w:val="22"/>
          <w:highlight w:val="none"/>
          <w:lang w:eastAsia="zh-CN"/>
        </w:rPr>
      </w:pPr>
      <w:r>
        <w:rPr>
          <w:rFonts w:hint="eastAsia" w:ascii="宋体" w:hAnsi="宋体" w:cs="宋体"/>
          <w:bCs/>
          <w:kern w:val="28"/>
          <w:szCs w:val="22"/>
          <w:highlight w:val="none"/>
          <w:lang w:val="en-US" w:eastAsia="zh-CN"/>
        </w:rPr>
        <w:t>2.6、投标人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s="宋体"/>
          <w:bCs/>
          <w:kern w:val="28"/>
          <w:szCs w:val="22"/>
          <w:highlight w:val="none"/>
          <w:lang w:eastAsia="zh-CN"/>
        </w:rPr>
        <w:t>（</w:t>
      </w:r>
      <w:r>
        <w:rPr>
          <w:rFonts w:hint="eastAsia" w:ascii="宋体" w:hAnsi="宋体" w:cs="宋体"/>
          <w:bCs/>
          <w:kern w:val="28"/>
          <w:szCs w:val="22"/>
          <w:highlight w:val="none"/>
          <w:lang w:val="en-US" w:eastAsia="zh-CN"/>
        </w:rPr>
        <w:t>格式自拟，须加盖公章</w:t>
      </w:r>
      <w:r>
        <w:rPr>
          <w:rFonts w:hint="eastAsia" w:ascii="宋体" w:hAnsi="宋体" w:cs="宋体"/>
          <w:bCs/>
          <w:kern w:val="28"/>
          <w:szCs w:val="22"/>
          <w:highlight w:val="none"/>
          <w:lang w:eastAsia="zh-CN"/>
        </w:rPr>
        <w:t>）。</w:t>
      </w:r>
    </w:p>
    <w:p w14:paraId="00E7C233">
      <w:pPr>
        <w:shd w:val="clear" w:color="auto" w:fill="auto"/>
        <w:spacing w:line="360" w:lineRule="auto"/>
        <w:ind w:left="-359" w:leftChars="-171" w:firstLine="462" w:firstLineChars="220"/>
        <w:rPr>
          <w:rFonts w:hint="default" w:ascii="宋体" w:hAnsi="宋体" w:cs="宋体"/>
          <w:bCs/>
          <w:kern w:val="28"/>
          <w:szCs w:val="22"/>
          <w:highlight w:val="none"/>
          <w:lang w:val="en-US" w:eastAsia="zh-CN"/>
        </w:rPr>
      </w:pPr>
      <w:r>
        <w:rPr>
          <w:rFonts w:hint="eastAsia" w:ascii="宋体" w:hAnsi="宋体" w:cs="宋体"/>
          <w:bCs/>
          <w:kern w:val="28"/>
          <w:szCs w:val="22"/>
          <w:highlight w:val="none"/>
          <w:lang w:val="en-US" w:eastAsia="zh-CN"/>
        </w:rPr>
        <w:t>2.7、投标人为本项目提供整体设计、规范编制或者项目管理、监理、检测等服务的供应商不得参与本项目投标</w:t>
      </w:r>
      <w:r>
        <w:rPr>
          <w:rFonts w:hint="eastAsia" w:ascii="宋体" w:hAnsi="宋体" w:cs="宋体"/>
          <w:bCs/>
          <w:kern w:val="28"/>
          <w:szCs w:val="22"/>
          <w:highlight w:val="none"/>
          <w:lang w:eastAsia="zh-CN"/>
        </w:rPr>
        <w:t>（</w:t>
      </w:r>
      <w:r>
        <w:rPr>
          <w:rFonts w:hint="eastAsia" w:ascii="宋体" w:hAnsi="宋体" w:cs="宋体"/>
          <w:bCs/>
          <w:kern w:val="28"/>
          <w:szCs w:val="22"/>
          <w:highlight w:val="none"/>
          <w:lang w:val="en-US" w:eastAsia="zh-CN"/>
        </w:rPr>
        <w:t>格式自拟，须加盖公章</w:t>
      </w:r>
      <w:r>
        <w:rPr>
          <w:rFonts w:hint="eastAsia" w:ascii="宋体" w:hAnsi="宋体" w:cs="宋体"/>
          <w:bCs/>
          <w:kern w:val="28"/>
          <w:szCs w:val="22"/>
          <w:highlight w:val="none"/>
          <w:lang w:eastAsia="zh-CN"/>
        </w:rPr>
        <w:t>）</w:t>
      </w:r>
      <w:r>
        <w:rPr>
          <w:rFonts w:hint="eastAsia" w:ascii="宋体" w:hAnsi="宋体" w:cs="宋体"/>
          <w:bCs/>
          <w:kern w:val="28"/>
          <w:szCs w:val="22"/>
          <w:highlight w:val="none"/>
          <w:lang w:val="en-US" w:eastAsia="zh-CN"/>
        </w:rPr>
        <w:t>。</w:t>
      </w:r>
    </w:p>
    <w:p w14:paraId="6C0FA14C">
      <w:pPr>
        <w:shd w:val="clear" w:color="auto" w:fill="auto"/>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lang w:val="en-US" w:eastAsia="zh-CN"/>
        </w:rPr>
        <w:t>2.8、</w:t>
      </w:r>
      <w:r>
        <w:rPr>
          <w:rFonts w:hint="eastAsia" w:ascii="宋体" w:hAnsi="宋体" w:cs="宋体"/>
          <w:bCs/>
          <w:kern w:val="28"/>
          <w:szCs w:val="22"/>
          <w:highlight w:val="none"/>
        </w:rPr>
        <w:t>投标人所属的单位负责人为同一人或者存在控股、管理等关联关系的不同供应商，不得参加同一合同项下的采购活动，投标人应提交书面声明</w:t>
      </w:r>
      <w:r>
        <w:rPr>
          <w:rFonts w:hint="eastAsia" w:ascii="宋体" w:hAnsi="宋体" w:cs="宋体"/>
          <w:bCs/>
          <w:kern w:val="28"/>
          <w:szCs w:val="22"/>
          <w:highlight w:val="none"/>
          <w:lang w:eastAsia="zh-CN"/>
        </w:rPr>
        <w:t>（</w:t>
      </w:r>
      <w:r>
        <w:rPr>
          <w:rFonts w:hint="eastAsia" w:ascii="宋体" w:hAnsi="宋体" w:cs="宋体"/>
          <w:bCs/>
          <w:kern w:val="28"/>
          <w:szCs w:val="22"/>
          <w:highlight w:val="none"/>
          <w:lang w:val="en-US" w:eastAsia="zh-CN"/>
        </w:rPr>
        <w:t>格式自拟，须加盖公章</w:t>
      </w:r>
      <w:r>
        <w:rPr>
          <w:rFonts w:hint="eastAsia" w:ascii="宋体" w:hAnsi="宋体" w:cs="宋体"/>
          <w:bCs/>
          <w:kern w:val="28"/>
          <w:szCs w:val="22"/>
          <w:highlight w:val="none"/>
          <w:lang w:eastAsia="zh-CN"/>
        </w:rPr>
        <w:t>）</w:t>
      </w:r>
      <w:r>
        <w:rPr>
          <w:rFonts w:hint="eastAsia" w:ascii="宋体" w:hAnsi="宋体" w:cs="宋体"/>
          <w:bCs/>
          <w:kern w:val="28"/>
          <w:szCs w:val="22"/>
          <w:highlight w:val="none"/>
        </w:rPr>
        <w:t>。</w:t>
      </w:r>
    </w:p>
    <w:p w14:paraId="169AA733">
      <w:pPr>
        <w:shd w:val="clear" w:color="auto" w:fill="auto"/>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w:t>
      </w:r>
      <w:r>
        <w:rPr>
          <w:rFonts w:hint="eastAsia" w:ascii="宋体" w:hAnsi="宋体" w:cs="宋体"/>
          <w:bCs/>
          <w:kern w:val="28"/>
          <w:szCs w:val="22"/>
          <w:highlight w:val="none"/>
          <w:lang w:val="en-US" w:eastAsia="zh-CN"/>
        </w:rPr>
        <w:t>9</w:t>
      </w:r>
      <w:r>
        <w:rPr>
          <w:rFonts w:hint="eastAsia" w:ascii="宋体" w:hAnsi="宋体" w:cs="宋体"/>
          <w:bCs/>
          <w:kern w:val="28"/>
          <w:szCs w:val="22"/>
          <w:highlight w:val="none"/>
        </w:rPr>
        <w:t>、</w:t>
      </w:r>
      <w:r>
        <w:rPr>
          <w:rFonts w:hint="eastAsia" w:ascii="宋体" w:hAnsi="宋体" w:cs="宋体"/>
          <w:bCs/>
          <w:kern w:val="28"/>
          <w:szCs w:val="22"/>
          <w:highlight w:val="none"/>
          <w:lang w:val="en-US" w:eastAsia="zh-CN"/>
        </w:rPr>
        <w:t>投标人</w:t>
      </w:r>
      <w:r>
        <w:rPr>
          <w:rFonts w:hint="eastAsia" w:ascii="宋体" w:hAnsi="宋体" w:cs="宋体"/>
          <w:bCs/>
          <w:kern w:val="28"/>
          <w:szCs w:val="22"/>
        </w:rPr>
        <w:t>具备</w:t>
      </w:r>
      <w:r>
        <w:rPr>
          <w:rFonts w:hint="eastAsia" w:ascii="宋体" w:hAnsi="宋体" w:cs="宋体"/>
          <w:bCs/>
          <w:kern w:val="28"/>
          <w:szCs w:val="22"/>
          <w:lang w:val="zh-CN"/>
        </w:rPr>
        <w:t>履行合同所必需的设备和专业技术能力</w:t>
      </w:r>
      <w:r>
        <w:rPr>
          <w:rFonts w:hint="eastAsia" w:ascii="宋体" w:hAnsi="宋体" w:cs="宋体"/>
          <w:bCs/>
          <w:kern w:val="28"/>
          <w:szCs w:val="22"/>
          <w:highlight w:val="none"/>
          <w:lang w:eastAsia="zh-CN"/>
        </w:rPr>
        <w:t>（</w:t>
      </w:r>
      <w:r>
        <w:rPr>
          <w:rFonts w:hint="eastAsia" w:ascii="宋体" w:hAnsi="宋体" w:cs="宋体"/>
          <w:bCs/>
          <w:kern w:val="28"/>
          <w:szCs w:val="22"/>
          <w:highlight w:val="none"/>
          <w:lang w:val="en-US" w:eastAsia="zh-CN"/>
        </w:rPr>
        <w:t>格式自拟，须加盖公章</w:t>
      </w:r>
      <w:r>
        <w:rPr>
          <w:rFonts w:hint="eastAsia" w:ascii="宋体" w:hAnsi="宋体" w:cs="宋体"/>
          <w:bCs/>
          <w:kern w:val="28"/>
          <w:szCs w:val="22"/>
          <w:highlight w:val="none"/>
          <w:lang w:eastAsia="zh-CN"/>
        </w:rPr>
        <w:t>）</w:t>
      </w:r>
      <w:r>
        <w:rPr>
          <w:rFonts w:hint="eastAsia" w:ascii="宋体" w:hAnsi="宋体" w:cs="宋体"/>
          <w:bCs/>
          <w:kern w:val="28"/>
          <w:szCs w:val="22"/>
          <w:highlight w:val="none"/>
          <w:lang w:val="en-US" w:eastAsia="zh-CN"/>
        </w:rPr>
        <w:t>。</w:t>
      </w:r>
    </w:p>
    <w:p w14:paraId="28F238DF">
      <w:pPr>
        <w:shd w:val="clear" w:color="auto" w:fill="auto"/>
        <w:spacing w:line="360" w:lineRule="auto"/>
        <w:ind w:left="-359" w:leftChars="-171" w:firstLine="462" w:firstLineChars="220"/>
        <w:rPr>
          <w:rFonts w:hint="eastAsia" w:ascii="宋体" w:hAnsi="宋体" w:cs="宋体"/>
          <w:bCs/>
          <w:kern w:val="28"/>
          <w:szCs w:val="22"/>
          <w:highlight w:val="none"/>
        </w:rPr>
      </w:pPr>
      <w:r>
        <w:rPr>
          <w:rFonts w:hint="eastAsia" w:ascii="宋体" w:hAnsi="宋体" w:cs="宋体"/>
          <w:bCs/>
          <w:kern w:val="28"/>
          <w:szCs w:val="22"/>
          <w:highlight w:val="none"/>
        </w:rPr>
        <w:t>2.</w:t>
      </w:r>
      <w:r>
        <w:rPr>
          <w:rFonts w:hint="eastAsia" w:ascii="宋体" w:hAnsi="宋体" w:cs="宋体"/>
          <w:bCs/>
          <w:kern w:val="28"/>
          <w:szCs w:val="22"/>
          <w:highlight w:val="none"/>
          <w:lang w:val="en-US" w:eastAsia="zh-CN"/>
        </w:rPr>
        <w:t>10</w:t>
      </w:r>
      <w:r>
        <w:rPr>
          <w:rFonts w:hint="eastAsia" w:ascii="宋体" w:hAnsi="宋体" w:cs="宋体"/>
          <w:bCs/>
          <w:kern w:val="28"/>
          <w:szCs w:val="22"/>
          <w:highlight w:val="none"/>
        </w:rPr>
        <w:t>、投标人未被列入“信用中国”网站(www.creditchina.gov.cn)“记录失信被执行人或政府采购严重违法失信行为记录名单或重大税收违法失信主体”记录名单；不处于中国政府采购网(www.ccgp.gov.cn)“政府采购严重违法失信行为信息记录”中的禁止参加政府采购活动期间。（以招标代理机构在本项目招标公告发布之日至提交投标文件截止之日期间在“信用中国”网站（www.creditchina.gov.cn）及中国政府采购网（http://www.ccgp.gov.cn/）查询结果为准；处罚期限届满的除外。如“信用中国”网站查询结果显示“没有找到您搜索的企业”或“没有找到您搜索数据”，视为没有上述不良信用记录）。投标人存在不良信用记录的，其投标将被作为无效投标。</w:t>
      </w:r>
    </w:p>
    <w:p w14:paraId="38373537">
      <w:pPr>
        <w:shd w:val="clear" w:color="auto" w:fill="auto"/>
        <w:spacing w:line="360" w:lineRule="auto"/>
        <w:ind w:left="-359" w:leftChars="-171" w:firstLine="462" w:firstLineChars="220"/>
        <w:rPr>
          <w:rFonts w:hint="eastAsia" w:ascii="宋体" w:hAnsi="宋体" w:eastAsia="宋体" w:cs="宋体"/>
          <w:bCs/>
          <w:color w:val="auto"/>
          <w:kern w:val="28"/>
          <w:szCs w:val="22"/>
          <w:highlight w:val="none"/>
        </w:rPr>
      </w:pPr>
      <w:r>
        <w:rPr>
          <w:rFonts w:hint="eastAsia" w:ascii="宋体" w:hAnsi="宋体" w:cs="宋体"/>
          <w:bCs/>
          <w:kern w:val="28"/>
          <w:szCs w:val="22"/>
          <w:highlight w:val="none"/>
        </w:rPr>
        <w:t>2.</w:t>
      </w:r>
      <w:r>
        <w:rPr>
          <w:rFonts w:hint="eastAsia" w:ascii="宋体" w:hAnsi="宋体" w:cs="宋体"/>
          <w:bCs/>
          <w:kern w:val="28"/>
          <w:szCs w:val="22"/>
          <w:highlight w:val="none"/>
          <w:lang w:val="en-US" w:eastAsia="zh-CN"/>
        </w:rPr>
        <w:t>11</w:t>
      </w:r>
      <w:r>
        <w:rPr>
          <w:rFonts w:hint="eastAsia" w:ascii="宋体" w:hAnsi="宋体" w:cs="宋体"/>
          <w:bCs/>
          <w:kern w:val="28"/>
          <w:szCs w:val="22"/>
          <w:highlight w:val="none"/>
        </w:rPr>
        <w:t>、本项目不接受备选方案，</w:t>
      </w:r>
      <w:r>
        <w:rPr>
          <w:rFonts w:hint="eastAsia" w:ascii="宋体" w:hAnsi="宋体" w:cs="宋体"/>
          <w:bCs/>
          <w:kern w:val="28"/>
          <w:szCs w:val="22"/>
          <w:highlight w:val="none"/>
          <w:lang w:val="en-US" w:eastAsia="zh-CN"/>
        </w:rPr>
        <w:t>不允许违法分包或转包，</w:t>
      </w:r>
      <w:r>
        <w:rPr>
          <w:rFonts w:hint="eastAsia" w:ascii="宋体" w:hAnsi="宋体" w:cs="宋体"/>
          <w:bCs/>
          <w:kern w:val="28"/>
          <w:szCs w:val="22"/>
          <w:highlight w:val="none"/>
        </w:rPr>
        <w:t>不接受联合体投标。</w:t>
      </w:r>
    </w:p>
    <w:p w14:paraId="687A37BB">
      <w:pPr>
        <w:shd w:val="clear" w:color="auto" w:fill="auto"/>
        <w:tabs>
          <w:tab w:val="left" w:pos="540"/>
        </w:tabs>
        <w:spacing w:line="360" w:lineRule="auto"/>
        <w:outlineLvl w:val="0"/>
        <w:rPr>
          <w:rFonts w:hint="eastAsia" w:ascii="宋体" w:hAnsi="宋体" w:eastAsia="宋体" w:cs="宋体"/>
          <w:b/>
          <w:color w:val="auto"/>
          <w:highlight w:val="none"/>
        </w:rPr>
      </w:pPr>
      <w:bookmarkStart w:id="19" w:name="_Toc2035"/>
      <w:r>
        <w:rPr>
          <w:rFonts w:hint="eastAsia" w:ascii="宋体" w:hAnsi="宋体" w:eastAsia="宋体" w:cs="宋体"/>
          <w:b/>
          <w:color w:val="auto"/>
          <w:highlight w:val="none"/>
        </w:rPr>
        <w:t>三、获取招标文件的</w:t>
      </w:r>
      <w:bookmarkEnd w:id="15"/>
      <w:bookmarkEnd w:id="16"/>
      <w:bookmarkEnd w:id="17"/>
      <w:bookmarkEnd w:id="18"/>
      <w:r>
        <w:rPr>
          <w:rFonts w:hint="eastAsia" w:ascii="宋体" w:hAnsi="宋体" w:eastAsia="宋体" w:cs="宋体"/>
          <w:b/>
          <w:color w:val="auto"/>
          <w:highlight w:val="none"/>
        </w:rPr>
        <w:t>方式</w:t>
      </w:r>
      <w:bookmarkEnd w:id="19"/>
    </w:p>
    <w:p w14:paraId="3ED94D27">
      <w:pPr>
        <w:spacing w:line="360" w:lineRule="auto"/>
        <w:ind w:left="-359" w:leftChars="-171" w:firstLine="462" w:firstLineChars="220"/>
        <w:rPr>
          <w:rFonts w:hint="eastAsia" w:ascii="宋体" w:hAnsi="宋体" w:eastAsia="宋体" w:cs="宋体"/>
          <w:bCs/>
          <w:color w:val="auto"/>
          <w:kern w:val="28"/>
          <w:szCs w:val="22"/>
          <w:highlight w:val="none"/>
        </w:rPr>
      </w:pPr>
      <w:r>
        <w:rPr>
          <w:rFonts w:hint="eastAsia" w:ascii="宋体" w:hAnsi="宋体" w:eastAsia="宋体" w:cs="宋体"/>
          <w:bCs/>
          <w:color w:val="auto"/>
          <w:kern w:val="28"/>
          <w:szCs w:val="22"/>
          <w:highlight w:val="none"/>
        </w:rPr>
        <w:t>3.1符合资格的投标人应当在</w:t>
      </w:r>
      <w:r>
        <w:rPr>
          <w:rFonts w:hint="eastAsia" w:ascii="宋体" w:hAnsi="宋体" w:eastAsia="宋体" w:cs="宋体"/>
          <w:bCs/>
          <w:color w:val="000000"/>
          <w:kern w:val="28"/>
          <w:szCs w:val="22"/>
          <w:highlight w:val="none"/>
        </w:rPr>
        <w:t>202</w:t>
      </w:r>
      <w:r>
        <w:rPr>
          <w:rFonts w:hint="eastAsia" w:ascii="宋体" w:hAnsi="宋体" w:eastAsia="宋体" w:cs="宋体"/>
          <w:bCs/>
          <w:color w:val="000000"/>
          <w:kern w:val="28"/>
          <w:szCs w:val="22"/>
          <w:highlight w:val="none"/>
          <w:lang w:val="en-US" w:eastAsia="zh-CN"/>
        </w:rPr>
        <w:t>4</w:t>
      </w:r>
      <w:r>
        <w:rPr>
          <w:rFonts w:hint="eastAsia" w:ascii="宋体" w:hAnsi="宋体" w:eastAsia="宋体" w:cs="宋体"/>
          <w:bCs/>
          <w:color w:val="000000"/>
          <w:kern w:val="28"/>
          <w:szCs w:val="22"/>
          <w:highlight w:val="none"/>
        </w:rPr>
        <w:t>年</w:t>
      </w:r>
      <w:r>
        <w:rPr>
          <w:rFonts w:hint="eastAsia" w:ascii="宋体" w:hAnsi="宋体" w:cs="宋体"/>
          <w:bCs/>
          <w:color w:val="000000"/>
          <w:kern w:val="28"/>
          <w:szCs w:val="22"/>
          <w:highlight w:val="none"/>
          <w:lang w:val="en-US" w:eastAsia="zh-CN"/>
        </w:rPr>
        <w:t>11</w:t>
      </w:r>
      <w:r>
        <w:rPr>
          <w:rFonts w:hint="eastAsia" w:ascii="宋体" w:hAnsi="宋体" w:eastAsia="宋体" w:cs="宋体"/>
          <w:bCs/>
          <w:color w:val="000000"/>
          <w:kern w:val="28"/>
          <w:szCs w:val="22"/>
          <w:highlight w:val="none"/>
        </w:rPr>
        <w:t>月</w:t>
      </w:r>
      <w:r>
        <w:rPr>
          <w:rFonts w:hint="eastAsia" w:ascii="宋体" w:hAnsi="宋体" w:cs="宋体"/>
          <w:bCs/>
          <w:color w:val="000000"/>
          <w:kern w:val="28"/>
          <w:szCs w:val="22"/>
          <w:highlight w:val="none"/>
          <w:lang w:val="en-US" w:eastAsia="zh-CN"/>
        </w:rPr>
        <w:t>21</w:t>
      </w:r>
      <w:r>
        <w:rPr>
          <w:rFonts w:hint="eastAsia" w:ascii="宋体" w:hAnsi="宋体" w:eastAsia="宋体" w:cs="宋体"/>
          <w:bCs/>
          <w:color w:val="000000"/>
          <w:kern w:val="28"/>
          <w:szCs w:val="22"/>
          <w:highlight w:val="none"/>
        </w:rPr>
        <w:t>日起至202</w:t>
      </w:r>
      <w:r>
        <w:rPr>
          <w:rFonts w:hint="eastAsia" w:ascii="宋体" w:hAnsi="宋体" w:eastAsia="宋体" w:cs="宋体"/>
          <w:bCs/>
          <w:color w:val="000000"/>
          <w:kern w:val="28"/>
          <w:szCs w:val="22"/>
          <w:highlight w:val="none"/>
          <w:lang w:val="en-US" w:eastAsia="zh-CN"/>
        </w:rPr>
        <w:t>4</w:t>
      </w:r>
      <w:r>
        <w:rPr>
          <w:rFonts w:hint="eastAsia" w:ascii="宋体" w:hAnsi="宋体" w:eastAsia="宋体" w:cs="宋体"/>
          <w:bCs/>
          <w:color w:val="000000"/>
          <w:kern w:val="28"/>
          <w:szCs w:val="22"/>
          <w:highlight w:val="none"/>
        </w:rPr>
        <w:t>年</w:t>
      </w:r>
      <w:r>
        <w:rPr>
          <w:rFonts w:hint="eastAsia" w:ascii="宋体" w:hAnsi="宋体" w:cs="宋体"/>
          <w:bCs/>
          <w:color w:val="000000"/>
          <w:kern w:val="28"/>
          <w:szCs w:val="22"/>
          <w:highlight w:val="none"/>
          <w:lang w:val="en-US" w:eastAsia="zh-CN"/>
        </w:rPr>
        <w:t>11</w:t>
      </w:r>
      <w:r>
        <w:rPr>
          <w:rFonts w:hint="eastAsia" w:ascii="宋体" w:hAnsi="宋体" w:eastAsia="宋体" w:cs="宋体"/>
          <w:bCs/>
          <w:color w:val="000000"/>
          <w:kern w:val="28"/>
          <w:szCs w:val="22"/>
          <w:highlight w:val="none"/>
        </w:rPr>
        <w:t>月</w:t>
      </w:r>
      <w:r>
        <w:rPr>
          <w:rFonts w:hint="eastAsia" w:ascii="宋体" w:hAnsi="宋体" w:cs="宋体"/>
          <w:bCs/>
          <w:color w:val="000000"/>
          <w:kern w:val="28"/>
          <w:szCs w:val="22"/>
          <w:highlight w:val="none"/>
          <w:lang w:val="en-US" w:eastAsia="zh-CN"/>
        </w:rPr>
        <w:t>28</w:t>
      </w:r>
      <w:r>
        <w:rPr>
          <w:rFonts w:hint="eastAsia" w:ascii="宋体" w:hAnsi="宋体" w:eastAsia="宋体" w:cs="宋体"/>
          <w:bCs/>
          <w:color w:val="000000"/>
          <w:kern w:val="28"/>
          <w:szCs w:val="22"/>
          <w:highlight w:val="none"/>
        </w:rPr>
        <w:t>日</w:t>
      </w:r>
      <w:r>
        <w:rPr>
          <w:rFonts w:hint="eastAsia" w:ascii="宋体" w:hAnsi="宋体" w:eastAsia="宋体" w:cs="宋体"/>
          <w:bCs/>
          <w:color w:val="auto"/>
          <w:kern w:val="28"/>
          <w:szCs w:val="22"/>
          <w:highlight w:val="none"/>
        </w:rPr>
        <w:t>期间（9:00～12:00，14:00～17:30，法定节假日除外）按以下方式登记并获取招标文件。</w:t>
      </w:r>
    </w:p>
    <w:p w14:paraId="449CED2A">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color w:val="auto"/>
          <w:highlight w:val="none"/>
        </w:rPr>
        <w:t>本项目只接受网上登记，</w:t>
      </w:r>
      <w:r>
        <w:rPr>
          <w:rFonts w:hint="eastAsia" w:ascii="宋体" w:hAnsi="宋体" w:eastAsia="宋体" w:cs="宋体"/>
          <w:bCs/>
          <w:color w:val="auto"/>
          <w:szCs w:val="21"/>
          <w:highlight w:val="none"/>
        </w:rPr>
        <w:t>投标人首先访问广咨电子招投标交易平台网站（www.gzebid.cn）进行网上注册及项目在线登记。如投标人尚未注册，请根据网站指引进行办理，具体流程操作见网站“平台服务—办事指南—操作手册”的对应栏目。招标文件购买支持微信、支付宝两种方式，支付成功后我司会为您开具增值税普通电子发票，投标人可以登录系统选择对应项目下载电子发票（有关网上注册、在线登记及招标文件发票等事宜，请联系客服。热线电话：400-150-3001，网站客服(QQ)：3151435402）。具体登记及发售步骤如下：</w:t>
      </w:r>
    </w:p>
    <w:p w14:paraId="73891469">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步骤一：</w:t>
      </w:r>
    </w:p>
    <w:p w14:paraId="3B267D58">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项目网上登记递交申请登记资料：投标人登记时须提交以下申请登记资料一套电子版（加盖公章）上传至广咨电子招投标交易平台网站对应项目登记端口，登记资料要求如下：</w:t>
      </w:r>
    </w:p>
    <w:p w14:paraId="111B1A00">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①投标人营业执照；</w:t>
      </w:r>
    </w:p>
    <w:p w14:paraId="68A904F5">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②投标登记表（须加盖投标人公章）（见附件）</w:t>
      </w:r>
    </w:p>
    <w:p w14:paraId="2DB52C1A">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步骤二：</w:t>
      </w:r>
    </w:p>
    <w:p w14:paraId="09E63949">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对于已按要求提交登记资料的申请人，请务必在提交了合格的登记申请资料，和接到招标代理机构的审核通知后，才能网上购买招标文件（包括支付招标文件费用）。</w:t>
      </w:r>
    </w:p>
    <w:p w14:paraId="7F380DF3">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步骤三：</w:t>
      </w:r>
    </w:p>
    <w:p w14:paraId="0CA0A327">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对于已成功办理购买招标文件的投标人，招标代理机构将按投标人提供的联系方式发出招标文件。</w:t>
      </w:r>
    </w:p>
    <w:p w14:paraId="0498F61B">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3.2招标文件售价人民币</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00元，售后不退。</w:t>
      </w:r>
    </w:p>
    <w:p w14:paraId="4F9C73FC">
      <w:pPr>
        <w:spacing w:line="360" w:lineRule="auto"/>
        <w:ind w:left="-359" w:leftChars="-171" w:firstLine="462" w:firstLineChars="220"/>
        <w:rPr>
          <w:rFonts w:hint="eastAsia" w:ascii="宋体" w:hAnsi="宋体" w:eastAsia="宋体" w:cs="宋体"/>
          <w:color w:val="auto"/>
          <w:highlight w:val="none"/>
        </w:rPr>
      </w:pPr>
      <w:r>
        <w:rPr>
          <w:rFonts w:hint="eastAsia" w:ascii="宋体" w:hAnsi="宋体" w:eastAsia="宋体" w:cs="宋体"/>
          <w:bCs/>
          <w:color w:val="auto"/>
          <w:szCs w:val="21"/>
          <w:highlight w:val="none"/>
        </w:rPr>
        <w:t>3.3发布</w:t>
      </w:r>
      <w:r>
        <w:rPr>
          <w:rFonts w:hint="eastAsia" w:ascii="宋体" w:hAnsi="宋体" w:eastAsia="宋体" w:cs="宋体"/>
          <w:color w:val="auto"/>
          <w:highlight w:val="none"/>
        </w:rPr>
        <w:t>公告的媒介：本项目招标公告同时在中国招标投标公共服务平台、广咨电子招投</w:t>
      </w:r>
      <w:r>
        <w:rPr>
          <w:rFonts w:hint="eastAsia" w:ascii="宋体" w:hAnsi="宋体" w:eastAsia="宋体" w:cs="宋体"/>
          <w:bCs/>
          <w:color w:val="auto"/>
          <w:kern w:val="28"/>
          <w:szCs w:val="22"/>
          <w:highlight w:val="none"/>
        </w:rPr>
        <w:t>标交易平台</w:t>
      </w:r>
      <w:r>
        <w:rPr>
          <w:rFonts w:hint="eastAsia" w:ascii="宋体" w:hAnsi="宋体" w:eastAsia="宋体" w:cs="宋体"/>
          <w:color w:val="auto"/>
          <w:highlight w:val="none"/>
        </w:rPr>
        <w:t>（广东省机电设备招标有限公司网）</w:t>
      </w:r>
      <w:r>
        <w:rPr>
          <w:rFonts w:hint="eastAsia" w:ascii="宋体" w:hAnsi="宋体" w:eastAsia="宋体" w:cs="宋体"/>
          <w:bCs/>
          <w:color w:val="auto"/>
          <w:kern w:val="28"/>
          <w:szCs w:val="22"/>
          <w:highlight w:val="none"/>
          <w:lang w:eastAsia="zh-CN"/>
        </w:rPr>
        <w:t>、</w:t>
      </w:r>
      <w:r>
        <w:rPr>
          <w:rFonts w:hint="eastAsia" w:ascii="宋体" w:hAnsi="宋体" w:eastAsia="宋体" w:cs="宋体"/>
          <w:color w:val="auto"/>
          <w:highlight w:val="none"/>
          <w:lang w:eastAsia="zh-CN"/>
        </w:rPr>
        <w:t>南方网、《南方日报》</w:t>
      </w:r>
      <w:r>
        <w:rPr>
          <w:rFonts w:hint="eastAsia" w:ascii="宋体" w:hAnsi="宋体" w:eastAsia="宋体" w:cs="宋体"/>
          <w:bCs/>
          <w:color w:val="auto"/>
          <w:kern w:val="28"/>
          <w:szCs w:val="22"/>
          <w:highlight w:val="none"/>
        </w:rPr>
        <w:t>发布。</w:t>
      </w:r>
    </w:p>
    <w:p w14:paraId="6527DE60">
      <w:pPr>
        <w:tabs>
          <w:tab w:val="left" w:pos="540"/>
        </w:tabs>
        <w:spacing w:line="360" w:lineRule="auto"/>
        <w:outlineLvl w:val="0"/>
        <w:rPr>
          <w:rFonts w:hint="eastAsia" w:ascii="宋体" w:hAnsi="宋体" w:eastAsia="宋体" w:cs="宋体"/>
          <w:b/>
          <w:color w:val="auto"/>
          <w:highlight w:val="none"/>
        </w:rPr>
      </w:pPr>
      <w:bookmarkStart w:id="20" w:name="_Toc476177328"/>
      <w:bookmarkStart w:id="21" w:name="_Toc477185851"/>
      <w:bookmarkStart w:id="22" w:name="_Toc476177882"/>
      <w:bookmarkStart w:id="23" w:name="_Toc1650"/>
      <w:bookmarkStart w:id="24" w:name="_Toc477186212"/>
      <w:r>
        <w:rPr>
          <w:rFonts w:hint="eastAsia" w:ascii="宋体" w:hAnsi="宋体" w:eastAsia="宋体" w:cs="宋体"/>
          <w:b/>
          <w:color w:val="auto"/>
          <w:highlight w:val="none"/>
        </w:rPr>
        <w:t>四、投标文件的递交时间和递交地点</w:t>
      </w:r>
      <w:bookmarkEnd w:id="20"/>
      <w:bookmarkEnd w:id="21"/>
      <w:bookmarkEnd w:id="22"/>
      <w:bookmarkEnd w:id="23"/>
      <w:bookmarkEnd w:id="24"/>
    </w:p>
    <w:p w14:paraId="6E26C3F4">
      <w:pPr>
        <w:spacing w:line="360" w:lineRule="auto"/>
        <w:ind w:left="-359" w:leftChars="-171" w:firstLine="359" w:firstLineChars="171"/>
        <w:rPr>
          <w:rFonts w:hint="eastAsia" w:ascii="宋体" w:hAnsi="宋体" w:eastAsia="宋体" w:cs="宋体"/>
          <w:b/>
          <w:bCs/>
          <w:color w:val="auto"/>
          <w:szCs w:val="21"/>
          <w:highlight w:val="none"/>
        </w:rPr>
      </w:pPr>
      <w:bookmarkStart w:id="25" w:name="_Toc476177329"/>
      <w:bookmarkStart w:id="26" w:name="_Toc477185852"/>
      <w:bookmarkStart w:id="27" w:name="_Toc476177883"/>
      <w:bookmarkStart w:id="28" w:name="_Toc477186213"/>
      <w:r>
        <w:rPr>
          <w:rFonts w:hint="eastAsia" w:ascii="宋体" w:hAnsi="宋体" w:eastAsia="宋体" w:cs="宋体"/>
          <w:bCs/>
          <w:color w:val="auto"/>
          <w:kern w:val="28"/>
          <w:szCs w:val="22"/>
          <w:highlight w:val="none"/>
        </w:rPr>
        <w:t>4.1、递交投标文件时间：</w:t>
      </w:r>
      <w:r>
        <w:rPr>
          <w:rFonts w:hint="eastAsia" w:ascii="宋体" w:hAnsi="宋体" w:eastAsia="宋体" w:cs="宋体"/>
          <w:bCs/>
          <w:color w:val="000000"/>
          <w:kern w:val="28"/>
          <w:szCs w:val="22"/>
          <w:highlight w:val="none"/>
        </w:rPr>
        <w:t>202</w:t>
      </w:r>
      <w:r>
        <w:rPr>
          <w:rFonts w:hint="eastAsia" w:ascii="宋体" w:hAnsi="宋体" w:eastAsia="宋体" w:cs="宋体"/>
          <w:bCs/>
          <w:color w:val="000000"/>
          <w:kern w:val="28"/>
          <w:szCs w:val="22"/>
          <w:highlight w:val="none"/>
          <w:lang w:val="en-US" w:eastAsia="zh-CN"/>
        </w:rPr>
        <w:t>4</w:t>
      </w:r>
      <w:r>
        <w:rPr>
          <w:rFonts w:hint="eastAsia" w:ascii="宋体" w:hAnsi="宋体" w:eastAsia="宋体" w:cs="宋体"/>
          <w:bCs/>
          <w:color w:val="000000"/>
          <w:kern w:val="28"/>
          <w:szCs w:val="22"/>
          <w:highlight w:val="none"/>
        </w:rPr>
        <w:t>年</w:t>
      </w:r>
      <w:r>
        <w:rPr>
          <w:rFonts w:hint="eastAsia" w:ascii="宋体" w:hAnsi="宋体" w:cs="宋体"/>
          <w:bCs/>
          <w:color w:val="000000"/>
          <w:kern w:val="28"/>
          <w:szCs w:val="22"/>
          <w:highlight w:val="none"/>
          <w:lang w:val="en-US" w:eastAsia="zh-CN"/>
        </w:rPr>
        <w:t>12</w:t>
      </w:r>
      <w:r>
        <w:rPr>
          <w:rFonts w:hint="eastAsia" w:ascii="宋体" w:hAnsi="宋体" w:eastAsia="宋体" w:cs="宋体"/>
          <w:bCs/>
          <w:color w:val="000000"/>
          <w:kern w:val="28"/>
          <w:szCs w:val="22"/>
          <w:highlight w:val="none"/>
        </w:rPr>
        <w:t>月</w:t>
      </w:r>
      <w:r>
        <w:rPr>
          <w:rFonts w:hint="eastAsia" w:ascii="宋体" w:hAnsi="宋体" w:cs="宋体"/>
          <w:bCs/>
          <w:color w:val="000000"/>
          <w:kern w:val="28"/>
          <w:szCs w:val="22"/>
          <w:highlight w:val="none"/>
          <w:lang w:val="en-US" w:eastAsia="zh-CN"/>
        </w:rPr>
        <w:t>12</w:t>
      </w:r>
      <w:r>
        <w:rPr>
          <w:rFonts w:hint="eastAsia" w:ascii="宋体" w:hAnsi="宋体" w:eastAsia="宋体" w:cs="宋体"/>
          <w:bCs/>
          <w:color w:val="000000"/>
          <w:kern w:val="28"/>
          <w:szCs w:val="22"/>
          <w:highlight w:val="none"/>
        </w:rPr>
        <w:t>日</w:t>
      </w:r>
      <w:r>
        <w:rPr>
          <w:rFonts w:hint="eastAsia" w:ascii="宋体" w:hAnsi="宋体" w:eastAsia="宋体" w:cs="宋体"/>
          <w:bCs/>
          <w:color w:val="auto"/>
          <w:kern w:val="28"/>
          <w:szCs w:val="22"/>
          <w:highlight w:val="none"/>
          <w:lang w:val="en-US" w:eastAsia="zh-CN"/>
        </w:rPr>
        <w:t>09</w:t>
      </w:r>
      <w:r>
        <w:rPr>
          <w:rFonts w:hint="eastAsia" w:ascii="宋体" w:hAnsi="宋体" w:eastAsia="宋体" w:cs="宋体"/>
          <w:bCs/>
          <w:color w:val="auto"/>
          <w:kern w:val="28"/>
          <w:szCs w:val="22"/>
          <w:highlight w:val="none"/>
        </w:rPr>
        <w:t>:00-</w:t>
      </w:r>
      <w:r>
        <w:rPr>
          <w:rFonts w:hint="eastAsia" w:ascii="宋体" w:hAnsi="宋体" w:eastAsia="宋体" w:cs="宋体"/>
          <w:bCs/>
          <w:color w:val="auto"/>
          <w:kern w:val="28"/>
          <w:szCs w:val="22"/>
          <w:highlight w:val="none"/>
          <w:lang w:val="en-US" w:eastAsia="zh-CN"/>
        </w:rPr>
        <w:t>09</w:t>
      </w:r>
      <w:r>
        <w:rPr>
          <w:rFonts w:hint="eastAsia" w:ascii="宋体" w:hAnsi="宋体" w:eastAsia="宋体" w:cs="宋体"/>
          <w:bCs/>
          <w:color w:val="auto"/>
          <w:kern w:val="28"/>
          <w:szCs w:val="22"/>
          <w:highlight w:val="none"/>
        </w:rPr>
        <w:t>:30（北京时间）</w:t>
      </w:r>
      <w:r>
        <w:rPr>
          <w:rFonts w:hint="eastAsia" w:ascii="宋体" w:hAnsi="宋体" w:eastAsia="宋体" w:cs="宋体"/>
          <w:b/>
          <w:bCs/>
          <w:color w:val="auto"/>
          <w:szCs w:val="21"/>
          <w:highlight w:val="none"/>
        </w:rPr>
        <w:t>，迟于此时间递交的投标文件将被拒绝。</w:t>
      </w:r>
    </w:p>
    <w:p w14:paraId="765D0B2B">
      <w:pPr>
        <w:spacing w:line="360" w:lineRule="auto"/>
        <w:ind w:left="-359" w:leftChars="-171" w:firstLine="462" w:firstLineChars="220"/>
        <w:rPr>
          <w:rFonts w:hint="eastAsia" w:ascii="宋体" w:hAnsi="宋体" w:eastAsia="宋体" w:cs="宋体"/>
          <w:bCs/>
          <w:color w:val="auto"/>
          <w:kern w:val="28"/>
          <w:szCs w:val="22"/>
          <w:highlight w:val="none"/>
        </w:rPr>
      </w:pPr>
      <w:r>
        <w:rPr>
          <w:rFonts w:hint="eastAsia" w:ascii="宋体" w:hAnsi="宋体" w:eastAsia="宋体" w:cs="宋体"/>
          <w:bCs/>
          <w:color w:val="auto"/>
          <w:kern w:val="28"/>
          <w:szCs w:val="22"/>
          <w:highlight w:val="none"/>
        </w:rPr>
        <w:t>4.2、递交投标文件地点：广东省机电设备招标有限公司10楼会议室（地址：广州市环市中路316号金鹰大厦10楼）。</w:t>
      </w:r>
    </w:p>
    <w:bookmarkEnd w:id="25"/>
    <w:bookmarkEnd w:id="26"/>
    <w:bookmarkEnd w:id="27"/>
    <w:bookmarkEnd w:id="28"/>
    <w:p w14:paraId="6B7F4068">
      <w:pPr>
        <w:tabs>
          <w:tab w:val="left" w:pos="540"/>
        </w:tabs>
        <w:spacing w:line="360" w:lineRule="auto"/>
        <w:outlineLvl w:val="0"/>
        <w:rPr>
          <w:rFonts w:hint="eastAsia" w:ascii="宋体" w:hAnsi="宋体" w:eastAsia="宋体" w:cs="宋体"/>
          <w:b/>
          <w:color w:val="auto"/>
          <w:highlight w:val="none"/>
        </w:rPr>
      </w:pPr>
      <w:bookmarkStart w:id="29" w:name="_Toc476177330"/>
      <w:bookmarkStart w:id="30" w:name="_Toc477185853"/>
      <w:bookmarkStart w:id="31" w:name="_Toc19972"/>
      <w:bookmarkStart w:id="32" w:name="_Toc477186214"/>
      <w:bookmarkStart w:id="33" w:name="_Toc476177884"/>
      <w:r>
        <w:rPr>
          <w:rFonts w:hint="eastAsia" w:ascii="宋体" w:hAnsi="宋体" w:eastAsia="宋体" w:cs="宋体"/>
          <w:b/>
          <w:color w:val="auto"/>
          <w:highlight w:val="none"/>
        </w:rPr>
        <w:t>五、兹定于下列时间和地点公开开标</w:t>
      </w:r>
      <w:bookmarkEnd w:id="29"/>
      <w:bookmarkEnd w:id="30"/>
      <w:bookmarkEnd w:id="31"/>
      <w:bookmarkEnd w:id="32"/>
      <w:bookmarkEnd w:id="33"/>
    </w:p>
    <w:p w14:paraId="122B5A29">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6.1、投标截止时间和开标时间：</w:t>
      </w:r>
      <w:r>
        <w:rPr>
          <w:rFonts w:hint="eastAsia" w:ascii="宋体" w:hAnsi="宋体" w:eastAsia="宋体" w:cs="宋体"/>
          <w:bCs/>
          <w:color w:val="000000"/>
          <w:kern w:val="28"/>
          <w:szCs w:val="22"/>
          <w:highlight w:val="none"/>
        </w:rPr>
        <w:t>202</w:t>
      </w:r>
      <w:r>
        <w:rPr>
          <w:rFonts w:hint="eastAsia" w:ascii="宋体" w:hAnsi="宋体" w:eastAsia="宋体" w:cs="宋体"/>
          <w:bCs/>
          <w:color w:val="000000"/>
          <w:kern w:val="28"/>
          <w:szCs w:val="22"/>
          <w:highlight w:val="none"/>
          <w:lang w:val="en-US" w:eastAsia="zh-CN"/>
        </w:rPr>
        <w:t>4</w:t>
      </w:r>
      <w:r>
        <w:rPr>
          <w:rFonts w:hint="eastAsia" w:ascii="宋体" w:hAnsi="宋体" w:eastAsia="宋体" w:cs="宋体"/>
          <w:bCs/>
          <w:color w:val="000000"/>
          <w:kern w:val="28"/>
          <w:szCs w:val="22"/>
          <w:highlight w:val="none"/>
        </w:rPr>
        <w:t>年</w:t>
      </w:r>
      <w:r>
        <w:rPr>
          <w:rFonts w:hint="eastAsia" w:ascii="宋体" w:hAnsi="宋体" w:cs="宋体"/>
          <w:bCs/>
          <w:color w:val="000000"/>
          <w:kern w:val="28"/>
          <w:szCs w:val="22"/>
          <w:highlight w:val="none"/>
          <w:lang w:val="en-US" w:eastAsia="zh-CN"/>
        </w:rPr>
        <w:t>12</w:t>
      </w:r>
      <w:r>
        <w:rPr>
          <w:rFonts w:hint="eastAsia" w:ascii="宋体" w:hAnsi="宋体" w:eastAsia="宋体" w:cs="宋体"/>
          <w:bCs/>
          <w:color w:val="000000"/>
          <w:kern w:val="28"/>
          <w:szCs w:val="22"/>
          <w:highlight w:val="none"/>
        </w:rPr>
        <w:t>月</w:t>
      </w:r>
      <w:r>
        <w:rPr>
          <w:rFonts w:hint="eastAsia" w:ascii="宋体" w:hAnsi="宋体" w:cs="宋体"/>
          <w:bCs/>
          <w:color w:val="000000"/>
          <w:kern w:val="28"/>
          <w:szCs w:val="22"/>
          <w:highlight w:val="none"/>
          <w:lang w:val="en-US" w:eastAsia="zh-CN"/>
        </w:rPr>
        <w:t>12</w:t>
      </w:r>
      <w:r>
        <w:rPr>
          <w:rFonts w:hint="eastAsia" w:ascii="宋体" w:hAnsi="宋体" w:eastAsia="宋体" w:cs="宋体"/>
          <w:bCs/>
          <w:color w:val="000000"/>
          <w:kern w:val="28"/>
          <w:szCs w:val="22"/>
          <w:highlight w:val="none"/>
        </w:rPr>
        <w:t>日</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:30（北京时间）</w:t>
      </w:r>
    </w:p>
    <w:p w14:paraId="0110A070">
      <w:pPr>
        <w:spacing w:line="360" w:lineRule="auto"/>
        <w:ind w:left="-359" w:leftChars="-171" w:firstLine="359" w:firstLineChars="171"/>
        <w:rPr>
          <w:rFonts w:hint="eastAsia" w:ascii="宋体" w:hAnsi="宋体" w:eastAsia="宋体" w:cs="宋体"/>
          <w:bCs/>
          <w:color w:val="auto"/>
          <w:kern w:val="28"/>
          <w:szCs w:val="22"/>
          <w:highlight w:val="none"/>
        </w:rPr>
      </w:pPr>
      <w:r>
        <w:rPr>
          <w:rFonts w:hint="eastAsia" w:ascii="宋体" w:hAnsi="宋体" w:eastAsia="宋体" w:cs="宋体"/>
          <w:bCs/>
          <w:color w:val="auto"/>
          <w:szCs w:val="21"/>
          <w:highlight w:val="none"/>
        </w:rPr>
        <w:t>6.</w:t>
      </w:r>
      <w:r>
        <w:rPr>
          <w:rFonts w:hint="eastAsia" w:ascii="宋体" w:hAnsi="宋体" w:eastAsia="宋体" w:cs="宋体"/>
          <w:color w:val="auto"/>
          <w:szCs w:val="21"/>
          <w:highlight w:val="none"/>
        </w:rPr>
        <w:t>2</w:t>
      </w:r>
      <w:r>
        <w:rPr>
          <w:rFonts w:hint="eastAsia" w:ascii="宋体" w:hAnsi="宋体" w:eastAsia="宋体" w:cs="宋体"/>
          <w:bCs/>
          <w:color w:val="auto"/>
          <w:kern w:val="28"/>
          <w:szCs w:val="22"/>
          <w:highlight w:val="none"/>
        </w:rPr>
        <w:t>、开标地点：广东省机电设备招标有限公司10楼会议室（地址：广州市环市中路316号金鹰大厦10楼）。</w:t>
      </w:r>
    </w:p>
    <w:p w14:paraId="2D7E1639">
      <w:pPr>
        <w:spacing w:line="360" w:lineRule="auto"/>
        <w:ind w:left="-359" w:leftChars="-171" w:firstLine="359" w:firstLineChars="17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6.3、投标人应按招标文件的要求准时参加开标会议。投标人代表未出席开标会，不影响开标，且不得对开标程序、结果等提出任何异议。</w:t>
      </w:r>
    </w:p>
    <w:p w14:paraId="6496BF41">
      <w:pPr>
        <w:tabs>
          <w:tab w:val="left" w:pos="540"/>
        </w:tabs>
        <w:spacing w:line="360" w:lineRule="auto"/>
        <w:outlineLvl w:val="0"/>
        <w:rPr>
          <w:rFonts w:hint="eastAsia" w:ascii="宋体" w:hAnsi="宋体" w:eastAsia="宋体" w:cs="宋体"/>
          <w:b/>
          <w:color w:val="auto"/>
          <w:highlight w:val="none"/>
        </w:rPr>
      </w:pPr>
      <w:bookmarkStart w:id="34" w:name="_Toc477186215"/>
      <w:bookmarkStart w:id="35" w:name="_Toc476177885"/>
      <w:bookmarkStart w:id="36" w:name="_Toc476177331"/>
      <w:bookmarkStart w:id="37" w:name="_Toc25490"/>
      <w:bookmarkStart w:id="38" w:name="_Toc477185854"/>
      <w:r>
        <w:rPr>
          <w:rFonts w:hint="eastAsia" w:ascii="宋体" w:hAnsi="宋体" w:eastAsia="宋体" w:cs="宋体"/>
          <w:b/>
          <w:color w:val="auto"/>
          <w:highlight w:val="none"/>
        </w:rPr>
        <w:t>六、其他说明</w:t>
      </w:r>
      <w:bookmarkEnd w:id="34"/>
      <w:bookmarkEnd w:id="35"/>
      <w:bookmarkEnd w:id="36"/>
      <w:bookmarkEnd w:id="37"/>
      <w:bookmarkEnd w:id="38"/>
    </w:p>
    <w:p w14:paraId="3DFEA937">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1、各投标人的资料复印件应加盖单位公章保证所提供资料的真实性，如发现有虚假、隐瞒情况者，招标人将取消其投标资格。</w:t>
      </w:r>
    </w:p>
    <w:p w14:paraId="011F58E9">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bCs/>
          <w:color w:val="auto"/>
          <w:highlight w:val="none"/>
        </w:rPr>
        <w:t>购买了招标文件，而不参加投标的投标人，请在开标前3日以书面或邮件形式通知招标代理机构。</w:t>
      </w:r>
    </w:p>
    <w:p w14:paraId="5386F813">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3、招标代理机构和招标人将不负责投标人准备投标文件和递交投标文件所发生的任何成本或费用。</w:t>
      </w:r>
    </w:p>
    <w:p w14:paraId="5FFB405D">
      <w:pPr>
        <w:tabs>
          <w:tab w:val="left" w:pos="540"/>
        </w:tabs>
        <w:spacing w:line="360" w:lineRule="auto"/>
        <w:outlineLvl w:val="0"/>
        <w:rPr>
          <w:rFonts w:hint="eastAsia" w:ascii="宋体" w:hAnsi="宋体" w:eastAsia="宋体" w:cs="宋体"/>
          <w:b/>
          <w:color w:val="auto"/>
          <w:highlight w:val="none"/>
        </w:rPr>
      </w:pPr>
      <w:bookmarkStart w:id="39" w:name="_Toc477185855"/>
      <w:bookmarkStart w:id="40" w:name="_Toc476177332"/>
      <w:bookmarkStart w:id="41" w:name="_Toc476177886"/>
      <w:bookmarkStart w:id="42" w:name="_Toc32203"/>
      <w:bookmarkStart w:id="43" w:name="_Toc477186216"/>
      <w:r>
        <w:rPr>
          <w:rFonts w:hint="eastAsia" w:ascii="宋体" w:hAnsi="宋体" w:eastAsia="宋体" w:cs="宋体"/>
          <w:b/>
          <w:color w:val="auto"/>
          <w:highlight w:val="none"/>
        </w:rPr>
        <w:t>七、招标代理机构所在地和</w:t>
      </w:r>
      <w:bookmarkEnd w:id="39"/>
      <w:bookmarkEnd w:id="40"/>
      <w:bookmarkEnd w:id="41"/>
      <w:bookmarkEnd w:id="42"/>
      <w:bookmarkEnd w:id="43"/>
      <w:r>
        <w:rPr>
          <w:rFonts w:hint="eastAsia" w:ascii="宋体" w:hAnsi="宋体" w:eastAsia="宋体" w:cs="宋体"/>
          <w:b/>
          <w:color w:val="auto"/>
          <w:highlight w:val="none"/>
        </w:rPr>
        <w:t>联系方式</w:t>
      </w:r>
    </w:p>
    <w:p w14:paraId="1E70EC25">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1、招标人联系方式</w:t>
      </w:r>
    </w:p>
    <w:p w14:paraId="2F39A9C4">
      <w:pPr>
        <w:spacing w:line="360" w:lineRule="auto"/>
        <w:ind w:left="-359" w:leftChars="-171" w:firstLine="359" w:firstLineChars="17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 标 人：</w:t>
      </w:r>
      <w:r>
        <w:rPr>
          <w:rFonts w:hint="eastAsia" w:ascii="宋体" w:hAnsi="宋体" w:eastAsia="宋体" w:cs="宋体"/>
          <w:color w:val="auto"/>
          <w:szCs w:val="21"/>
          <w:highlight w:val="none"/>
          <w:lang w:eastAsia="zh-CN"/>
        </w:rPr>
        <w:t>广东南方报业传媒集团物业管理有限公司</w:t>
      </w:r>
    </w:p>
    <w:p w14:paraId="204862BA">
      <w:pPr>
        <w:spacing w:line="360" w:lineRule="auto"/>
        <w:ind w:left="-359" w:leftChars="-171" w:firstLine="359" w:firstLineChars="17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val="en-US" w:eastAsia="zh-CN"/>
        </w:rPr>
        <w:t>广东省广州市越秀区广州大道中289号</w:t>
      </w:r>
    </w:p>
    <w:p w14:paraId="7BC1A3AB">
      <w:pPr>
        <w:spacing w:line="360" w:lineRule="auto"/>
        <w:ind w:left="-359" w:leftChars="-171" w:firstLine="359" w:firstLineChars="171"/>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联 系 人：</w:t>
      </w:r>
      <w:r>
        <w:rPr>
          <w:rFonts w:hint="eastAsia" w:ascii="宋体" w:hAnsi="宋体" w:cs="宋体"/>
          <w:color w:val="auto"/>
          <w:szCs w:val="21"/>
          <w:highlight w:val="none"/>
          <w:lang w:val="en-US" w:eastAsia="zh-CN"/>
        </w:rPr>
        <w:t>邓先生</w:t>
      </w:r>
    </w:p>
    <w:p w14:paraId="26C132F7">
      <w:pPr>
        <w:pStyle w:val="2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电  话：020-</w:t>
      </w:r>
      <w:r>
        <w:rPr>
          <w:rFonts w:hint="eastAsia" w:ascii="宋体" w:hAnsi="宋体" w:cs="宋体"/>
          <w:color w:val="auto"/>
          <w:highlight w:val="none"/>
          <w:lang w:val="en-US" w:eastAsia="zh-CN"/>
        </w:rPr>
        <w:t>83003053</w:t>
      </w:r>
    </w:p>
    <w:p w14:paraId="52D09193">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2、招标代理机构联系方式</w:t>
      </w:r>
    </w:p>
    <w:p w14:paraId="76106934">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招标代理机构名称：广东省机电设备招标有限公司</w:t>
      </w:r>
    </w:p>
    <w:p w14:paraId="5736518F">
      <w:pPr>
        <w:spacing w:line="360" w:lineRule="auto"/>
        <w:ind w:left="-359" w:leftChars="-171" w:firstLine="359" w:firstLineChars="17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刘先生、胡小姐、王小姐</w:t>
      </w:r>
    </w:p>
    <w:p w14:paraId="12B266DD">
      <w:pPr>
        <w:spacing w:line="360" w:lineRule="auto"/>
        <w:ind w:left="-359" w:leftChars="-171" w:firstLine="359" w:firstLineChars="17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eastAsia="zh-CN"/>
        </w:rPr>
        <w:t>020-8354</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332、83541795</w:t>
      </w:r>
    </w:p>
    <w:p w14:paraId="787FDA89">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真：020-83565537</w:t>
      </w:r>
    </w:p>
    <w:p w14:paraId="43AB0DBD">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电子邮件：</w:t>
      </w:r>
      <w:r>
        <w:rPr>
          <w:rFonts w:hint="eastAsia" w:ascii="宋体" w:hAnsi="宋体" w:eastAsia="宋体" w:cs="宋体"/>
          <w:color w:val="auto"/>
          <w:szCs w:val="21"/>
          <w:highlight w:val="none"/>
          <w:lang w:val="en-US" w:eastAsia="zh-CN"/>
        </w:rPr>
        <w:t>gdjdsbzbcg@163.com</w:t>
      </w:r>
    </w:p>
    <w:p w14:paraId="1A05457A">
      <w:pPr>
        <w:wordWrap w:val="0"/>
        <w:spacing w:line="360" w:lineRule="auto"/>
        <w:ind w:firstLine="42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招标人：</w:t>
      </w:r>
      <w:r>
        <w:rPr>
          <w:rFonts w:hint="eastAsia" w:ascii="宋体" w:hAnsi="宋体" w:eastAsia="宋体" w:cs="宋体"/>
          <w:bCs/>
          <w:color w:val="auto"/>
          <w:highlight w:val="none"/>
          <w:lang w:eastAsia="zh-CN"/>
        </w:rPr>
        <w:t>广东南方报业传媒集团物业管理有限公司</w:t>
      </w:r>
    </w:p>
    <w:p w14:paraId="3D0D4E02">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招标代理：广东省机电设备招标有限公司 </w:t>
      </w:r>
    </w:p>
    <w:p w14:paraId="54763610">
      <w:pPr>
        <w:wordWrap w:val="0"/>
        <w:spacing w:line="360" w:lineRule="auto"/>
        <w:ind w:firstLine="420" w:firstLineChars="200"/>
        <w:jc w:val="right"/>
        <w:rPr>
          <w:rFonts w:hint="eastAsia" w:ascii="宋体" w:hAnsi="宋体" w:eastAsia="宋体" w:cs="宋体"/>
          <w:color w:val="000000"/>
          <w:highlight w:val="none"/>
        </w:rPr>
        <w:sectPr>
          <w:footerReference r:id="rId7" w:type="default"/>
          <w:pgSz w:w="11906" w:h="16838"/>
          <w:pgMar w:top="1134" w:right="1418" w:bottom="1134" w:left="1418" w:header="851" w:footer="992" w:gutter="0"/>
          <w:pgNumType w:start="1"/>
          <w:cols w:space="720" w:num="1"/>
          <w:docGrid w:type="lines" w:linePitch="312" w:charSpace="0"/>
        </w:sectPr>
      </w:pPr>
      <w:r>
        <w:rPr>
          <w:rFonts w:hint="eastAsia" w:ascii="宋体" w:hAnsi="宋体" w:eastAsia="宋体" w:cs="宋体"/>
          <w:color w:val="000000"/>
          <w:highlight w:val="none"/>
        </w:rPr>
        <w:t>20</w:t>
      </w:r>
      <w:r>
        <w:rPr>
          <w:rFonts w:hint="eastAsia" w:ascii="宋体" w:hAnsi="宋体" w:eastAsia="宋体" w:cs="宋体"/>
          <w:color w:val="000000"/>
          <w:highlight w:val="none"/>
          <w:lang w:val="en-US" w:eastAsia="zh-CN"/>
        </w:rPr>
        <w:t>24</w:t>
      </w:r>
      <w:r>
        <w:rPr>
          <w:rFonts w:hint="eastAsia" w:ascii="宋体" w:hAnsi="宋体" w:eastAsia="宋体" w:cs="宋体"/>
          <w:color w:val="000000"/>
          <w:highlight w:val="none"/>
        </w:rPr>
        <w:t>年</w:t>
      </w:r>
      <w:r>
        <w:rPr>
          <w:rFonts w:hint="eastAsia" w:ascii="宋体" w:hAnsi="宋体" w:cs="宋体"/>
          <w:color w:val="000000"/>
          <w:highlight w:val="none"/>
          <w:lang w:val="en-US" w:eastAsia="zh-CN"/>
        </w:rPr>
        <w:t>11</w:t>
      </w:r>
      <w:r>
        <w:rPr>
          <w:rFonts w:hint="eastAsia" w:ascii="宋体" w:hAnsi="宋体" w:eastAsia="宋体" w:cs="宋体"/>
          <w:color w:val="000000"/>
          <w:highlight w:val="none"/>
        </w:rPr>
        <w:t>月</w:t>
      </w:r>
      <w:r>
        <w:rPr>
          <w:rFonts w:hint="eastAsia" w:ascii="宋体" w:hAnsi="宋体" w:cs="宋体"/>
          <w:color w:val="000000"/>
          <w:highlight w:val="none"/>
          <w:lang w:val="en-US" w:eastAsia="zh-CN"/>
        </w:rPr>
        <w:t>21</w:t>
      </w:r>
      <w:r>
        <w:rPr>
          <w:rFonts w:hint="eastAsia" w:ascii="宋体" w:hAnsi="宋体" w:eastAsia="宋体" w:cs="宋体"/>
          <w:color w:val="000000"/>
          <w:highlight w:val="none"/>
        </w:rPr>
        <w:t>日</w:t>
      </w:r>
    </w:p>
    <w:p w14:paraId="7923EDE0">
      <w:pPr>
        <w:spacing w:line="360" w:lineRule="auto"/>
        <w:ind w:left="337" w:hanging="337" w:hangingChars="14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附件：                     </w:t>
      </w:r>
    </w:p>
    <w:p w14:paraId="0674B533">
      <w:pPr>
        <w:spacing w:line="360" w:lineRule="auto"/>
        <w:ind w:left="337" w:hanging="337" w:hangingChars="140"/>
        <w:jc w:val="center"/>
        <w:outlineLvl w:val="0"/>
        <w:rPr>
          <w:rFonts w:hint="eastAsia" w:ascii="宋体" w:hAnsi="宋体" w:eastAsia="宋体" w:cs="宋体"/>
          <w:b/>
          <w:bCs/>
          <w:color w:val="auto"/>
          <w:sz w:val="24"/>
          <w:szCs w:val="24"/>
          <w:highlight w:val="none"/>
        </w:rPr>
      </w:pPr>
      <w:bookmarkStart w:id="44" w:name="_Toc32613"/>
      <w:r>
        <w:rPr>
          <w:rFonts w:hint="eastAsia" w:ascii="宋体" w:hAnsi="宋体" w:eastAsia="宋体" w:cs="宋体"/>
          <w:b/>
          <w:bCs/>
          <w:color w:val="auto"/>
          <w:kern w:val="0"/>
          <w:sz w:val="24"/>
          <w:szCs w:val="24"/>
          <w:highlight w:val="none"/>
        </w:rPr>
        <w:t>投标登记表</w:t>
      </w:r>
      <w:bookmarkEnd w:id="44"/>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1733"/>
        <w:gridCol w:w="2190"/>
        <w:gridCol w:w="3188"/>
      </w:tblGrid>
      <w:tr w14:paraId="0657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090" w:type="dxa"/>
            <w:noWrap w:val="0"/>
            <w:vAlign w:val="center"/>
          </w:tcPr>
          <w:p w14:paraId="497F7D7C">
            <w:pPr>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项目编号</w:t>
            </w:r>
          </w:p>
        </w:tc>
        <w:tc>
          <w:tcPr>
            <w:tcW w:w="7111" w:type="dxa"/>
            <w:gridSpan w:val="3"/>
            <w:noWrap w:val="0"/>
            <w:vAlign w:val="center"/>
          </w:tcPr>
          <w:p w14:paraId="3FED05E2">
            <w:pPr>
              <w:spacing w:line="360" w:lineRule="auto"/>
              <w:jc w:val="center"/>
              <w:rPr>
                <w:rFonts w:hint="eastAsia" w:ascii="宋体" w:hAnsi="宋体" w:eastAsia="宋体" w:cs="宋体"/>
                <w:bCs/>
                <w:color w:val="auto"/>
                <w:szCs w:val="21"/>
                <w:highlight w:val="none"/>
              </w:rPr>
            </w:pPr>
          </w:p>
        </w:tc>
      </w:tr>
      <w:tr w14:paraId="4F2A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090" w:type="dxa"/>
            <w:noWrap w:val="0"/>
            <w:vAlign w:val="center"/>
          </w:tcPr>
          <w:p w14:paraId="42F60C4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项目名称</w:t>
            </w:r>
          </w:p>
        </w:tc>
        <w:tc>
          <w:tcPr>
            <w:tcW w:w="7111" w:type="dxa"/>
            <w:gridSpan w:val="3"/>
            <w:noWrap w:val="0"/>
            <w:vAlign w:val="center"/>
          </w:tcPr>
          <w:p w14:paraId="7BF207C5">
            <w:pPr>
              <w:spacing w:line="360" w:lineRule="auto"/>
              <w:jc w:val="center"/>
              <w:rPr>
                <w:rFonts w:hint="eastAsia" w:ascii="宋体" w:hAnsi="宋体" w:eastAsia="宋体" w:cs="宋体"/>
                <w:bCs/>
                <w:color w:val="auto"/>
                <w:szCs w:val="21"/>
                <w:highlight w:val="none"/>
              </w:rPr>
            </w:pPr>
          </w:p>
        </w:tc>
      </w:tr>
      <w:tr w14:paraId="7FCD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090" w:type="dxa"/>
            <w:noWrap w:val="0"/>
            <w:vAlign w:val="center"/>
          </w:tcPr>
          <w:p w14:paraId="34929AB7">
            <w:pPr>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购买招标文件单位名称</w:t>
            </w:r>
          </w:p>
        </w:tc>
        <w:tc>
          <w:tcPr>
            <w:tcW w:w="7111" w:type="dxa"/>
            <w:gridSpan w:val="3"/>
            <w:noWrap w:val="0"/>
            <w:vAlign w:val="center"/>
          </w:tcPr>
          <w:p w14:paraId="097B437B">
            <w:pPr>
              <w:spacing w:line="360" w:lineRule="auto"/>
              <w:rPr>
                <w:rFonts w:hint="eastAsia" w:ascii="宋体" w:hAnsi="宋体" w:eastAsia="宋体" w:cs="宋体"/>
                <w:b/>
                <w:bCs/>
                <w:color w:val="auto"/>
                <w:szCs w:val="21"/>
                <w:highlight w:val="none"/>
              </w:rPr>
            </w:pPr>
          </w:p>
        </w:tc>
      </w:tr>
      <w:tr w14:paraId="41EC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90" w:type="dxa"/>
            <w:noWrap w:val="0"/>
            <w:vAlign w:val="center"/>
          </w:tcPr>
          <w:p w14:paraId="1016DE20">
            <w:pPr>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单位地址</w:t>
            </w:r>
          </w:p>
        </w:tc>
        <w:tc>
          <w:tcPr>
            <w:tcW w:w="7111" w:type="dxa"/>
            <w:gridSpan w:val="3"/>
            <w:noWrap w:val="0"/>
            <w:vAlign w:val="center"/>
          </w:tcPr>
          <w:p w14:paraId="060C29CC">
            <w:pPr>
              <w:spacing w:line="360" w:lineRule="auto"/>
              <w:rPr>
                <w:rFonts w:hint="eastAsia" w:ascii="宋体" w:hAnsi="宋体" w:eastAsia="宋体" w:cs="宋体"/>
                <w:b/>
                <w:bCs/>
                <w:color w:val="auto"/>
                <w:szCs w:val="21"/>
                <w:highlight w:val="none"/>
              </w:rPr>
            </w:pPr>
          </w:p>
        </w:tc>
      </w:tr>
      <w:tr w14:paraId="73F4F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090" w:type="dxa"/>
            <w:noWrap w:val="0"/>
            <w:vAlign w:val="center"/>
          </w:tcPr>
          <w:p w14:paraId="0D3F78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统一社会信用代码</w:t>
            </w:r>
          </w:p>
        </w:tc>
        <w:tc>
          <w:tcPr>
            <w:tcW w:w="7111" w:type="dxa"/>
            <w:gridSpan w:val="3"/>
            <w:noWrap w:val="0"/>
            <w:vAlign w:val="center"/>
          </w:tcPr>
          <w:p w14:paraId="494947B3">
            <w:pPr>
              <w:spacing w:line="360" w:lineRule="auto"/>
              <w:rPr>
                <w:rFonts w:hint="eastAsia" w:ascii="宋体" w:hAnsi="宋体" w:eastAsia="宋体" w:cs="宋体"/>
                <w:b/>
                <w:bCs/>
                <w:color w:val="auto"/>
                <w:szCs w:val="21"/>
                <w:highlight w:val="none"/>
              </w:rPr>
            </w:pPr>
          </w:p>
        </w:tc>
      </w:tr>
      <w:tr w14:paraId="1A96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2090" w:type="dxa"/>
            <w:noWrap w:val="0"/>
            <w:vAlign w:val="center"/>
          </w:tcPr>
          <w:p w14:paraId="5E9818A1">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拟投电梯品牌</w:t>
            </w:r>
          </w:p>
        </w:tc>
        <w:tc>
          <w:tcPr>
            <w:tcW w:w="7111" w:type="dxa"/>
            <w:gridSpan w:val="3"/>
            <w:noWrap w:val="0"/>
            <w:vAlign w:val="center"/>
          </w:tcPr>
          <w:p w14:paraId="63F01C09">
            <w:pPr>
              <w:spacing w:line="360" w:lineRule="auto"/>
              <w:rPr>
                <w:rFonts w:hint="eastAsia" w:ascii="宋体" w:hAnsi="宋体" w:eastAsia="宋体" w:cs="宋体"/>
                <w:b/>
                <w:bCs/>
                <w:color w:val="auto"/>
                <w:szCs w:val="21"/>
                <w:highlight w:val="none"/>
              </w:rPr>
            </w:pPr>
          </w:p>
        </w:tc>
      </w:tr>
      <w:tr w14:paraId="25A7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201" w:type="dxa"/>
            <w:gridSpan w:val="4"/>
            <w:noWrap w:val="0"/>
            <w:vAlign w:val="center"/>
          </w:tcPr>
          <w:p w14:paraId="20834D0A">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购买招标文件代表信息</w:t>
            </w:r>
          </w:p>
        </w:tc>
      </w:tr>
      <w:tr w14:paraId="064E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2090" w:type="dxa"/>
            <w:noWrap w:val="0"/>
            <w:vAlign w:val="center"/>
          </w:tcPr>
          <w:p w14:paraId="7D52409B">
            <w:pPr>
              <w:spacing w:line="360" w:lineRule="auto"/>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姓名</w:t>
            </w:r>
          </w:p>
        </w:tc>
        <w:tc>
          <w:tcPr>
            <w:tcW w:w="1733" w:type="dxa"/>
            <w:noWrap w:val="0"/>
            <w:vAlign w:val="center"/>
          </w:tcPr>
          <w:p w14:paraId="6803A900">
            <w:pPr>
              <w:spacing w:line="360" w:lineRule="auto"/>
              <w:jc w:val="center"/>
              <w:rPr>
                <w:rFonts w:hint="eastAsia" w:ascii="宋体" w:hAnsi="宋体" w:eastAsia="宋体" w:cs="宋体"/>
                <w:bCs/>
                <w:color w:val="auto"/>
                <w:szCs w:val="21"/>
                <w:highlight w:val="none"/>
              </w:rPr>
            </w:pPr>
          </w:p>
        </w:tc>
        <w:tc>
          <w:tcPr>
            <w:tcW w:w="2190" w:type="dxa"/>
            <w:noWrap w:val="0"/>
            <w:vAlign w:val="center"/>
          </w:tcPr>
          <w:p w14:paraId="03CF90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办公电话</w:t>
            </w:r>
          </w:p>
        </w:tc>
        <w:tc>
          <w:tcPr>
            <w:tcW w:w="3188" w:type="dxa"/>
            <w:noWrap w:val="0"/>
            <w:vAlign w:val="center"/>
          </w:tcPr>
          <w:p w14:paraId="53DADD3A">
            <w:pPr>
              <w:spacing w:line="360" w:lineRule="auto"/>
              <w:jc w:val="center"/>
              <w:rPr>
                <w:rFonts w:hint="eastAsia" w:ascii="宋体" w:hAnsi="宋体" w:eastAsia="宋体" w:cs="宋体"/>
                <w:color w:val="auto"/>
                <w:szCs w:val="21"/>
                <w:highlight w:val="none"/>
              </w:rPr>
            </w:pPr>
          </w:p>
        </w:tc>
      </w:tr>
      <w:tr w14:paraId="5A08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090" w:type="dxa"/>
            <w:noWrap w:val="0"/>
            <w:vAlign w:val="center"/>
          </w:tcPr>
          <w:p w14:paraId="44263D2E">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手机</w:t>
            </w:r>
          </w:p>
        </w:tc>
        <w:tc>
          <w:tcPr>
            <w:tcW w:w="1733" w:type="dxa"/>
            <w:noWrap w:val="0"/>
            <w:vAlign w:val="center"/>
          </w:tcPr>
          <w:p w14:paraId="7AAA2590">
            <w:pPr>
              <w:spacing w:line="360" w:lineRule="auto"/>
              <w:jc w:val="center"/>
              <w:rPr>
                <w:rFonts w:hint="eastAsia" w:ascii="宋体" w:hAnsi="宋体" w:eastAsia="宋体" w:cs="宋体"/>
                <w:bCs/>
                <w:color w:val="auto"/>
                <w:szCs w:val="21"/>
                <w:highlight w:val="none"/>
              </w:rPr>
            </w:pPr>
          </w:p>
        </w:tc>
        <w:tc>
          <w:tcPr>
            <w:tcW w:w="2190" w:type="dxa"/>
            <w:noWrap w:val="0"/>
            <w:vAlign w:val="center"/>
          </w:tcPr>
          <w:p w14:paraId="695DBB7D">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电子邮箱（QQ邮箱）</w:t>
            </w:r>
          </w:p>
        </w:tc>
        <w:tc>
          <w:tcPr>
            <w:tcW w:w="3188" w:type="dxa"/>
            <w:noWrap w:val="0"/>
            <w:vAlign w:val="center"/>
          </w:tcPr>
          <w:p w14:paraId="51ADA2A8">
            <w:pPr>
              <w:spacing w:line="360" w:lineRule="auto"/>
              <w:jc w:val="center"/>
              <w:rPr>
                <w:rFonts w:hint="eastAsia" w:ascii="宋体" w:hAnsi="宋体" w:eastAsia="宋体" w:cs="宋体"/>
                <w:bCs/>
                <w:color w:val="auto"/>
                <w:szCs w:val="21"/>
                <w:highlight w:val="none"/>
              </w:rPr>
            </w:pPr>
          </w:p>
        </w:tc>
      </w:tr>
    </w:tbl>
    <w:p w14:paraId="54041B22">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br w:type="page"/>
      </w:r>
    </w:p>
    <w:p w14:paraId="050A6A6A">
      <w:pPr>
        <w:rPr>
          <w:rFonts w:hint="eastAsia" w:ascii="宋体" w:hAnsi="宋体" w:eastAsia="宋体" w:cs="宋体"/>
          <w:color w:val="auto"/>
          <w:highlight w:val="none"/>
        </w:rPr>
      </w:pPr>
    </w:p>
    <w:p w14:paraId="2A9CB4C2">
      <w:pPr>
        <w:rPr>
          <w:rFonts w:hint="eastAsia" w:ascii="宋体" w:hAnsi="宋体" w:eastAsia="宋体" w:cs="宋体"/>
          <w:color w:val="auto"/>
          <w:highlight w:val="none"/>
        </w:rPr>
      </w:pPr>
    </w:p>
    <w:p w14:paraId="3C2D7717">
      <w:pPr>
        <w:rPr>
          <w:rFonts w:hint="eastAsia" w:ascii="宋体" w:hAnsi="宋体" w:eastAsia="宋体" w:cs="宋体"/>
          <w:color w:val="auto"/>
          <w:highlight w:val="none"/>
        </w:rPr>
      </w:pPr>
    </w:p>
    <w:p w14:paraId="00FE3378">
      <w:pPr>
        <w:rPr>
          <w:rFonts w:hint="eastAsia" w:ascii="宋体" w:hAnsi="宋体" w:eastAsia="宋体" w:cs="宋体"/>
          <w:color w:val="auto"/>
          <w:highlight w:val="none"/>
        </w:rPr>
      </w:pPr>
    </w:p>
    <w:p w14:paraId="0CFD914E">
      <w:pPr>
        <w:rPr>
          <w:rFonts w:hint="eastAsia" w:ascii="宋体" w:hAnsi="宋体" w:eastAsia="宋体" w:cs="宋体"/>
          <w:color w:val="auto"/>
          <w:highlight w:val="none"/>
        </w:rPr>
      </w:pPr>
    </w:p>
    <w:p w14:paraId="01787CB9">
      <w:pPr>
        <w:rPr>
          <w:rFonts w:hint="eastAsia" w:ascii="宋体" w:hAnsi="宋体" w:eastAsia="宋体" w:cs="宋体"/>
          <w:color w:val="auto"/>
          <w:highlight w:val="none"/>
        </w:rPr>
      </w:pPr>
    </w:p>
    <w:p w14:paraId="3302829F">
      <w:pPr>
        <w:rPr>
          <w:rFonts w:hint="eastAsia" w:ascii="宋体" w:hAnsi="宋体" w:eastAsia="宋体" w:cs="宋体"/>
          <w:color w:val="auto"/>
          <w:highlight w:val="none"/>
        </w:rPr>
      </w:pPr>
    </w:p>
    <w:p w14:paraId="3050DED0">
      <w:pPr>
        <w:rPr>
          <w:rFonts w:hint="eastAsia" w:ascii="宋体" w:hAnsi="宋体" w:eastAsia="宋体" w:cs="宋体"/>
          <w:color w:val="auto"/>
          <w:highlight w:val="none"/>
        </w:rPr>
      </w:pPr>
    </w:p>
    <w:p w14:paraId="72E9DED2">
      <w:pPr>
        <w:snapToGrid w:val="0"/>
        <w:spacing w:line="360" w:lineRule="auto"/>
        <w:jc w:val="center"/>
        <w:rPr>
          <w:rFonts w:hint="eastAsia" w:ascii="宋体" w:hAnsi="宋体" w:eastAsia="宋体" w:cs="宋体"/>
          <w:b/>
          <w:color w:val="auto"/>
          <w:sz w:val="44"/>
          <w:highlight w:val="none"/>
        </w:rPr>
      </w:pPr>
    </w:p>
    <w:p w14:paraId="5D36FDA2">
      <w:pPr>
        <w:snapToGrid w:val="0"/>
        <w:spacing w:line="360" w:lineRule="auto"/>
        <w:jc w:val="center"/>
        <w:rPr>
          <w:rFonts w:hint="eastAsia" w:ascii="宋体" w:hAnsi="宋体" w:eastAsia="宋体" w:cs="宋体"/>
          <w:b/>
          <w:color w:val="auto"/>
          <w:sz w:val="44"/>
          <w:highlight w:val="none"/>
        </w:rPr>
      </w:pPr>
    </w:p>
    <w:p w14:paraId="1C667457">
      <w:pPr>
        <w:jc w:val="center"/>
        <w:outlineLvl w:val="0"/>
        <w:rPr>
          <w:rFonts w:hint="eastAsia" w:ascii="宋体" w:hAnsi="宋体" w:eastAsia="宋体" w:cs="宋体"/>
          <w:b/>
          <w:color w:val="auto"/>
          <w:sz w:val="44"/>
          <w:szCs w:val="44"/>
          <w:highlight w:val="none"/>
        </w:rPr>
      </w:pPr>
      <w:bookmarkStart w:id="45" w:name="_Toc9976"/>
      <w:r>
        <w:rPr>
          <w:rFonts w:hint="eastAsia" w:ascii="宋体" w:hAnsi="宋体" w:eastAsia="宋体" w:cs="宋体"/>
          <w:b/>
          <w:color w:val="auto"/>
          <w:sz w:val="44"/>
          <w:szCs w:val="44"/>
          <w:highlight w:val="none"/>
        </w:rPr>
        <w:t>第二章</w:t>
      </w:r>
      <w:bookmarkStart w:id="46" w:name="_Toc477186217"/>
      <w:r>
        <w:rPr>
          <w:rFonts w:hint="eastAsia" w:ascii="宋体" w:hAnsi="宋体" w:eastAsia="宋体" w:cs="宋体"/>
          <w:b/>
          <w:color w:val="auto"/>
          <w:sz w:val="44"/>
          <w:szCs w:val="44"/>
          <w:highlight w:val="none"/>
        </w:rPr>
        <w:t xml:space="preserve">  投标人须知</w:t>
      </w:r>
      <w:bookmarkEnd w:id="45"/>
      <w:bookmarkEnd w:id="46"/>
    </w:p>
    <w:p w14:paraId="6B08C0CB">
      <w:pPr>
        <w:rPr>
          <w:rFonts w:hint="eastAsia" w:ascii="宋体" w:hAnsi="宋体" w:eastAsia="宋体" w:cs="宋体"/>
          <w:color w:val="auto"/>
          <w:highlight w:val="none"/>
        </w:rPr>
      </w:pPr>
    </w:p>
    <w:p w14:paraId="2E1328D2">
      <w:pPr>
        <w:rPr>
          <w:rFonts w:hint="eastAsia" w:ascii="宋体" w:hAnsi="宋体" w:eastAsia="宋体" w:cs="宋体"/>
          <w:color w:val="auto"/>
          <w:highlight w:val="none"/>
        </w:rPr>
      </w:pPr>
    </w:p>
    <w:p w14:paraId="4BDF6D1F">
      <w:pPr>
        <w:rPr>
          <w:rFonts w:hint="eastAsia" w:ascii="宋体" w:hAnsi="宋体" w:eastAsia="宋体" w:cs="宋体"/>
          <w:color w:val="auto"/>
          <w:highlight w:val="none"/>
        </w:rPr>
      </w:pPr>
    </w:p>
    <w:p w14:paraId="26621568">
      <w:pPr>
        <w:rPr>
          <w:rFonts w:hint="eastAsia" w:ascii="宋体" w:hAnsi="宋体" w:eastAsia="宋体" w:cs="宋体"/>
          <w:color w:val="auto"/>
          <w:highlight w:val="none"/>
        </w:rPr>
      </w:pPr>
    </w:p>
    <w:p w14:paraId="47E9B04D">
      <w:pPr>
        <w:rPr>
          <w:rFonts w:hint="eastAsia" w:ascii="宋体" w:hAnsi="宋体" w:eastAsia="宋体" w:cs="宋体"/>
          <w:color w:val="auto"/>
          <w:highlight w:val="none"/>
        </w:rPr>
      </w:pPr>
    </w:p>
    <w:p w14:paraId="36714195">
      <w:pPr>
        <w:rPr>
          <w:rFonts w:hint="eastAsia" w:ascii="宋体" w:hAnsi="宋体" w:eastAsia="宋体" w:cs="宋体"/>
          <w:color w:val="auto"/>
          <w:highlight w:val="none"/>
        </w:rPr>
      </w:pPr>
    </w:p>
    <w:p w14:paraId="07CBA1E4">
      <w:pPr>
        <w:rPr>
          <w:rFonts w:hint="eastAsia" w:ascii="宋体" w:hAnsi="宋体" w:eastAsia="宋体" w:cs="宋体"/>
          <w:color w:val="auto"/>
          <w:highlight w:val="none"/>
        </w:rPr>
      </w:pPr>
    </w:p>
    <w:p w14:paraId="4B8EDAA6">
      <w:pPr>
        <w:rPr>
          <w:rFonts w:hint="eastAsia" w:ascii="宋体" w:hAnsi="宋体" w:eastAsia="宋体" w:cs="宋体"/>
          <w:color w:val="auto"/>
          <w:highlight w:val="none"/>
        </w:rPr>
      </w:pPr>
    </w:p>
    <w:p w14:paraId="6D14B77D">
      <w:pPr>
        <w:rPr>
          <w:rFonts w:hint="eastAsia" w:ascii="宋体" w:hAnsi="宋体" w:eastAsia="宋体" w:cs="宋体"/>
          <w:color w:val="auto"/>
          <w:highlight w:val="none"/>
        </w:rPr>
      </w:pPr>
    </w:p>
    <w:p w14:paraId="37A0C0CF">
      <w:pPr>
        <w:rPr>
          <w:rFonts w:hint="eastAsia" w:ascii="宋体" w:hAnsi="宋体" w:eastAsia="宋体" w:cs="宋体"/>
          <w:color w:val="auto"/>
          <w:highlight w:val="none"/>
        </w:rPr>
      </w:pPr>
    </w:p>
    <w:p w14:paraId="384CBE8F">
      <w:pPr>
        <w:rPr>
          <w:rFonts w:hint="eastAsia" w:ascii="宋体" w:hAnsi="宋体" w:eastAsia="宋体" w:cs="宋体"/>
          <w:color w:val="auto"/>
          <w:highlight w:val="none"/>
        </w:rPr>
      </w:pPr>
    </w:p>
    <w:p w14:paraId="7B69C403">
      <w:pPr>
        <w:rPr>
          <w:rFonts w:hint="eastAsia" w:ascii="宋体" w:hAnsi="宋体" w:eastAsia="宋体" w:cs="宋体"/>
          <w:color w:val="auto"/>
          <w:highlight w:val="none"/>
        </w:rPr>
      </w:pPr>
    </w:p>
    <w:p w14:paraId="4C56327A">
      <w:pPr>
        <w:rPr>
          <w:rFonts w:hint="eastAsia" w:ascii="宋体" w:hAnsi="宋体" w:eastAsia="宋体" w:cs="宋体"/>
          <w:color w:val="auto"/>
          <w:highlight w:val="none"/>
        </w:rPr>
      </w:pPr>
    </w:p>
    <w:p w14:paraId="5E03F492">
      <w:pPr>
        <w:rPr>
          <w:rFonts w:hint="eastAsia" w:ascii="宋体" w:hAnsi="宋体" w:eastAsia="宋体" w:cs="宋体"/>
          <w:color w:val="auto"/>
          <w:highlight w:val="none"/>
        </w:rPr>
      </w:pPr>
    </w:p>
    <w:p w14:paraId="601C134D">
      <w:pPr>
        <w:rPr>
          <w:rFonts w:hint="eastAsia" w:ascii="宋体" w:hAnsi="宋体" w:eastAsia="宋体" w:cs="宋体"/>
          <w:color w:val="auto"/>
          <w:highlight w:val="none"/>
        </w:rPr>
      </w:pPr>
    </w:p>
    <w:p w14:paraId="4D02E36B">
      <w:pPr>
        <w:rPr>
          <w:rFonts w:hint="eastAsia" w:ascii="宋体" w:hAnsi="宋体" w:eastAsia="宋体" w:cs="宋体"/>
          <w:color w:val="auto"/>
          <w:highlight w:val="none"/>
        </w:rPr>
      </w:pPr>
    </w:p>
    <w:p w14:paraId="53488CAD">
      <w:pPr>
        <w:rPr>
          <w:rFonts w:hint="eastAsia" w:ascii="宋体" w:hAnsi="宋体" w:eastAsia="宋体" w:cs="宋体"/>
          <w:color w:val="auto"/>
          <w:highlight w:val="none"/>
        </w:rPr>
      </w:pPr>
    </w:p>
    <w:p w14:paraId="149D125E">
      <w:pPr>
        <w:rPr>
          <w:rFonts w:hint="eastAsia" w:ascii="宋体" w:hAnsi="宋体" w:eastAsia="宋体" w:cs="宋体"/>
          <w:color w:val="auto"/>
          <w:highlight w:val="none"/>
        </w:rPr>
      </w:pPr>
    </w:p>
    <w:p w14:paraId="58A98D87">
      <w:pPr>
        <w:rPr>
          <w:rFonts w:hint="eastAsia" w:ascii="宋体" w:hAnsi="宋体" w:eastAsia="宋体" w:cs="宋体"/>
          <w:color w:val="auto"/>
          <w:highlight w:val="none"/>
        </w:rPr>
      </w:pPr>
    </w:p>
    <w:p w14:paraId="07B7FD1F">
      <w:pPr>
        <w:rPr>
          <w:rFonts w:hint="eastAsia" w:ascii="宋体" w:hAnsi="宋体" w:eastAsia="宋体" w:cs="宋体"/>
          <w:color w:val="auto"/>
          <w:highlight w:val="none"/>
        </w:rPr>
      </w:pPr>
    </w:p>
    <w:p w14:paraId="60047DC1">
      <w:pPr>
        <w:rPr>
          <w:rFonts w:hint="eastAsia" w:ascii="宋体" w:hAnsi="宋体" w:eastAsia="宋体" w:cs="宋体"/>
          <w:color w:val="auto"/>
          <w:highlight w:val="none"/>
        </w:rPr>
      </w:pPr>
    </w:p>
    <w:p w14:paraId="6188805D">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投标人须知前附表</w:t>
      </w:r>
    </w:p>
    <w:tbl>
      <w:tblPr>
        <w:tblStyle w:val="53"/>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019"/>
      </w:tblGrid>
      <w:tr w14:paraId="605E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0" w:type="dxa"/>
            <w:noWrap w:val="0"/>
            <w:vAlign w:val="center"/>
          </w:tcPr>
          <w:p w14:paraId="416CF9F0">
            <w:pPr>
              <w:pStyle w:val="41"/>
              <w:ind w:left="1265" w:right="42" w:rightChars="20" w:hanging="1265"/>
              <w:jc w:val="center"/>
              <w:rPr>
                <w:rFonts w:hint="eastAsia" w:ascii="宋体" w:hAnsi="宋体" w:eastAsia="宋体" w:cs="宋体"/>
                <w:b/>
                <w:bCs/>
                <w:color w:val="auto"/>
                <w:highlight w:val="none"/>
              </w:rPr>
            </w:pPr>
            <w:bookmarkStart w:id="47" w:name="_Toc30250"/>
            <w:bookmarkStart w:id="48" w:name="_Toc119753876"/>
            <w:bookmarkStart w:id="49" w:name="_Toc476177333"/>
            <w:bookmarkStart w:id="50" w:name="_Toc476177888"/>
            <w:r>
              <w:rPr>
                <w:rFonts w:hint="eastAsia" w:ascii="宋体" w:hAnsi="宋体" w:eastAsia="宋体" w:cs="宋体"/>
                <w:b/>
                <w:bCs/>
                <w:color w:val="auto"/>
                <w:highlight w:val="none"/>
              </w:rPr>
              <w:t>项号</w:t>
            </w:r>
          </w:p>
        </w:tc>
        <w:tc>
          <w:tcPr>
            <w:tcW w:w="8019" w:type="dxa"/>
            <w:noWrap w:val="0"/>
            <w:vAlign w:val="center"/>
          </w:tcPr>
          <w:p w14:paraId="65377354">
            <w:pPr>
              <w:pStyle w:val="41"/>
              <w:ind w:left="252" w:leftChars="120" w:firstLine="2509" w:firstLineChars="1190"/>
              <w:rPr>
                <w:rFonts w:hint="eastAsia" w:ascii="宋体" w:hAnsi="宋体" w:eastAsia="宋体" w:cs="宋体"/>
                <w:b/>
                <w:bCs/>
                <w:color w:val="auto"/>
                <w:highlight w:val="none"/>
              </w:rPr>
            </w:pPr>
            <w:r>
              <w:rPr>
                <w:rFonts w:hint="eastAsia" w:ascii="宋体" w:hAnsi="宋体" w:eastAsia="宋体" w:cs="宋体"/>
                <w:b/>
                <w:bCs/>
                <w:color w:val="auto"/>
                <w:highlight w:val="none"/>
              </w:rPr>
              <w:t>内容规定</w:t>
            </w:r>
          </w:p>
        </w:tc>
      </w:tr>
      <w:tr w14:paraId="145C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00" w:type="dxa"/>
            <w:noWrap w:val="0"/>
            <w:vAlign w:val="center"/>
          </w:tcPr>
          <w:p w14:paraId="46D0B293">
            <w:pPr>
              <w:pStyle w:val="41"/>
              <w:ind w:left="-2394" w:leftChars="-1140" w:right="-107" w:rightChars="-51" w:firstLine="2284" w:firstLineChars="1088"/>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8019" w:type="dxa"/>
            <w:noWrap w:val="0"/>
            <w:vAlign w:val="top"/>
          </w:tcPr>
          <w:p w14:paraId="52E9EF10">
            <w:pPr>
              <w:pStyle w:val="41"/>
              <w:ind w:left="1" w:firstLine="0"/>
              <w:rPr>
                <w:rFonts w:hint="eastAsia" w:ascii="宋体" w:hAnsi="宋体" w:eastAsia="宋体" w:cs="宋体"/>
                <w:b/>
                <w:color w:val="auto"/>
                <w:highlight w:val="none"/>
                <w:lang w:eastAsia="zh-CN"/>
              </w:rPr>
            </w:pPr>
            <w:r>
              <w:rPr>
                <w:rFonts w:hint="eastAsia" w:ascii="宋体" w:hAnsi="宋体" w:eastAsia="宋体" w:cs="宋体"/>
                <w:b/>
                <w:color w:val="auto"/>
                <w:highlight w:val="none"/>
              </w:rPr>
              <w:t>项目名称：</w:t>
            </w:r>
            <w:r>
              <w:rPr>
                <w:rFonts w:hint="eastAsia" w:hAnsi="宋体" w:eastAsia="宋体" w:cs="宋体"/>
                <w:b/>
                <w:color w:val="auto"/>
                <w:highlight w:val="none"/>
                <w:lang w:eastAsia="zh-CN"/>
              </w:rPr>
              <w:t>更换7至11号电梯项目</w:t>
            </w:r>
          </w:p>
          <w:p w14:paraId="459ED832">
            <w:pPr>
              <w:pStyle w:val="41"/>
              <w:ind w:left="1265" w:hanging="1265"/>
              <w:rPr>
                <w:rFonts w:hint="eastAsia" w:ascii="宋体" w:hAnsi="宋体" w:eastAsia="宋体" w:cs="宋体"/>
                <w:color w:val="auto"/>
                <w:highlight w:val="none"/>
                <w:lang w:eastAsia="zh-CN"/>
              </w:rPr>
            </w:pPr>
            <w:r>
              <w:rPr>
                <w:rFonts w:hint="eastAsia" w:ascii="宋体" w:hAnsi="宋体" w:eastAsia="宋体" w:cs="宋体"/>
                <w:b/>
                <w:bCs/>
                <w:color w:val="auto"/>
                <w:highlight w:val="none"/>
              </w:rPr>
              <w:t>招标人名称：</w:t>
            </w:r>
            <w:r>
              <w:rPr>
                <w:rFonts w:hint="eastAsia" w:ascii="宋体" w:hAnsi="宋体" w:eastAsia="宋体" w:cs="宋体"/>
                <w:b/>
                <w:color w:val="auto"/>
                <w:highlight w:val="none"/>
                <w:lang w:eastAsia="zh-CN"/>
              </w:rPr>
              <w:t>广东南方报业传媒集团物业管理有限公司</w:t>
            </w:r>
          </w:p>
        </w:tc>
      </w:tr>
      <w:tr w14:paraId="6EE7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0" w:type="dxa"/>
            <w:noWrap w:val="0"/>
            <w:vAlign w:val="center"/>
          </w:tcPr>
          <w:p w14:paraId="041EA5A9">
            <w:pPr>
              <w:pStyle w:val="41"/>
              <w:ind w:left="-466" w:leftChars="-222" w:right="42" w:rightChars="20" w:firstLine="464" w:firstLineChars="221"/>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8019" w:type="dxa"/>
            <w:noWrap w:val="0"/>
            <w:vAlign w:val="center"/>
          </w:tcPr>
          <w:p w14:paraId="0A004FDC">
            <w:pPr>
              <w:pStyle w:val="41"/>
              <w:ind w:left="1103" w:hanging="1103" w:hangingChars="523"/>
              <w:rPr>
                <w:rFonts w:hint="eastAsia" w:ascii="宋体" w:hAnsi="宋体" w:eastAsia="宋体" w:cs="宋体"/>
                <w:b/>
                <w:color w:val="auto"/>
                <w:highlight w:val="none"/>
                <w:u w:val="single"/>
              </w:rPr>
            </w:pPr>
            <w:r>
              <w:rPr>
                <w:rFonts w:hint="eastAsia" w:ascii="宋体" w:hAnsi="宋体" w:eastAsia="宋体" w:cs="宋体"/>
                <w:b/>
                <w:bCs/>
                <w:color w:val="auto"/>
                <w:highlight w:val="none"/>
              </w:rPr>
              <w:t>资金来源：</w:t>
            </w:r>
            <w:r>
              <w:rPr>
                <w:rFonts w:hint="eastAsia" w:ascii="宋体" w:hAnsi="宋体" w:eastAsia="宋体" w:cs="宋体"/>
                <w:color w:val="auto"/>
                <w:highlight w:val="none"/>
              </w:rPr>
              <w:t>自筹资金</w:t>
            </w:r>
          </w:p>
        </w:tc>
      </w:tr>
      <w:tr w14:paraId="1646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0" w:type="dxa"/>
            <w:noWrap w:val="0"/>
            <w:vAlign w:val="center"/>
          </w:tcPr>
          <w:p w14:paraId="3FAAECD9">
            <w:pPr>
              <w:pStyle w:val="41"/>
              <w:ind w:left="-466" w:leftChars="-222" w:right="42" w:rightChars="20" w:firstLine="464" w:firstLineChars="221"/>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8019" w:type="dxa"/>
            <w:noWrap w:val="0"/>
            <w:vAlign w:val="center"/>
          </w:tcPr>
          <w:p w14:paraId="4CE8F6D2">
            <w:pPr>
              <w:pStyle w:val="41"/>
              <w:ind w:left="1265" w:hanging="1265"/>
              <w:rPr>
                <w:rFonts w:hint="eastAsia" w:ascii="宋体" w:hAnsi="宋体" w:eastAsia="宋体" w:cs="宋体"/>
                <w:color w:val="auto"/>
                <w:highlight w:val="none"/>
              </w:rPr>
            </w:pPr>
            <w:r>
              <w:rPr>
                <w:rFonts w:hint="eastAsia" w:ascii="宋体" w:hAnsi="宋体" w:eastAsia="宋体" w:cs="宋体"/>
                <w:b/>
                <w:bCs/>
                <w:color w:val="auto"/>
                <w:highlight w:val="none"/>
              </w:rPr>
              <w:t>招标方式：</w:t>
            </w:r>
            <w:r>
              <w:rPr>
                <w:rFonts w:hint="eastAsia" w:ascii="宋体" w:hAnsi="宋体" w:eastAsia="宋体" w:cs="宋体"/>
                <w:color w:val="auto"/>
                <w:highlight w:val="none"/>
              </w:rPr>
              <w:t>国内公开招标</w:t>
            </w:r>
          </w:p>
        </w:tc>
      </w:tr>
      <w:tr w14:paraId="6739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00" w:type="dxa"/>
            <w:noWrap w:val="0"/>
            <w:vAlign w:val="center"/>
          </w:tcPr>
          <w:p w14:paraId="50428496">
            <w:pPr>
              <w:pStyle w:val="41"/>
              <w:ind w:left="-466" w:leftChars="-222" w:right="42" w:rightChars="20" w:firstLine="464" w:firstLineChars="221"/>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8019" w:type="dxa"/>
            <w:noWrap w:val="0"/>
            <w:vAlign w:val="center"/>
          </w:tcPr>
          <w:p w14:paraId="78035A31">
            <w:pPr>
              <w:pStyle w:val="41"/>
              <w:ind w:left="1" w:firstLine="0"/>
              <w:jc w:val="left"/>
              <w:rPr>
                <w:rFonts w:hint="eastAsia" w:ascii="宋体" w:hAnsi="宋体" w:eastAsia="宋体" w:cs="宋体"/>
                <w:b/>
                <w:bCs/>
                <w:color w:val="auto"/>
                <w:highlight w:val="none"/>
                <w:lang w:eastAsia="zh-CN"/>
              </w:rPr>
            </w:pPr>
            <w:r>
              <w:rPr>
                <w:rFonts w:hint="eastAsia" w:ascii="宋体" w:hAnsi="宋体" w:eastAsia="宋体" w:cs="宋体"/>
                <w:b/>
                <w:color w:val="auto"/>
                <w:highlight w:val="none"/>
              </w:rPr>
              <w:t>招标信息发布：</w:t>
            </w:r>
            <w:r>
              <w:rPr>
                <w:rFonts w:hint="eastAsia" w:ascii="宋体" w:hAnsi="宋体" w:eastAsia="宋体" w:cs="宋体"/>
                <w:bCs/>
                <w:color w:val="auto"/>
                <w:highlight w:val="none"/>
              </w:rPr>
              <w:t>中</w:t>
            </w:r>
            <w:r>
              <w:rPr>
                <w:rFonts w:hint="eastAsia" w:ascii="宋体" w:hAnsi="宋体" w:eastAsia="宋体" w:cs="宋体"/>
                <w:color w:val="auto"/>
                <w:highlight w:val="none"/>
              </w:rPr>
              <w:t>国招标投标公共服务平台、广咨电子招投标交易平台网站（广东省机电设备招标有限公司网）</w:t>
            </w:r>
            <w:r>
              <w:rPr>
                <w:rFonts w:hint="eastAsia" w:ascii="宋体" w:hAnsi="宋体" w:eastAsia="宋体" w:cs="宋体"/>
                <w:color w:val="auto"/>
                <w:highlight w:val="none"/>
                <w:lang w:eastAsia="zh-CN"/>
              </w:rPr>
              <w:t>、南方网、《南方日报》。</w:t>
            </w:r>
          </w:p>
        </w:tc>
      </w:tr>
      <w:tr w14:paraId="1ACE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0" w:type="dxa"/>
            <w:noWrap w:val="0"/>
            <w:vAlign w:val="center"/>
          </w:tcPr>
          <w:p w14:paraId="57988AB0">
            <w:pPr>
              <w:pStyle w:val="41"/>
              <w:ind w:left="-466" w:leftChars="-222" w:right="42" w:rightChars="20" w:firstLine="464" w:firstLineChars="221"/>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8019" w:type="dxa"/>
            <w:noWrap w:val="0"/>
            <w:vAlign w:val="center"/>
          </w:tcPr>
          <w:p w14:paraId="333C09C1">
            <w:pPr>
              <w:pStyle w:val="41"/>
              <w:ind w:left="1265" w:hanging="1265"/>
              <w:rPr>
                <w:rFonts w:hint="eastAsia" w:ascii="宋体" w:hAnsi="宋体" w:eastAsia="宋体" w:cs="宋体"/>
                <w:color w:val="auto"/>
                <w:highlight w:val="none"/>
              </w:rPr>
            </w:pPr>
            <w:r>
              <w:rPr>
                <w:rFonts w:hint="eastAsia" w:ascii="宋体" w:hAnsi="宋体" w:eastAsia="宋体" w:cs="宋体"/>
                <w:b/>
                <w:bCs/>
                <w:color w:val="auto"/>
                <w:highlight w:val="none"/>
              </w:rPr>
              <w:t>招标范围：</w:t>
            </w:r>
            <w:r>
              <w:rPr>
                <w:rFonts w:hint="eastAsia" w:ascii="宋体" w:hAnsi="宋体" w:eastAsia="宋体" w:cs="宋体"/>
                <w:color w:val="auto"/>
                <w:highlight w:val="none"/>
              </w:rPr>
              <w:t>详见投标人须知</w:t>
            </w:r>
          </w:p>
        </w:tc>
      </w:tr>
      <w:tr w14:paraId="08E4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800" w:type="dxa"/>
            <w:noWrap w:val="0"/>
            <w:vAlign w:val="center"/>
          </w:tcPr>
          <w:p w14:paraId="4CFADEAA">
            <w:pPr>
              <w:pStyle w:val="41"/>
              <w:ind w:left="-466" w:leftChars="-222" w:right="42" w:rightChars="20" w:firstLine="464" w:firstLineChars="221"/>
              <w:jc w:val="center"/>
              <w:rPr>
                <w:rFonts w:hint="eastAsia" w:ascii="宋体" w:hAnsi="宋体" w:eastAsia="宋体" w:cs="宋体"/>
                <w:color w:val="auto"/>
                <w:highlight w:val="none"/>
                <w:lang w:val="en-US" w:eastAsia="zh-CN"/>
              </w:rPr>
            </w:pPr>
            <w:r>
              <w:rPr>
                <w:rFonts w:hint="eastAsia" w:hAnsi="宋体" w:eastAsia="宋体" w:cs="宋体"/>
                <w:color w:val="auto"/>
                <w:highlight w:val="none"/>
                <w:lang w:val="en-US" w:eastAsia="zh-CN"/>
              </w:rPr>
              <w:t>6</w:t>
            </w:r>
          </w:p>
        </w:tc>
        <w:tc>
          <w:tcPr>
            <w:tcW w:w="8019" w:type="dxa"/>
            <w:noWrap w:val="0"/>
            <w:vAlign w:val="center"/>
          </w:tcPr>
          <w:p w14:paraId="6154D456">
            <w:pPr>
              <w:pStyle w:val="41"/>
              <w:ind w:left="1265" w:hanging="1265"/>
              <w:rPr>
                <w:rFonts w:hint="eastAsia" w:hAnsi="宋体" w:eastAsia="宋体" w:cs="宋体"/>
                <w:b w:val="0"/>
                <w:bCs w:val="0"/>
                <w:color w:val="auto"/>
                <w:highlight w:val="none"/>
                <w:lang w:val="en-US" w:eastAsia="zh-CN"/>
              </w:rPr>
            </w:pPr>
            <w:r>
              <w:rPr>
                <w:rFonts w:hint="eastAsia" w:hAnsi="宋体" w:eastAsia="宋体" w:cs="宋体"/>
                <w:b/>
                <w:bCs/>
                <w:color w:val="auto"/>
                <w:highlight w:val="none"/>
                <w:lang w:val="en-US" w:eastAsia="zh-CN"/>
              </w:rPr>
              <w:t>踏勘现场：</w:t>
            </w:r>
            <w:r>
              <w:rPr>
                <w:rFonts w:hint="eastAsia" w:hAnsi="宋体" w:eastAsia="宋体" w:cs="宋体"/>
                <w:b w:val="0"/>
                <w:bCs w:val="0"/>
                <w:color w:val="auto"/>
                <w:highlight w:val="none"/>
                <w:lang w:val="en-US" w:eastAsia="zh-CN"/>
              </w:rPr>
              <w:t>招标人不组织集中踏勘现场。投标人如有意愿踏勘现场提前与招标人联系，踏勘现场发生的费用自理。</w:t>
            </w:r>
          </w:p>
          <w:p w14:paraId="68D6A4CC">
            <w:pPr>
              <w:pStyle w:val="41"/>
              <w:ind w:left="1265" w:hanging="1265"/>
              <w:rPr>
                <w:rFonts w:hint="default" w:hAnsi="宋体" w:eastAsia="宋体" w:cs="宋体"/>
                <w:b w:val="0"/>
                <w:bCs w:val="0"/>
                <w:color w:val="auto"/>
                <w:highlight w:val="none"/>
                <w:lang w:val="en-US" w:eastAsia="zh-CN"/>
              </w:rPr>
            </w:pPr>
            <w:r>
              <w:rPr>
                <w:rFonts w:hint="eastAsia" w:hAnsi="宋体" w:eastAsia="宋体" w:cs="宋体"/>
                <w:b/>
                <w:bCs/>
                <w:color w:val="auto"/>
                <w:highlight w:val="none"/>
                <w:lang w:val="en-US" w:eastAsia="zh-CN"/>
              </w:rPr>
              <w:t>踏勘时间：</w:t>
            </w:r>
            <w:r>
              <w:rPr>
                <w:rFonts w:hint="eastAsia" w:hAnsi="宋体" w:eastAsia="宋体" w:cs="宋体"/>
                <w:b w:val="0"/>
                <w:bCs w:val="0"/>
                <w:color w:val="000000"/>
                <w:highlight w:val="none"/>
                <w:lang w:val="en-US" w:eastAsia="zh-CN"/>
              </w:rPr>
              <w:t>2024年</w:t>
            </w:r>
            <w:r>
              <w:rPr>
                <w:rFonts w:hint="eastAsia" w:hAnsi="宋体" w:cs="宋体"/>
                <w:b w:val="0"/>
                <w:bCs w:val="0"/>
                <w:color w:val="000000"/>
                <w:highlight w:val="none"/>
                <w:lang w:val="en-US" w:eastAsia="zh-CN"/>
              </w:rPr>
              <w:t>11</w:t>
            </w:r>
            <w:r>
              <w:rPr>
                <w:rFonts w:hint="eastAsia" w:hAnsi="宋体" w:eastAsia="宋体" w:cs="宋体"/>
                <w:b w:val="0"/>
                <w:bCs w:val="0"/>
                <w:color w:val="000000"/>
                <w:highlight w:val="none"/>
                <w:lang w:val="en-US" w:eastAsia="zh-CN"/>
              </w:rPr>
              <w:t>月</w:t>
            </w:r>
            <w:r>
              <w:rPr>
                <w:rFonts w:hint="eastAsia" w:hAnsi="宋体" w:cs="宋体"/>
                <w:b w:val="0"/>
                <w:bCs w:val="0"/>
                <w:color w:val="000000"/>
                <w:highlight w:val="none"/>
                <w:lang w:val="en-US" w:eastAsia="zh-CN"/>
              </w:rPr>
              <w:t>29</w:t>
            </w:r>
            <w:r>
              <w:rPr>
                <w:rFonts w:hint="eastAsia" w:hAnsi="宋体" w:eastAsia="宋体" w:cs="宋体"/>
                <w:b w:val="0"/>
                <w:bCs w:val="0"/>
                <w:color w:val="000000"/>
                <w:highlight w:val="none"/>
                <w:lang w:val="en-US" w:eastAsia="zh-CN"/>
              </w:rPr>
              <w:t>日</w:t>
            </w:r>
            <w:r>
              <w:rPr>
                <w:rFonts w:hint="eastAsia" w:hAnsi="宋体" w:cs="宋体"/>
                <w:b w:val="0"/>
                <w:bCs w:val="0"/>
                <w:color w:val="000000"/>
                <w:highlight w:val="none"/>
                <w:lang w:val="en-US" w:eastAsia="zh-CN"/>
              </w:rPr>
              <w:t>、</w:t>
            </w:r>
            <w:r>
              <w:rPr>
                <w:rFonts w:hint="eastAsia" w:hAnsi="宋体" w:eastAsia="宋体" w:cs="宋体"/>
                <w:b w:val="0"/>
                <w:bCs w:val="0"/>
                <w:color w:val="000000"/>
                <w:highlight w:val="none"/>
                <w:lang w:val="en-US" w:eastAsia="zh-CN"/>
              </w:rPr>
              <w:t>2024年</w:t>
            </w:r>
            <w:r>
              <w:rPr>
                <w:rFonts w:hint="eastAsia" w:hAnsi="宋体" w:cs="宋体"/>
                <w:b w:val="0"/>
                <w:bCs w:val="0"/>
                <w:color w:val="000000"/>
                <w:highlight w:val="none"/>
                <w:lang w:val="en-US" w:eastAsia="zh-CN"/>
              </w:rPr>
              <w:t>12</w:t>
            </w:r>
            <w:r>
              <w:rPr>
                <w:rFonts w:hint="eastAsia" w:hAnsi="宋体" w:eastAsia="宋体" w:cs="宋体"/>
                <w:b w:val="0"/>
                <w:bCs w:val="0"/>
                <w:color w:val="000000"/>
                <w:highlight w:val="none"/>
                <w:lang w:val="en-US" w:eastAsia="zh-CN"/>
              </w:rPr>
              <w:t>月</w:t>
            </w:r>
            <w:r>
              <w:rPr>
                <w:rFonts w:hint="eastAsia" w:hAnsi="宋体" w:cs="宋体"/>
                <w:b w:val="0"/>
                <w:bCs w:val="0"/>
                <w:color w:val="000000"/>
                <w:highlight w:val="none"/>
                <w:lang w:val="en-US" w:eastAsia="zh-CN"/>
              </w:rPr>
              <w:t>2</w:t>
            </w:r>
            <w:r>
              <w:rPr>
                <w:rFonts w:hint="eastAsia" w:hAnsi="宋体" w:eastAsia="宋体" w:cs="宋体"/>
                <w:b w:val="0"/>
                <w:bCs w:val="0"/>
                <w:color w:val="000000"/>
                <w:highlight w:val="none"/>
                <w:lang w:val="en-US" w:eastAsia="zh-CN"/>
              </w:rPr>
              <w:t>日</w:t>
            </w:r>
            <w:r>
              <w:rPr>
                <w:rFonts w:hint="eastAsia" w:hAnsi="宋体" w:eastAsia="宋体" w:cs="宋体"/>
                <w:b w:val="0"/>
                <w:bCs w:val="0"/>
                <w:color w:val="auto"/>
                <w:highlight w:val="none"/>
                <w:lang w:val="en-US" w:eastAsia="zh-CN"/>
              </w:rPr>
              <w:t>上午9:00-12:00；下午2:30-5:00。</w:t>
            </w:r>
            <w:r>
              <w:rPr>
                <w:rFonts w:hint="eastAsia" w:hAnsi="宋体" w:cs="宋体"/>
                <w:b w:val="0"/>
                <w:bCs w:val="0"/>
                <w:color w:val="auto"/>
                <w:highlight w:val="none"/>
                <w:lang w:val="en-US" w:eastAsia="zh-CN"/>
              </w:rPr>
              <w:t>（2个工作日）</w:t>
            </w:r>
          </w:p>
          <w:p w14:paraId="27F04423">
            <w:pPr>
              <w:pStyle w:val="41"/>
              <w:ind w:left="1265" w:hanging="1265"/>
              <w:rPr>
                <w:rFonts w:hint="eastAsia" w:hAnsi="宋体" w:eastAsia="宋体" w:cs="宋体"/>
                <w:b w:val="0"/>
                <w:bCs w:val="0"/>
                <w:color w:val="auto"/>
                <w:highlight w:val="none"/>
                <w:lang w:val="en-US" w:eastAsia="zh-CN"/>
              </w:rPr>
            </w:pPr>
            <w:r>
              <w:rPr>
                <w:rFonts w:hint="eastAsia" w:hAnsi="宋体" w:eastAsia="宋体" w:cs="宋体"/>
                <w:b/>
                <w:bCs/>
                <w:color w:val="auto"/>
                <w:highlight w:val="none"/>
                <w:lang w:val="en-US" w:eastAsia="zh-CN"/>
              </w:rPr>
              <w:t>踏勘地点</w:t>
            </w:r>
            <w:r>
              <w:rPr>
                <w:rFonts w:hint="eastAsia" w:ascii="宋体" w:hAnsi="宋体" w:eastAsia="宋体" w:cs="宋体"/>
                <w:b/>
                <w:bCs/>
                <w:color w:val="auto"/>
                <w:szCs w:val="24"/>
                <w:highlight w:val="none"/>
                <w:lang w:val="en-US" w:eastAsia="zh-CN"/>
              </w:rPr>
              <w:t>：</w:t>
            </w:r>
            <w:r>
              <w:rPr>
                <w:rFonts w:hint="eastAsia" w:ascii="宋体" w:hAnsi="宋体" w:eastAsia="宋体" w:cs="宋体"/>
                <w:b w:val="0"/>
                <w:bCs w:val="0"/>
                <w:color w:val="auto"/>
                <w:szCs w:val="24"/>
                <w:highlight w:val="none"/>
                <w:lang w:val="en-US" w:eastAsia="zh-CN"/>
              </w:rPr>
              <w:t>广东省广州市越秀区广州大道中289号招标人指定地点。</w:t>
            </w:r>
          </w:p>
          <w:p w14:paraId="34C0A5DB">
            <w:pPr>
              <w:pStyle w:val="41"/>
              <w:ind w:left="1265" w:hanging="1265"/>
              <w:rPr>
                <w:rFonts w:hint="default" w:ascii="宋体" w:hAnsi="宋体" w:eastAsia="宋体" w:cs="宋体"/>
                <w:b w:val="0"/>
                <w:bCs w:val="0"/>
                <w:color w:val="auto"/>
                <w:highlight w:val="none"/>
                <w:lang w:val="en-US" w:eastAsia="zh-CN"/>
              </w:rPr>
            </w:pPr>
            <w:r>
              <w:rPr>
                <w:rFonts w:hint="eastAsia" w:hAnsi="宋体" w:eastAsia="宋体" w:cs="宋体"/>
                <w:b/>
                <w:bCs/>
                <w:color w:val="auto"/>
                <w:highlight w:val="none"/>
                <w:lang w:val="en-US" w:eastAsia="zh-CN"/>
              </w:rPr>
              <w:t>联</w:t>
            </w:r>
            <w:r>
              <w:rPr>
                <w:rFonts w:hint="eastAsia" w:ascii="宋体" w:hAnsi="宋体" w:eastAsia="宋体" w:cs="宋体"/>
                <w:b/>
                <w:bCs/>
                <w:color w:val="auto"/>
                <w:highlight w:val="none"/>
                <w:lang w:val="en-US" w:eastAsia="zh-CN"/>
              </w:rPr>
              <w:t>系人：</w:t>
            </w:r>
            <w:r>
              <w:rPr>
                <w:rFonts w:hint="eastAsia" w:hAnsi="宋体" w:cs="宋体"/>
                <w:b/>
                <w:bCs/>
                <w:color w:val="auto"/>
                <w:highlight w:val="none"/>
                <w:lang w:val="en-US" w:eastAsia="zh-CN"/>
              </w:rPr>
              <w:t>邓工</w:t>
            </w:r>
          </w:p>
          <w:p w14:paraId="12FF31CD">
            <w:pPr>
              <w:pStyle w:val="41"/>
              <w:ind w:left="1265" w:hanging="1265"/>
              <w:rPr>
                <w:rFonts w:hint="default"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联系方式：</w:t>
            </w:r>
            <w:r>
              <w:rPr>
                <w:rFonts w:hint="eastAsia" w:ascii="宋体" w:hAnsi="宋体" w:eastAsia="宋体" w:cs="宋体"/>
                <w:color w:val="auto"/>
                <w:highlight w:val="none"/>
                <w:lang w:val="en-US" w:eastAsia="zh-CN"/>
              </w:rPr>
              <w:t>020-</w:t>
            </w:r>
            <w:r>
              <w:rPr>
                <w:rFonts w:hint="eastAsia" w:ascii="宋体" w:hAnsi="宋体" w:cs="宋体"/>
                <w:color w:val="auto"/>
                <w:highlight w:val="none"/>
                <w:lang w:val="en-US" w:eastAsia="zh-CN"/>
              </w:rPr>
              <w:t>83003053</w:t>
            </w:r>
          </w:p>
        </w:tc>
      </w:tr>
      <w:tr w14:paraId="6CE8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0" w:type="dxa"/>
            <w:noWrap w:val="0"/>
            <w:vAlign w:val="center"/>
          </w:tcPr>
          <w:p w14:paraId="20D83FE9">
            <w:pPr>
              <w:pStyle w:val="41"/>
              <w:ind w:left="-466" w:leftChars="-222" w:right="42" w:rightChars="20" w:firstLine="464" w:firstLineChars="221"/>
              <w:jc w:val="center"/>
              <w:rPr>
                <w:rFonts w:hint="eastAsia" w:ascii="宋体" w:hAnsi="宋体" w:eastAsia="宋体" w:cs="宋体"/>
                <w:color w:val="auto"/>
                <w:highlight w:val="none"/>
                <w:lang w:eastAsia="zh-CN"/>
              </w:rPr>
            </w:pPr>
            <w:r>
              <w:rPr>
                <w:rFonts w:hint="eastAsia" w:hAnsi="宋体" w:eastAsia="宋体" w:cs="宋体"/>
                <w:color w:val="auto"/>
                <w:highlight w:val="none"/>
                <w:lang w:val="en-US" w:eastAsia="zh-CN"/>
              </w:rPr>
              <w:t>7</w:t>
            </w:r>
          </w:p>
        </w:tc>
        <w:tc>
          <w:tcPr>
            <w:tcW w:w="8019" w:type="dxa"/>
            <w:noWrap w:val="0"/>
            <w:vAlign w:val="center"/>
          </w:tcPr>
          <w:p w14:paraId="6D924573">
            <w:pPr>
              <w:pStyle w:val="41"/>
              <w:ind w:left="1" w:firstLine="0"/>
              <w:jc w:val="left"/>
              <w:rPr>
                <w:rFonts w:hint="eastAsia" w:ascii="宋体" w:hAnsi="宋体" w:eastAsia="宋体" w:cs="宋体"/>
                <w:color w:val="auto"/>
                <w:highlight w:val="none"/>
              </w:rPr>
            </w:pPr>
            <w:r>
              <w:rPr>
                <w:rFonts w:hint="eastAsia" w:ascii="宋体" w:hAnsi="宋体" w:eastAsia="宋体" w:cs="宋体"/>
                <w:b/>
                <w:bCs/>
                <w:color w:val="auto"/>
                <w:highlight w:val="none"/>
              </w:rPr>
              <w:t>投标文件份数：</w:t>
            </w:r>
            <w:r>
              <w:rPr>
                <w:rFonts w:hint="eastAsia" w:ascii="宋体" w:hAnsi="宋体" w:eastAsia="宋体" w:cs="宋体"/>
                <w:color w:val="auto"/>
                <w:highlight w:val="none"/>
              </w:rPr>
              <w:t>中文正本1份；中文副本4份；投标文件电子文档1份（usb闪存盘）</w:t>
            </w:r>
          </w:p>
        </w:tc>
      </w:tr>
      <w:tr w14:paraId="6833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0" w:type="dxa"/>
            <w:noWrap w:val="0"/>
            <w:vAlign w:val="center"/>
          </w:tcPr>
          <w:p w14:paraId="3C2E7917">
            <w:pPr>
              <w:pStyle w:val="41"/>
              <w:ind w:left="-466" w:leftChars="-222" w:right="42" w:rightChars="20" w:firstLine="464" w:firstLineChars="221"/>
              <w:jc w:val="center"/>
              <w:rPr>
                <w:rFonts w:hint="eastAsia" w:ascii="宋体" w:hAnsi="宋体" w:eastAsia="宋体" w:cs="宋体"/>
                <w:color w:val="auto"/>
                <w:highlight w:val="none"/>
                <w:lang w:eastAsia="zh-CN"/>
              </w:rPr>
            </w:pPr>
            <w:r>
              <w:rPr>
                <w:rFonts w:hint="eastAsia" w:hAnsi="宋体" w:eastAsia="宋体" w:cs="宋体"/>
                <w:color w:val="auto"/>
                <w:highlight w:val="none"/>
                <w:lang w:val="en-US" w:eastAsia="zh-CN"/>
              </w:rPr>
              <w:t>8</w:t>
            </w:r>
          </w:p>
        </w:tc>
        <w:tc>
          <w:tcPr>
            <w:tcW w:w="8019" w:type="dxa"/>
            <w:noWrap w:val="0"/>
            <w:vAlign w:val="center"/>
          </w:tcPr>
          <w:p w14:paraId="3B69AB84">
            <w:pPr>
              <w:pStyle w:val="41"/>
              <w:ind w:left="1265" w:hanging="1265"/>
              <w:rPr>
                <w:rFonts w:hint="eastAsia" w:ascii="宋体" w:hAnsi="宋体" w:eastAsia="宋体" w:cs="宋体"/>
                <w:color w:val="auto"/>
                <w:highlight w:val="none"/>
              </w:rPr>
            </w:pPr>
            <w:r>
              <w:rPr>
                <w:rFonts w:hint="eastAsia" w:ascii="宋体" w:hAnsi="宋体" w:eastAsia="宋体" w:cs="宋体"/>
                <w:b/>
                <w:bCs/>
                <w:color w:val="auto"/>
                <w:highlight w:val="none"/>
              </w:rPr>
              <w:t>投标有效期：</w:t>
            </w:r>
            <w:r>
              <w:rPr>
                <w:rFonts w:hint="eastAsia" w:ascii="宋体" w:hAnsi="宋体" w:eastAsia="宋体" w:cs="宋体"/>
                <w:b/>
                <w:color w:val="auto"/>
                <w:highlight w:val="none"/>
                <w:u w:val="single"/>
              </w:rPr>
              <w:t>90天（日历天）</w:t>
            </w:r>
          </w:p>
        </w:tc>
      </w:tr>
      <w:tr w14:paraId="4BC0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7" w:hRule="atLeast"/>
        </w:trPr>
        <w:tc>
          <w:tcPr>
            <w:tcW w:w="800" w:type="dxa"/>
            <w:noWrap w:val="0"/>
            <w:vAlign w:val="center"/>
          </w:tcPr>
          <w:p w14:paraId="05A615D4">
            <w:pPr>
              <w:pStyle w:val="41"/>
              <w:ind w:left="-466" w:leftChars="-222" w:right="42" w:rightChars="20" w:firstLine="464" w:firstLineChars="221"/>
              <w:jc w:val="center"/>
              <w:rPr>
                <w:rFonts w:hint="eastAsia" w:ascii="宋体" w:hAnsi="宋体" w:eastAsia="宋体" w:cs="宋体"/>
                <w:color w:val="auto"/>
                <w:highlight w:val="none"/>
                <w:lang w:eastAsia="zh-CN"/>
              </w:rPr>
            </w:pPr>
            <w:r>
              <w:rPr>
                <w:rFonts w:hint="eastAsia" w:hAnsi="宋体" w:eastAsia="宋体" w:cs="宋体"/>
                <w:color w:val="auto"/>
                <w:highlight w:val="none"/>
                <w:lang w:val="en-US" w:eastAsia="zh-CN"/>
              </w:rPr>
              <w:t>9</w:t>
            </w:r>
          </w:p>
        </w:tc>
        <w:tc>
          <w:tcPr>
            <w:tcW w:w="8019" w:type="dxa"/>
            <w:noWrap w:val="0"/>
            <w:vAlign w:val="top"/>
          </w:tcPr>
          <w:p w14:paraId="22B5B2BB">
            <w:pPr>
              <w:pStyle w:val="41"/>
              <w:spacing w:before="120" w:after="120"/>
              <w:ind w:left="1" w:firstLine="0"/>
              <w:rPr>
                <w:rFonts w:hint="eastAsia" w:ascii="宋体" w:hAnsi="宋体" w:eastAsia="宋体" w:cs="宋体"/>
                <w:b/>
                <w:bCs/>
                <w:color w:val="auto"/>
                <w:highlight w:val="none"/>
              </w:rPr>
            </w:pPr>
            <w:r>
              <w:rPr>
                <w:rFonts w:hint="eastAsia" w:ascii="宋体" w:hAnsi="宋体" w:eastAsia="宋体" w:cs="宋体"/>
                <w:b/>
                <w:bCs/>
                <w:color w:val="auto"/>
                <w:highlight w:val="none"/>
              </w:rPr>
              <w:t>投标保证金：</w:t>
            </w:r>
          </w:p>
          <w:p w14:paraId="23C2B748">
            <w:pPr>
              <w:pStyle w:val="41"/>
              <w:spacing w:before="120" w:after="120"/>
              <w:ind w:left="1" w:firstLine="0"/>
              <w:rPr>
                <w:rFonts w:hint="eastAsia" w:ascii="宋体" w:hAnsi="宋体" w:eastAsia="宋体" w:cs="宋体"/>
                <w:b/>
                <w:bCs/>
                <w:color w:val="auto"/>
                <w:highlight w:val="none"/>
              </w:rPr>
            </w:pPr>
            <w:r>
              <w:rPr>
                <w:rFonts w:hint="eastAsia" w:ascii="宋体" w:hAnsi="宋体" w:eastAsia="宋体" w:cs="宋体"/>
                <w:b/>
                <w:bCs/>
                <w:color w:val="auto"/>
                <w:highlight w:val="none"/>
              </w:rPr>
              <w:t>1、投标保证金金额：</w:t>
            </w:r>
          </w:p>
          <w:p w14:paraId="59FFF76A">
            <w:pPr>
              <w:pStyle w:val="41"/>
              <w:spacing w:before="120" w:after="120"/>
              <w:ind w:left="1" w:firstLine="0"/>
              <w:rPr>
                <w:rFonts w:hint="eastAsia" w:ascii="宋体" w:hAnsi="宋体" w:eastAsia="宋体" w:cs="宋体"/>
                <w:b/>
                <w:bCs/>
                <w:color w:val="auto"/>
                <w:highlight w:val="none"/>
              </w:rPr>
            </w:pPr>
            <w:r>
              <w:rPr>
                <w:rFonts w:hint="eastAsia" w:ascii="宋体" w:hAnsi="宋体" w:eastAsia="宋体" w:cs="宋体"/>
                <w:b/>
                <w:bCs/>
                <w:color w:val="auto"/>
                <w:highlight w:val="none"/>
              </w:rPr>
              <w:t>投标人必须提交￥</w:t>
            </w:r>
            <w:r>
              <w:rPr>
                <w:rFonts w:hint="eastAsia" w:hAnsi="宋体" w:eastAsia="宋体" w:cs="宋体"/>
                <w:b/>
                <w:bCs/>
                <w:color w:val="auto"/>
                <w:highlight w:val="none"/>
                <w:u w:val="single"/>
                <w:lang w:val="en-US" w:eastAsia="zh-CN"/>
              </w:rPr>
              <w:t>3</w:t>
            </w:r>
            <w:r>
              <w:rPr>
                <w:rFonts w:hint="eastAsia" w:ascii="宋体" w:hAnsi="宋体" w:eastAsia="宋体" w:cs="宋体"/>
                <w:b/>
                <w:bCs/>
                <w:color w:val="auto"/>
                <w:highlight w:val="none"/>
                <w:u w:val="single"/>
              </w:rPr>
              <w:t>0000.00</w:t>
            </w:r>
            <w:r>
              <w:rPr>
                <w:rFonts w:hint="eastAsia" w:ascii="宋体" w:hAnsi="宋体" w:eastAsia="宋体" w:cs="宋体"/>
                <w:b/>
                <w:bCs/>
                <w:color w:val="auto"/>
                <w:highlight w:val="none"/>
              </w:rPr>
              <w:t>元(大写：人民币</w:t>
            </w:r>
            <w:r>
              <w:rPr>
                <w:rFonts w:hint="eastAsia" w:hAnsi="宋体" w:eastAsia="宋体" w:cs="宋体"/>
                <w:b/>
                <w:bCs/>
                <w:color w:val="auto"/>
                <w:highlight w:val="none"/>
                <w:lang w:val="en-US" w:eastAsia="zh-CN"/>
              </w:rPr>
              <w:t>叁</w:t>
            </w:r>
            <w:r>
              <w:rPr>
                <w:rFonts w:hint="eastAsia" w:ascii="宋体" w:hAnsi="宋体" w:eastAsia="宋体" w:cs="宋体"/>
                <w:b/>
                <w:bCs/>
                <w:color w:val="auto"/>
                <w:highlight w:val="none"/>
              </w:rPr>
              <w:t>万元整)的投标保证金</w:t>
            </w:r>
          </w:p>
          <w:p w14:paraId="2699BC64">
            <w:pPr>
              <w:pStyle w:val="41"/>
              <w:spacing w:before="120" w:after="120" w:line="240" w:lineRule="auto"/>
              <w:ind w:left="1" w:firstLine="0"/>
              <w:rPr>
                <w:rFonts w:hint="eastAsia" w:ascii="宋体" w:hAnsi="宋体" w:eastAsia="宋体" w:cs="宋体"/>
                <w:color w:val="auto"/>
                <w:highlight w:val="none"/>
              </w:rPr>
            </w:pPr>
            <w:r>
              <w:rPr>
                <w:rFonts w:hint="eastAsia" w:ascii="宋体" w:hAnsi="宋体" w:eastAsia="宋体" w:cs="宋体"/>
                <w:b/>
                <w:bCs/>
                <w:color w:val="auto"/>
                <w:highlight w:val="none"/>
              </w:rPr>
              <w:t>2、投标保证金缴纳方式：</w:t>
            </w:r>
            <w:r>
              <w:rPr>
                <w:rFonts w:hint="eastAsia" w:ascii="宋体" w:hAnsi="宋体" w:eastAsia="宋体" w:cs="宋体"/>
                <w:color w:val="auto"/>
                <w:highlight w:val="none"/>
              </w:rPr>
              <w:t>（1）按银行子账号信息汇款/转账方式缴纳；或（2）电子保函线上缴纳方式：</w:t>
            </w:r>
          </w:p>
          <w:p w14:paraId="14CE1E8C">
            <w:pPr>
              <w:pStyle w:val="41"/>
              <w:ind w:firstLine="0"/>
              <w:rPr>
                <w:rFonts w:hint="eastAsia" w:ascii="宋体" w:hAnsi="宋体" w:eastAsia="宋体" w:cs="宋体"/>
                <w:b/>
                <w:bCs/>
                <w:color w:val="auto"/>
                <w:highlight w:val="none"/>
              </w:rPr>
            </w:pPr>
            <w:r>
              <w:rPr>
                <w:rFonts w:hint="eastAsia" w:ascii="宋体" w:hAnsi="宋体" w:eastAsia="宋体" w:cs="宋体"/>
                <w:b/>
                <w:bCs/>
                <w:color w:val="auto"/>
                <w:highlight w:val="none"/>
              </w:rPr>
              <w:t>（1）银行子账号信息汇款/转账缴纳方式：</w:t>
            </w:r>
          </w:p>
          <w:p w14:paraId="6326DB65">
            <w:pPr>
              <w:pStyle w:val="41"/>
              <w:ind w:firstLine="0"/>
              <w:rPr>
                <w:rFonts w:hint="eastAsia" w:ascii="宋体" w:hAnsi="宋体" w:eastAsia="宋体" w:cs="宋体"/>
                <w:color w:val="auto"/>
                <w:highlight w:val="none"/>
              </w:rPr>
            </w:pPr>
            <w:r>
              <w:rPr>
                <w:rFonts w:hint="eastAsia" w:ascii="宋体" w:hAnsi="宋体" w:eastAsia="宋体" w:cs="宋体"/>
                <w:color w:val="auto"/>
                <w:highlight w:val="none"/>
              </w:rPr>
              <w:t>①投标人网上登记成功后，应登录广东省机电设备招标有限公司广咨电子招投标交易平台网站（http://www.gzebid.cn）并选择对应项目获取缴纳投标保证金的银行子账号信息（每位投标人每个项目的保证金缴纳账户是唯一的，该账号是针对每位投标人随机生成的专属账号）。</w:t>
            </w:r>
          </w:p>
          <w:p w14:paraId="45FC7351">
            <w:pPr>
              <w:pStyle w:val="41"/>
              <w:ind w:firstLine="0"/>
              <w:rPr>
                <w:rFonts w:hint="eastAsia" w:ascii="宋体" w:hAnsi="宋体" w:eastAsia="宋体" w:cs="宋体"/>
                <w:color w:val="auto"/>
                <w:highlight w:val="none"/>
              </w:rPr>
            </w:pPr>
            <w:r>
              <w:rPr>
                <w:rFonts w:hint="eastAsia" w:ascii="宋体" w:hAnsi="宋体" w:eastAsia="宋体" w:cs="宋体"/>
                <w:color w:val="auto"/>
                <w:highlight w:val="none"/>
              </w:rPr>
              <w:t>②投标保证金应从投标人的基本户中支付，并以资金到达该子账号的时间为准，如从其他账户、或未缴纳到指定的子账号，视为无效投标保证金。</w:t>
            </w:r>
          </w:p>
          <w:p w14:paraId="6482F4C3">
            <w:pPr>
              <w:pStyle w:val="41"/>
              <w:ind w:firstLine="0"/>
              <w:rPr>
                <w:rFonts w:hint="eastAsia" w:ascii="宋体" w:hAnsi="宋体" w:eastAsia="宋体" w:cs="宋体"/>
                <w:color w:val="auto"/>
                <w:highlight w:val="none"/>
              </w:rPr>
            </w:pPr>
            <w:r>
              <w:rPr>
                <w:rFonts w:hint="eastAsia" w:ascii="宋体" w:hAnsi="宋体" w:eastAsia="宋体" w:cs="宋体"/>
                <w:color w:val="auto"/>
                <w:highlight w:val="none"/>
              </w:rPr>
              <w:t>③缴纳投标保证金时投标人须仔细阅读广咨电子招投标交易平台的缴纳保证金页面的所有内容（包括重要事项），如因投标人未按要求错误操作造成系统平台无法识别缴纳账号信息或投标保证金未在投标截止时间前到账的，视为未按要求缴纳保证金，由此造成后果由投标供应商自行承担责任。</w:t>
            </w:r>
          </w:p>
          <w:p w14:paraId="07191288">
            <w:pPr>
              <w:pStyle w:val="41"/>
              <w:ind w:firstLine="0"/>
              <w:rPr>
                <w:rFonts w:hint="eastAsia" w:ascii="宋体" w:hAnsi="宋体" w:eastAsia="宋体" w:cs="宋体"/>
                <w:b/>
                <w:bCs/>
                <w:color w:val="auto"/>
                <w:highlight w:val="none"/>
              </w:rPr>
            </w:pPr>
            <w:r>
              <w:rPr>
                <w:rFonts w:hint="eastAsia" w:ascii="宋体" w:hAnsi="宋体" w:eastAsia="宋体" w:cs="宋体"/>
                <w:b/>
                <w:bCs/>
                <w:color w:val="auto"/>
                <w:highlight w:val="none"/>
              </w:rPr>
              <w:t>（2）电子保函线上缴纳方式：</w:t>
            </w:r>
          </w:p>
          <w:p w14:paraId="4D4B2D08">
            <w:pPr>
              <w:pStyle w:val="41"/>
              <w:ind w:firstLine="0"/>
              <w:rPr>
                <w:rFonts w:hint="eastAsia" w:ascii="宋体" w:hAnsi="宋体" w:eastAsia="宋体" w:cs="宋体"/>
                <w:color w:val="auto"/>
                <w:highlight w:val="none"/>
              </w:rPr>
            </w:pPr>
            <w:r>
              <w:rPr>
                <w:rFonts w:hint="eastAsia" w:ascii="宋体" w:hAnsi="宋体" w:eastAsia="宋体" w:cs="宋体"/>
                <w:color w:val="auto"/>
                <w:highlight w:val="none"/>
              </w:rPr>
              <w:t>①登录广咨电子招投标交易平台网站（www.gzebid.cn）并选择对应项目，选择“申请电子保函”，使用标信通APP进行扫码申请，选择开函机构并填写发票信息（如为首次在该开函机构申请电子保函需先完成准入），选择CA盾（如未办理移动CA，系统将自动赠送一个仅能用于开函的CA），确认提交并完成支付，成功出函后，投标人在标信通APP点击“确定提交”，电子保函同步提交至广咨电子招投标交易平台，还可在标信通APP手机下载所开具的电子保函。</w:t>
            </w:r>
          </w:p>
          <w:p w14:paraId="3DF7BC4C">
            <w:pPr>
              <w:pStyle w:val="41"/>
              <w:ind w:firstLine="0"/>
              <w:rPr>
                <w:rFonts w:hint="eastAsia" w:ascii="宋体" w:hAnsi="宋体" w:eastAsia="宋体" w:cs="宋体"/>
                <w:color w:val="auto"/>
                <w:highlight w:val="none"/>
              </w:rPr>
            </w:pPr>
            <w:r>
              <w:rPr>
                <w:rFonts w:hint="eastAsia" w:ascii="宋体" w:hAnsi="宋体" w:eastAsia="宋体" w:cs="宋体"/>
                <w:color w:val="auto"/>
                <w:highlight w:val="none"/>
              </w:rPr>
              <w:t>②登录标信通APP，点击“投标保函”-“申请保函”，选择“广咨电子招投标交易平台”并选择开函机构（如首次在该开函机构申请电子保函需先完成准入），选择项目申请保函（需先在广咨电子招投标交易平台完成项目投标登记，否则无法购买电子保函），填写发票信息，选择CA盾，确认提交并完成支付，成功出函后，投标人在标信通APP点击“确定提交”，电子保函同步提交至广咨电子招投标交易平台，投标人可在标信通APP手机下载所开具的电子保函。</w:t>
            </w:r>
          </w:p>
          <w:p w14:paraId="0A61797B">
            <w:pPr>
              <w:pStyle w:val="41"/>
              <w:ind w:firstLineChars="200"/>
              <w:rPr>
                <w:rFonts w:hint="eastAsia" w:ascii="宋体" w:hAnsi="宋体" w:eastAsia="宋体" w:cs="宋体"/>
                <w:color w:val="auto"/>
                <w:highlight w:val="none"/>
              </w:rPr>
            </w:pPr>
            <w:r>
              <w:rPr>
                <w:rFonts w:hint="eastAsia" w:ascii="宋体" w:hAnsi="宋体" w:eastAsia="宋体" w:cs="宋体"/>
                <w:color w:val="auto"/>
                <w:highlight w:val="none"/>
              </w:rPr>
              <w:t>具体操作可访问广咨电子招投标交易平台：平台服务》办事指引》电子保函方式缴纳保证金。</w:t>
            </w:r>
          </w:p>
          <w:p w14:paraId="63F69C99">
            <w:pPr>
              <w:pStyle w:val="41"/>
              <w:ind w:firstLine="0"/>
              <w:rPr>
                <w:rFonts w:hint="eastAsia" w:ascii="宋体" w:hAnsi="宋体" w:eastAsia="宋体" w:cs="宋体"/>
                <w:color w:val="auto"/>
                <w:highlight w:val="none"/>
              </w:rPr>
            </w:pPr>
            <w:r>
              <w:rPr>
                <w:rFonts w:hint="eastAsia" w:ascii="宋体" w:hAnsi="宋体" w:eastAsia="宋体" w:cs="宋体"/>
                <w:color w:val="auto"/>
                <w:highlight w:val="none"/>
              </w:rPr>
              <w:t>（投标保证金缴纳指南具体见：广咨电子招投标交易平台网站（www.gzebid.cn）首页&gt;平台服务&gt;办事指南&gt;广咨电子招投标交易平台网上缴纳投标保证金说明，咨询热线电话：400-150-3001 网站客服(QQ)：3151435402。）</w:t>
            </w:r>
          </w:p>
        </w:tc>
      </w:tr>
      <w:tr w14:paraId="38DF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00" w:type="dxa"/>
            <w:noWrap w:val="0"/>
            <w:vAlign w:val="center"/>
          </w:tcPr>
          <w:p w14:paraId="7DE7D84B">
            <w:pPr>
              <w:pStyle w:val="41"/>
              <w:ind w:left="-466" w:leftChars="-222" w:right="42" w:rightChars="20" w:firstLine="464" w:firstLineChars="221"/>
              <w:jc w:val="center"/>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10</w:t>
            </w:r>
          </w:p>
        </w:tc>
        <w:tc>
          <w:tcPr>
            <w:tcW w:w="8019" w:type="dxa"/>
            <w:noWrap w:val="0"/>
            <w:vAlign w:val="top"/>
          </w:tcPr>
          <w:p w14:paraId="3F863824">
            <w:pPr>
              <w:pStyle w:val="41"/>
              <w:ind w:left="1265" w:hanging="1265"/>
              <w:rPr>
                <w:rFonts w:hint="eastAsia" w:ascii="宋体" w:hAnsi="宋体" w:eastAsia="宋体" w:cs="宋体"/>
                <w:color w:val="auto"/>
                <w:highlight w:val="none"/>
              </w:rPr>
            </w:pPr>
            <w:r>
              <w:rPr>
                <w:rFonts w:hint="eastAsia" w:ascii="宋体" w:hAnsi="宋体" w:eastAsia="宋体" w:cs="宋体"/>
                <w:color w:val="auto"/>
                <w:highlight w:val="none"/>
              </w:rPr>
              <w:t>投标截止时间：</w:t>
            </w:r>
            <w:r>
              <w:rPr>
                <w:rFonts w:hint="eastAsia" w:ascii="宋体" w:hAnsi="宋体" w:eastAsia="宋体" w:cs="宋体"/>
                <w:color w:val="auto"/>
                <w:highlight w:val="none"/>
                <w:u w:val="single"/>
              </w:rPr>
              <w:t>详见投标邀请函</w:t>
            </w:r>
          </w:p>
          <w:p w14:paraId="3285D416">
            <w:pPr>
              <w:pStyle w:val="41"/>
              <w:ind w:firstLine="0"/>
              <w:rPr>
                <w:rFonts w:hint="eastAsia" w:ascii="宋体" w:hAnsi="宋体" w:eastAsia="宋体" w:cs="宋体"/>
                <w:color w:val="auto"/>
                <w:highlight w:val="none"/>
              </w:rPr>
            </w:pPr>
            <w:r>
              <w:rPr>
                <w:rFonts w:hint="eastAsia" w:ascii="宋体" w:hAnsi="宋体" w:eastAsia="宋体" w:cs="宋体"/>
                <w:color w:val="auto"/>
                <w:highlight w:val="none"/>
              </w:rPr>
              <w:t>投标文件递交地址：</w:t>
            </w:r>
            <w:r>
              <w:rPr>
                <w:rFonts w:hint="eastAsia" w:ascii="宋体" w:hAnsi="宋体" w:eastAsia="宋体" w:cs="宋体"/>
                <w:color w:val="auto"/>
                <w:highlight w:val="none"/>
                <w:u w:val="single"/>
              </w:rPr>
              <w:t>详见投标邀请函</w:t>
            </w:r>
            <w:r>
              <w:rPr>
                <w:rFonts w:hint="eastAsia" w:ascii="宋体" w:hAnsi="宋体" w:eastAsia="宋体" w:cs="宋体"/>
                <w:color w:val="auto"/>
                <w:highlight w:val="none"/>
              </w:rPr>
              <w:t>。</w:t>
            </w:r>
          </w:p>
        </w:tc>
      </w:tr>
      <w:tr w14:paraId="4E6A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00" w:type="dxa"/>
            <w:noWrap w:val="0"/>
            <w:vAlign w:val="center"/>
          </w:tcPr>
          <w:p w14:paraId="265E2033">
            <w:pPr>
              <w:pStyle w:val="41"/>
              <w:ind w:left="-466" w:leftChars="-222" w:right="42" w:rightChars="20" w:firstLine="464" w:firstLineChars="221"/>
              <w:jc w:val="center"/>
              <w:rPr>
                <w:rFonts w:hint="default" w:ascii="宋体" w:hAnsi="宋体" w:eastAsia="宋体" w:cs="宋体"/>
                <w:color w:val="auto"/>
                <w:highlight w:val="none"/>
                <w:lang w:val="en-US" w:eastAsia="zh-CN"/>
              </w:rPr>
            </w:pPr>
            <w:r>
              <w:rPr>
                <w:rFonts w:hint="eastAsia" w:hAnsi="宋体" w:eastAsia="宋体" w:cs="宋体"/>
                <w:color w:val="auto"/>
                <w:highlight w:val="none"/>
                <w:lang w:val="en-US" w:eastAsia="zh-CN"/>
              </w:rPr>
              <w:t>11</w:t>
            </w:r>
          </w:p>
        </w:tc>
        <w:tc>
          <w:tcPr>
            <w:tcW w:w="8019" w:type="dxa"/>
            <w:noWrap w:val="0"/>
            <w:vAlign w:val="top"/>
          </w:tcPr>
          <w:p w14:paraId="7AA2AC18">
            <w:pPr>
              <w:pStyle w:val="41"/>
              <w:ind w:left="1265" w:hanging="1265"/>
              <w:rPr>
                <w:rFonts w:hint="eastAsia" w:ascii="宋体" w:hAnsi="宋体" w:eastAsia="宋体" w:cs="宋体"/>
                <w:color w:val="auto"/>
                <w:highlight w:val="none"/>
              </w:rPr>
            </w:pPr>
            <w:r>
              <w:rPr>
                <w:rFonts w:hint="eastAsia" w:ascii="宋体" w:hAnsi="宋体" w:eastAsia="宋体" w:cs="宋体"/>
                <w:color w:val="auto"/>
                <w:highlight w:val="none"/>
              </w:rPr>
              <w:t>开标时间：</w:t>
            </w:r>
            <w:r>
              <w:rPr>
                <w:rFonts w:hint="eastAsia" w:ascii="宋体" w:hAnsi="宋体" w:eastAsia="宋体" w:cs="宋体"/>
                <w:color w:val="auto"/>
                <w:highlight w:val="none"/>
                <w:u w:val="single"/>
              </w:rPr>
              <w:t>详见投标邀请函</w:t>
            </w:r>
          </w:p>
          <w:p w14:paraId="002EF418">
            <w:pPr>
              <w:pStyle w:val="41"/>
              <w:ind w:left="1265" w:hanging="1265"/>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详见投标邀请函</w:t>
            </w:r>
            <w:r>
              <w:rPr>
                <w:rFonts w:hint="eastAsia" w:ascii="宋体" w:hAnsi="宋体" w:eastAsia="宋体" w:cs="宋体"/>
                <w:color w:val="auto"/>
                <w:szCs w:val="21"/>
                <w:highlight w:val="none"/>
              </w:rPr>
              <w:t>。</w:t>
            </w:r>
          </w:p>
        </w:tc>
      </w:tr>
      <w:tr w14:paraId="0F3C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0" w:type="dxa"/>
            <w:noWrap w:val="0"/>
            <w:vAlign w:val="center"/>
          </w:tcPr>
          <w:p w14:paraId="438DE1D2">
            <w:pPr>
              <w:pStyle w:val="41"/>
              <w:ind w:left="-466" w:leftChars="-222" w:right="42" w:rightChars="20" w:firstLine="464" w:firstLineChars="221"/>
              <w:jc w:val="cente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8019" w:type="dxa"/>
            <w:noWrap w:val="0"/>
            <w:vAlign w:val="top"/>
          </w:tcPr>
          <w:p w14:paraId="71D4DE5A">
            <w:pPr>
              <w:pStyle w:val="20"/>
              <w:rPr>
                <w:rFonts w:hint="eastAsia" w:ascii="宋体" w:hAnsi="宋体" w:eastAsia="宋体" w:cs="宋体"/>
                <w:color w:val="auto"/>
                <w:highlight w:val="none"/>
                <w:lang w:eastAsia="zh-CN"/>
              </w:rPr>
            </w:pPr>
            <w:r>
              <w:rPr>
                <w:rFonts w:hint="eastAsia" w:ascii="宋体" w:hAnsi="宋体" w:eastAsia="宋体" w:cs="宋体"/>
                <w:color w:val="auto"/>
                <w:highlight w:val="none"/>
              </w:rPr>
              <w:t>招 标 人：</w:t>
            </w:r>
            <w:r>
              <w:rPr>
                <w:rFonts w:hint="eastAsia" w:ascii="宋体" w:hAnsi="宋体" w:eastAsia="宋体" w:cs="宋体"/>
                <w:color w:val="auto"/>
                <w:highlight w:val="none"/>
                <w:lang w:eastAsia="zh-CN"/>
              </w:rPr>
              <w:t>广东南方报业传媒集团物业管理有限公司</w:t>
            </w:r>
          </w:p>
          <w:p w14:paraId="3AF936EC">
            <w:pPr>
              <w:pStyle w:val="2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    址：</w:t>
            </w:r>
            <w:r>
              <w:rPr>
                <w:rFonts w:hint="eastAsia" w:ascii="宋体" w:hAnsi="宋体" w:eastAsia="宋体" w:cs="宋体"/>
                <w:color w:val="auto"/>
                <w:highlight w:val="none"/>
                <w:lang w:val="en-US" w:eastAsia="zh-CN"/>
              </w:rPr>
              <w:t>广东省广州市越秀区广州大道中289号</w:t>
            </w:r>
          </w:p>
          <w:p w14:paraId="7C7CF39A">
            <w:pPr>
              <w:pStyle w:val="2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 系 人：</w:t>
            </w:r>
            <w:r>
              <w:rPr>
                <w:rFonts w:hint="eastAsia" w:ascii="宋体" w:hAnsi="宋体" w:cs="宋体"/>
                <w:color w:val="auto"/>
                <w:highlight w:val="none"/>
                <w:lang w:val="en-US" w:eastAsia="zh-CN"/>
              </w:rPr>
              <w:t>邓先生</w:t>
            </w:r>
          </w:p>
          <w:p w14:paraId="2BDE348A">
            <w:pPr>
              <w:pStyle w:val="20"/>
              <w:rPr>
                <w:rFonts w:hint="default" w:ascii="宋体" w:hAnsi="宋体" w:eastAsia="宋体" w:cs="宋体"/>
                <w:color w:val="auto"/>
                <w:highlight w:val="none"/>
                <w:lang w:val="en-US"/>
              </w:rPr>
            </w:pPr>
            <w:r>
              <w:rPr>
                <w:rFonts w:hint="eastAsia" w:ascii="宋体" w:hAnsi="宋体" w:eastAsia="宋体" w:cs="宋体"/>
                <w:color w:val="auto"/>
                <w:highlight w:val="none"/>
                <w:lang w:val="en-US" w:eastAsia="zh-CN"/>
              </w:rPr>
              <w:t>电  话：020-</w:t>
            </w:r>
            <w:r>
              <w:rPr>
                <w:rFonts w:hint="eastAsia" w:ascii="宋体" w:hAnsi="宋体" w:cs="宋体"/>
                <w:color w:val="auto"/>
                <w:highlight w:val="none"/>
                <w:lang w:val="en-US" w:eastAsia="zh-CN"/>
              </w:rPr>
              <w:t>83003053</w:t>
            </w:r>
          </w:p>
        </w:tc>
      </w:tr>
      <w:tr w14:paraId="042C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800" w:type="dxa"/>
            <w:noWrap w:val="0"/>
            <w:vAlign w:val="center"/>
          </w:tcPr>
          <w:p w14:paraId="44E16CAD">
            <w:pPr>
              <w:pStyle w:val="41"/>
              <w:ind w:left="-466" w:leftChars="-222" w:right="42" w:rightChars="20" w:firstLine="464" w:firstLineChars="221"/>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8019" w:type="dxa"/>
            <w:noWrap w:val="0"/>
            <w:vAlign w:val="top"/>
          </w:tcPr>
          <w:p w14:paraId="15C90A9E">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招标代理机构名称：广东省机电设备招标有限公司</w:t>
            </w:r>
          </w:p>
          <w:p w14:paraId="120C784F">
            <w:pPr>
              <w:spacing w:line="360" w:lineRule="auto"/>
              <w:ind w:left="-359" w:leftChars="-171" w:firstLine="359" w:firstLineChars="17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刘先生、胡小姐、王小姐</w:t>
            </w:r>
          </w:p>
          <w:p w14:paraId="3B873A73">
            <w:pPr>
              <w:spacing w:line="360" w:lineRule="auto"/>
              <w:ind w:left="-359" w:leftChars="-171" w:firstLine="359" w:firstLineChars="17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lang w:eastAsia="zh-CN"/>
              </w:rPr>
              <w:t>020-8354</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332、83541795</w:t>
            </w:r>
          </w:p>
          <w:p w14:paraId="4775A961">
            <w:pPr>
              <w:spacing w:line="360" w:lineRule="auto"/>
              <w:ind w:left="-359" w:leftChars="-171"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真：020-83565537</w:t>
            </w:r>
          </w:p>
          <w:p w14:paraId="34D1C667">
            <w:pPr>
              <w:spacing w:line="360" w:lineRule="auto"/>
              <w:ind w:left="-359" w:leftChars="-171" w:firstLine="359" w:firstLineChars="171"/>
              <w:rPr>
                <w:rFonts w:hint="eastAsia" w:ascii="宋体" w:hAnsi="宋体" w:eastAsia="宋体" w:cs="宋体"/>
                <w:color w:val="auto"/>
                <w:highlight w:val="none"/>
              </w:rPr>
            </w:pPr>
            <w:r>
              <w:rPr>
                <w:rFonts w:hint="eastAsia" w:ascii="宋体" w:hAnsi="宋体" w:eastAsia="宋体" w:cs="宋体"/>
                <w:color w:val="auto"/>
                <w:szCs w:val="21"/>
                <w:highlight w:val="none"/>
              </w:rPr>
              <w:t>电子邮件：</w:t>
            </w:r>
            <w:r>
              <w:rPr>
                <w:rFonts w:hint="eastAsia" w:ascii="宋体" w:hAnsi="宋体" w:eastAsia="宋体" w:cs="宋体"/>
                <w:color w:val="auto"/>
                <w:szCs w:val="21"/>
                <w:highlight w:val="none"/>
                <w:lang w:val="en-US" w:eastAsia="zh-CN"/>
              </w:rPr>
              <w:t>gdjdsbzbcg@163.com</w:t>
            </w:r>
          </w:p>
        </w:tc>
      </w:tr>
    </w:tbl>
    <w:p w14:paraId="40EB5176">
      <w:pPr>
        <w:rPr>
          <w:rFonts w:hint="eastAsia" w:ascii="宋体" w:hAnsi="宋体" w:eastAsia="宋体" w:cs="宋体"/>
          <w:color w:val="auto"/>
          <w:sz w:val="24"/>
          <w:szCs w:val="24"/>
          <w:highlight w:val="none"/>
        </w:rPr>
      </w:pPr>
    </w:p>
    <w:p w14:paraId="3BB0EB8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47"/>
    <w:bookmarkEnd w:id="48"/>
    <w:bookmarkEnd w:id="49"/>
    <w:bookmarkEnd w:id="50"/>
    <w:p w14:paraId="587C7842">
      <w:pPr>
        <w:pStyle w:val="3"/>
        <w:numPr>
          <w:ilvl w:val="0"/>
          <w:numId w:val="0"/>
        </w:numPr>
        <w:ind w:left="422"/>
        <w:jc w:val="center"/>
        <w:rPr>
          <w:rFonts w:hint="eastAsia" w:ascii="宋体" w:hAnsi="宋体" w:eastAsia="宋体" w:cs="宋体"/>
          <w:b w:val="0"/>
          <w:bCs/>
          <w:color w:val="auto"/>
          <w:highlight w:val="none"/>
        </w:rPr>
      </w:pPr>
      <w:bookmarkStart w:id="51" w:name="_Toc513818901"/>
      <w:r>
        <w:rPr>
          <w:rFonts w:hint="eastAsia" w:ascii="宋体" w:hAnsi="宋体" w:eastAsia="宋体" w:cs="宋体"/>
          <w:color w:val="auto"/>
          <w:highlight w:val="none"/>
        </w:rPr>
        <w:t>一、总则</w:t>
      </w:r>
      <w:bookmarkEnd w:id="51"/>
    </w:p>
    <w:p w14:paraId="4684C70E">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1、项目说明</w:t>
      </w:r>
    </w:p>
    <w:p w14:paraId="13AA41B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1.1项目说明</w:t>
      </w:r>
    </w:p>
    <w:p w14:paraId="6F0FDC5B">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广东省机电设备招标有限公司（以下简称“招标代理机构”）受</w:t>
      </w:r>
      <w:r>
        <w:rPr>
          <w:rFonts w:hint="eastAsia" w:ascii="宋体" w:hAnsi="宋体" w:eastAsia="宋体" w:cs="宋体"/>
          <w:bCs/>
          <w:color w:val="auto"/>
          <w:highlight w:val="none"/>
          <w:lang w:eastAsia="zh-CN"/>
        </w:rPr>
        <w:t>广东南方报业传媒集团物业管理有限公司</w:t>
      </w:r>
      <w:r>
        <w:rPr>
          <w:rFonts w:hint="eastAsia" w:ascii="宋体" w:hAnsi="宋体" w:eastAsia="宋体" w:cs="宋体"/>
          <w:bCs/>
          <w:color w:val="auto"/>
          <w:highlight w:val="none"/>
        </w:rPr>
        <w:t>委托（以下简称“招标人”），就“</w:t>
      </w:r>
      <w:r>
        <w:rPr>
          <w:rFonts w:hint="eastAsia" w:ascii="宋体" w:hAnsi="宋体" w:eastAsia="宋体" w:cs="宋体"/>
          <w:b/>
          <w:bCs/>
          <w:color w:val="auto"/>
          <w:highlight w:val="none"/>
          <w:lang w:eastAsia="zh-CN"/>
        </w:rPr>
        <w:t>更换7至11号电梯项目</w:t>
      </w:r>
      <w:r>
        <w:rPr>
          <w:rFonts w:hint="eastAsia" w:ascii="宋体" w:hAnsi="宋体" w:eastAsia="宋体" w:cs="宋体"/>
          <w:color w:val="auto"/>
          <w:highlight w:val="none"/>
        </w:rPr>
        <w:t>”</w:t>
      </w:r>
      <w:r>
        <w:rPr>
          <w:rFonts w:hint="eastAsia" w:ascii="宋体" w:hAnsi="宋体" w:eastAsia="宋体" w:cs="宋体"/>
          <w:bCs/>
          <w:color w:val="auto"/>
          <w:highlight w:val="none"/>
        </w:rPr>
        <w:t>进行国内公开招标。</w:t>
      </w:r>
    </w:p>
    <w:p w14:paraId="60831E52">
      <w:pPr>
        <w:spacing w:line="360" w:lineRule="auto"/>
        <w:rPr>
          <w:rFonts w:hint="eastAsia" w:ascii="宋体" w:hAnsi="宋体" w:eastAsia="宋体" w:cs="宋体"/>
          <w:color w:val="auto"/>
          <w:highlight w:val="none"/>
        </w:rPr>
      </w:pPr>
      <w:bookmarkStart w:id="52" w:name="_Toc409173217"/>
      <w:bookmarkStart w:id="53" w:name="_Toc409173103"/>
      <w:r>
        <w:rPr>
          <w:rFonts w:hint="eastAsia" w:ascii="宋体" w:hAnsi="宋体" w:eastAsia="宋体" w:cs="宋体"/>
          <w:color w:val="auto"/>
          <w:highlight w:val="none"/>
        </w:rPr>
        <w:t>1.2资金来源</w:t>
      </w:r>
      <w:bookmarkEnd w:id="52"/>
      <w:bookmarkEnd w:id="53"/>
    </w:p>
    <w:p w14:paraId="498C564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自筹资金</w:t>
      </w:r>
    </w:p>
    <w:p w14:paraId="71499A7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1.3招标方式</w:t>
      </w:r>
    </w:p>
    <w:p w14:paraId="53436B7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公开招标方式</w:t>
      </w:r>
    </w:p>
    <w:p w14:paraId="449AA89C">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1.4招标项目</w:t>
      </w:r>
    </w:p>
    <w:p w14:paraId="461E7C8A">
      <w:pPr>
        <w:spacing w:line="360" w:lineRule="auto"/>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u w:val="single"/>
          <w:lang w:eastAsia="zh-CN"/>
        </w:rPr>
        <w:t>更换7至11号电梯项目</w:t>
      </w:r>
      <w:r>
        <w:rPr>
          <w:rFonts w:hint="eastAsia" w:ascii="宋体" w:hAnsi="宋体" w:eastAsia="宋体" w:cs="宋体"/>
          <w:b/>
          <w:color w:val="auto"/>
          <w:highlight w:val="none"/>
          <w:u w:val="single"/>
        </w:rPr>
        <w:t>（下称“本项目”）</w:t>
      </w:r>
    </w:p>
    <w:p w14:paraId="4173E5B6">
      <w:pPr>
        <w:tabs>
          <w:tab w:val="left" w:pos="720"/>
        </w:tabs>
        <w:spacing w:line="360" w:lineRule="auto"/>
        <w:ind w:firstLine="210" w:firstLineChars="100"/>
        <w:rPr>
          <w:rFonts w:hint="eastAsia" w:ascii="宋体" w:hAnsi="宋体" w:eastAsia="宋体" w:cs="宋体"/>
          <w:b/>
          <w:color w:val="auto"/>
          <w:sz w:val="24"/>
          <w:highlight w:val="none"/>
        </w:rPr>
      </w:pPr>
      <w:r>
        <w:rPr>
          <w:rFonts w:hint="eastAsia" w:ascii="宋体" w:hAnsi="宋体" w:eastAsia="宋体" w:cs="宋体"/>
          <w:color w:val="auto"/>
          <w:highlight w:val="none"/>
        </w:rPr>
        <w:t>（详细内容请参阅招标文件中“用户需求书”的相关内容）</w:t>
      </w:r>
    </w:p>
    <w:p w14:paraId="57F3924E">
      <w:pPr>
        <w:tabs>
          <w:tab w:val="left" w:pos="720"/>
        </w:tabs>
        <w:spacing w:line="360" w:lineRule="auto"/>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2、</w:t>
      </w:r>
      <w:r>
        <w:rPr>
          <w:rFonts w:hint="eastAsia" w:ascii="宋体" w:hAnsi="宋体" w:eastAsia="宋体" w:cs="宋体"/>
          <w:b/>
          <w:bCs/>
          <w:color w:val="auto"/>
          <w:highlight w:val="none"/>
        </w:rPr>
        <w:t>定义及解释</w:t>
      </w:r>
    </w:p>
    <w:p w14:paraId="740F989C">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2.1公开招标方式：招标人参照《中华人民共和国招标投标法》及相关法律法规，在指定的网站发布相关采购信息，邀请不特定法人单位购买招标文件，法人单位并按照招标文件的约定，编制投标文件，参与投标，随后，招标人组织评标委员会，按照招标文件的要求投标文件进行评审，并最终推荐中标单位的过程。</w:t>
      </w:r>
    </w:p>
    <w:p w14:paraId="22B197A4">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2.2设备：指所有由投标人为满足招标文件要求而提供的货物、仪表、工具、备件、图纸、软件以及必须向业主提供的其他相关文件；购置与安装：对投标的所有货物按照招标文件要求进行供货、安装和调试（安装过程中涉及的所有辅助设施均由中标单位自行提供，使用过程中符合用户单位使用要求。服务：指招标文件规定</w:t>
      </w:r>
      <w:r>
        <w:rPr>
          <w:rFonts w:hint="eastAsia" w:ascii="宋体" w:hAnsi="宋体" w:eastAsia="宋体" w:cs="宋体"/>
          <w:bCs/>
          <w:color w:val="auto"/>
          <w:highlight w:val="none"/>
        </w:rPr>
        <w:t>投标人须承担的设计、货物运输、安装、调试、技术协助、校准、质保期内的保修、培训以及其它伴随服务。</w:t>
      </w:r>
    </w:p>
    <w:p w14:paraId="5D976314">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2.3业主/招标人/甲方/使用单位/采购人/用户：均指</w:t>
      </w:r>
      <w:r>
        <w:rPr>
          <w:rFonts w:hint="eastAsia" w:ascii="宋体" w:hAnsi="宋体" w:eastAsia="宋体" w:cs="宋体"/>
          <w:color w:val="auto"/>
          <w:highlight w:val="none"/>
          <w:lang w:eastAsia="zh-CN"/>
        </w:rPr>
        <w:t>广东南方报业传媒集团物业管理有限公司</w:t>
      </w:r>
      <w:r>
        <w:rPr>
          <w:rFonts w:hint="eastAsia" w:ascii="宋体" w:hAnsi="宋体" w:eastAsia="宋体" w:cs="宋体"/>
          <w:color w:val="auto"/>
          <w:highlight w:val="none"/>
        </w:rPr>
        <w:t>；招标代理机构：</w:t>
      </w:r>
      <w:r>
        <w:rPr>
          <w:rFonts w:hint="eastAsia" w:ascii="宋体" w:hAnsi="宋体" w:eastAsia="宋体" w:cs="宋体"/>
          <w:color w:val="auto"/>
          <w:szCs w:val="21"/>
          <w:highlight w:val="none"/>
        </w:rPr>
        <w:t>广东省机电设备招标有限公司。</w:t>
      </w:r>
    </w:p>
    <w:p w14:paraId="0E680579">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2.4 投标人/投标供应商：指</w:t>
      </w:r>
      <w:r>
        <w:rPr>
          <w:rFonts w:hint="eastAsia" w:ascii="宋体" w:hAnsi="宋体" w:eastAsia="宋体" w:cs="宋体"/>
          <w:color w:val="auto"/>
          <w:spacing w:val="8"/>
          <w:szCs w:val="21"/>
          <w:highlight w:val="none"/>
        </w:rPr>
        <w:t>响应招标、参加投标竞争的法人或者其他组织</w:t>
      </w:r>
      <w:r>
        <w:rPr>
          <w:rFonts w:hint="eastAsia" w:ascii="宋体" w:hAnsi="宋体" w:eastAsia="宋体" w:cs="宋体"/>
          <w:color w:val="auto"/>
          <w:highlight w:val="none"/>
        </w:rPr>
        <w:t>。</w:t>
      </w:r>
    </w:p>
    <w:p w14:paraId="6B5BCBDF">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2.5评标委员会：评标委员会是依法组织的专门负责本次招标及评标工作的临时性机构。</w:t>
      </w:r>
    </w:p>
    <w:p w14:paraId="050AC1EB">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2.6日期：是指公历日。</w:t>
      </w:r>
    </w:p>
    <w:p w14:paraId="5DCC8611">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2.7合同：指本次招标所产生的合同或合约文件。</w:t>
      </w:r>
    </w:p>
    <w:p w14:paraId="127E342E">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2.8招标文件中的标题或标名仅起引导作用，而不应视为对招标文件内容的理解和解释。</w:t>
      </w:r>
    </w:p>
    <w:p w14:paraId="44682F33">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2.9“业主”、“投标人”、“成员”和“各方”等人或有关组织的用词均是指依法成立的公司、组织或行政事业单位下属机构。根据上下文的需要，这些用词的单复数具有相同的定义。</w:t>
      </w:r>
    </w:p>
    <w:p w14:paraId="1B3C3F9B">
      <w:pPr>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2.10招标文件中所规定的“书面形式”，是指任何手写的、打印的或印刷的通讯，包括电报和传真发送。</w:t>
      </w:r>
    </w:p>
    <w:p w14:paraId="2F82EF17">
      <w:pPr>
        <w:spacing w:line="360" w:lineRule="auto"/>
        <w:ind w:left="422" w:hanging="422" w:hangingChars="200"/>
        <w:rPr>
          <w:rFonts w:hint="eastAsia" w:ascii="宋体" w:hAnsi="宋体" w:eastAsia="宋体" w:cs="宋体"/>
          <w:b/>
          <w:color w:val="auto"/>
          <w:highlight w:val="none"/>
        </w:rPr>
      </w:pPr>
      <w:r>
        <w:rPr>
          <w:rFonts w:hint="eastAsia" w:ascii="宋体" w:hAnsi="宋体" w:eastAsia="宋体" w:cs="宋体"/>
          <w:b/>
          <w:color w:val="auto"/>
          <w:highlight w:val="none"/>
        </w:rPr>
        <w:t>3、合格的投标人</w:t>
      </w:r>
    </w:p>
    <w:p w14:paraId="5D437528">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3.1与本项目招标公告（或投标人须知前附表）中投标供应商资格要求一致。</w:t>
      </w:r>
    </w:p>
    <w:p w14:paraId="46E978E0">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4、纪律与保密事项</w:t>
      </w:r>
    </w:p>
    <w:p w14:paraId="19237A33">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4.1凡参与招标工作的有关人员均应自觉接受有关主管部门的监督，不得向他人透露已获得招标文件的潜在投标人的名称、数量以及可能影响公平竞争的有关招投标的其他情况。</w:t>
      </w:r>
    </w:p>
    <w:p w14:paraId="52C6BF9D">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4.2开标后，直至向乙方发出《中标通知书》时止，凡与审查、澄清、评价和比较投标的有关资料以及授标意见等，参与招标工作的有关人员均不得向投标人及与评标无关的其他人透露。</w:t>
      </w:r>
    </w:p>
    <w:p w14:paraId="625D5455">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4.3除投标人被要求对投标文件进行澄清外，从开标之日起至授予合同期间，投标人不得就与其投标文件有关的事项主动与评标委员会及业主联系。</w:t>
      </w:r>
    </w:p>
    <w:p w14:paraId="2947200B">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4.4从开标之日起至授予合同期间，投标人试图在投标文件审查、澄清、比较和评价时对评标委员会施加任何影响或对业主的比较及授予合同的决定进行影响，都可能导致其投标文件被拒绝。</w:t>
      </w:r>
    </w:p>
    <w:p w14:paraId="359B516B">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4.5投标人不得串通作弊，以不正当的手段妨碍、排挤其他人，扰乱招标市场，破坏公平竞争原则。</w:t>
      </w:r>
    </w:p>
    <w:p w14:paraId="7FCAF3DB">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4.6获得本招标文件者，应对文件进行保密，不得用作本次投标以外的任何用途。若有要求，开标后，投标人应归还招标文件中的保密文件和资料。</w:t>
      </w:r>
    </w:p>
    <w:p w14:paraId="6561E7FA">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4.7由业主向投标人提供的图纸、详细资料、样品、模型、模件和所有其他资料，被视为保密资料，仅被用于它所规定的用途，除非得到业主或招标人的同意，不能向任何第三方透露。开标完成后，应业主要求，投标人应归还所有从业主处获得的保密资料。</w:t>
      </w:r>
    </w:p>
    <w:p w14:paraId="0E4A4F4E">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5、投标人须知</w:t>
      </w:r>
    </w:p>
    <w:p w14:paraId="13DEFA48">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5.1凡参加本次投标的投标人视为已充分认识和理解了任何与本项目有关的事项及各种困难情况。</w:t>
      </w:r>
    </w:p>
    <w:p w14:paraId="001E34EB">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5.2 投标人应保证所提供给业主的资料和数据是真实的。</w:t>
      </w:r>
    </w:p>
    <w:p w14:paraId="2321BD68">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6、投标费用</w:t>
      </w:r>
    </w:p>
    <w:p w14:paraId="190608B2">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6.1投标人应承担获取招标文件及所有与编写和提交投标文件有关的费用，不论投标的结果如何，业主在任何情况下均无义务和责任承担这些费用。</w:t>
      </w:r>
    </w:p>
    <w:p w14:paraId="3CE64DE0">
      <w:pPr>
        <w:pStyle w:val="3"/>
        <w:numPr>
          <w:ilvl w:val="0"/>
          <w:numId w:val="0"/>
        </w:numPr>
        <w:ind w:left="422"/>
        <w:jc w:val="center"/>
        <w:rPr>
          <w:rFonts w:hint="eastAsia" w:ascii="宋体" w:hAnsi="宋体" w:eastAsia="宋体" w:cs="宋体"/>
          <w:b w:val="0"/>
          <w:bCs/>
          <w:color w:val="auto"/>
          <w:highlight w:val="none"/>
        </w:rPr>
      </w:pPr>
      <w:bookmarkStart w:id="54" w:name="_Toc513818902"/>
      <w:bookmarkStart w:id="55" w:name="_Toc409173218"/>
      <w:bookmarkStart w:id="56" w:name="_Toc409173104"/>
      <w:r>
        <w:rPr>
          <w:rFonts w:hint="eastAsia" w:ascii="宋体" w:hAnsi="宋体" w:eastAsia="宋体" w:cs="宋体"/>
          <w:color w:val="auto"/>
          <w:highlight w:val="none"/>
        </w:rPr>
        <w:t>二、招标文件</w:t>
      </w:r>
      <w:bookmarkEnd w:id="54"/>
      <w:bookmarkEnd w:id="55"/>
      <w:bookmarkEnd w:id="56"/>
    </w:p>
    <w:p w14:paraId="009816BB">
      <w:pPr>
        <w:spacing w:line="360" w:lineRule="auto"/>
        <w:ind w:left="542" w:hanging="542" w:hangingChars="257"/>
        <w:rPr>
          <w:rFonts w:hint="eastAsia" w:ascii="宋体" w:hAnsi="宋体" w:eastAsia="宋体" w:cs="宋体"/>
          <w:b/>
          <w:bCs/>
          <w:color w:val="auto"/>
          <w:highlight w:val="none"/>
        </w:rPr>
      </w:pPr>
      <w:r>
        <w:rPr>
          <w:rFonts w:hint="eastAsia" w:ascii="宋体" w:hAnsi="宋体" w:eastAsia="宋体" w:cs="宋体"/>
          <w:b/>
          <w:bCs/>
          <w:color w:val="auto"/>
          <w:highlight w:val="none"/>
        </w:rPr>
        <w:t>7、招标文件的构成</w:t>
      </w:r>
    </w:p>
    <w:p w14:paraId="5826CC31">
      <w:pPr>
        <w:spacing w:line="360" w:lineRule="auto"/>
        <w:ind w:left="540" w:hanging="539" w:hangingChars="257"/>
        <w:rPr>
          <w:rFonts w:hint="eastAsia" w:ascii="宋体" w:hAnsi="宋体" w:eastAsia="宋体" w:cs="宋体"/>
          <w:color w:val="auto"/>
          <w:highlight w:val="none"/>
        </w:rPr>
      </w:pPr>
      <w:r>
        <w:rPr>
          <w:rFonts w:hint="eastAsia" w:ascii="宋体" w:hAnsi="宋体" w:eastAsia="宋体" w:cs="宋体"/>
          <w:color w:val="auto"/>
          <w:highlight w:val="none"/>
        </w:rPr>
        <w:t>7.1本次招标的有关内容和要求在招标文件中均有说明。招标文件包括：</w:t>
      </w:r>
    </w:p>
    <w:p w14:paraId="5AA8BB32">
      <w:pPr>
        <w:spacing w:line="360" w:lineRule="auto"/>
        <w:ind w:left="359" w:hanging="359" w:hangingChars="171"/>
        <w:rPr>
          <w:rFonts w:hint="eastAsia" w:ascii="宋体" w:hAnsi="宋体" w:eastAsia="宋体" w:cs="宋体"/>
          <w:color w:val="auto"/>
          <w:szCs w:val="22"/>
          <w:highlight w:val="none"/>
        </w:rPr>
      </w:pPr>
      <w:r>
        <w:rPr>
          <w:rFonts w:hint="eastAsia" w:ascii="宋体" w:hAnsi="宋体" w:eastAsia="宋体" w:cs="宋体"/>
          <w:color w:val="auto"/>
          <w:szCs w:val="22"/>
          <w:highlight w:val="none"/>
        </w:rPr>
        <w:t>第一章  投标邀请函</w:t>
      </w:r>
    </w:p>
    <w:p w14:paraId="61B8B3AC">
      <w:pPr>
        <w:spacing w:line="360" w:lineRule="auto"/>
        <w:ind w:left="359" w:hanging="359" w:hangingChars="171"/>
        <w:rPr>
          <w:rFonts w:hint="eastAsia" w:ascii="宋体" w:hAnsi="宋体" w:eastAsia="宋体" w:cs="宋体"/>
          <w:color w:val="auto"/>
          <w:szCs w:val="22"/>
          <w:highlight w:val="none"/>
        </w:rPr>
      </w:pPr>
      <w:r>
        <w:rPr>
          <w:rFonts w:hint="eastAsia" w:ascii="宋体" w:hAnsi="宋体" w:eastAsia="宋体" w:cs="宋体"/>
          <w:color w:val="auto"/>
          <w:szCs w:val="22"/>
          <w:highlight w:val="none"/>
        </w:rPr>
        <w:t>第二章  投标人须知</w:t>
      </w:r>
    </w:p>
    <w:p w14:paraId="37E03B06">
      <w:pPr>
        <w:spacing w:line="360" w:lineRule="auto"/>
        <w:ind w:left="359" w:hanging="359" w:hangingChars="171"/>
        <w:rPr>
          <w:rFonts w:hint="eastAsia" w:ascii="宋体" w:hAnsi="宋体" w:eastAsia="宋体" w:cs="宋体"/>
          <w:color w:val="auto"/>
          <w:szCs w:val="22"/>
          <w:highlight w:val="none"/>
        </w:rPr>
      </w:pPr>
      <w:r>
        <w:rPr>
          <w:rFonts w:hint="eastAsia" w:ascii="宋体" w:hAnsi="宋体" w:eastAsia="宋体" w:cs="宋体"/>
          <w:color w:val="auto"/>
          <w:szCs w:val="22"/>
          <w:highlight w:val="none"/>
        </w:rPr>
        <w:t>第三章  用户需求书</w:t>
      </w:r>
    </w:p>
    <w:p w14:paraId="7E38286F">
      <w:pPr>
        <w:spacing w:line="360" w:lineRule="auto"/>
        <w:ind w:left="359" w:hanging="359" w:hangingChars="171"/>
        <w:rPr>
          <w:rFonts w:hint="eastAsia" w:ascii="宋体" w:hAnsi="宋体" w:eastAsia="宋体" w:cs="宋体"/>
          <w:color w:val="auto"/>
          <w:szCs w:val="22"/>
          <w:highlight w:val="none"/>
        </w:rPr>
      </w:pPr>
      <w:r>
        <w:rPr>
          <w:rFonts w:hint="eastAsia" w:ascii="宋体" w:hAnsi="宋体" w:eastAsia="宋体" w:cs="宋体"/>
          <w:color w:val="auto"/>
          <w:szCs w:val="22"/>
          <w:highlight w:val="none"/>
        </w:rPr>
        <w:t>第四章  合同格式</w:t>
      </w:r>
    </w:p>
    <w:p w14:paraId="09B99C65">
      <w:pPr>
        <w:spacing w:line="360" w:lineRule="auto"/>
        <w:ind w:left="359" w:hanging="359" w:hangingChars="171"/>
        <w:rPr>
          <w:rFonts w:hint="eastAsia" w:ascii="宋体" w:hAnsi="宋体" w:eastAsia="宋体" w:cs="宋体"/>
          <w:color w:val="auto"/>
          <w:szCs w:val="22"/>
          <w:highlight w:val="none"/>
        </w:rPr>
      </w:pPr>
      <w:r>
        <w:rPr>
          <w:rFonts w:hint="eastAsia" w:ascii="宋体" w:hAnsi="宋体" w:eastAsia="宋体" w:cs="宋体"/>
          <w:color w:val="auto"/>
          <w:szCs w:val="22"/>
          <w:highlight w:val="none"/>
        </w:rPr>
        <w:t>第五章  投标文件格式</w:t>
      </w:r>
    </w:p>
    <w:p w14:paraId="04DC06A0">
      <w:pPr>
        <w:spacing w:line="360" w:lineRule="auto"/>
        <w:ind w:left="359" w:hanging="359" w:hangingChars="171"/>
        <w:rPr>
          <w:rFonts w:hint="eastAsia" w:ascii="宋体" w:hAnsi="宋体" w:eastAsia="宋体" w:cs="宋体"/>
          <w:color w:val="auto"/>
          <w:szCs w:val="22"/>
          <w:highlight w:val="none"/>
        </w:rPr>
      </w:pPr>
      <w:r>
        <w:rPr>
          <w:rFonts w:hint="eastAsia" w:ascii="宋体" w:hAnsi="宋体" w:eastAsia="宋体" w:cs="宋体"/>
          <w:color w:val="auto"/>
          <w:szCs w:val="22"/>
          <w:highlight w:val="none"/>
        </w:rPr>
        <w:t>第六章  评标办法</w:t>
      </w:r>
    </w:p>
    <w:p w14:paraId="172EFD4C">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7.2投标人应认真阅读招标文件中所有的事项、格式、条款和规范等要求。投标人没有按照招标文件要求提交全部资料，或者投标文件没有对招标文件各方面都有做出实质性响应是投标人的风险，因为没有实质性响应招标文件要求的投标将被拒绝。</w:t>
      </w:r>
    </w:p>
    <w:p w14:paraId="1650B8B4">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8、招标文件的澄清</w:t>
      </w:r>
    </w:p>
    <w:p w14:paraId="03A3F1D1">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8.1任何要求对招标文件进行澄清的投标人，均应以书面形式通知招标代理机构。招标代理机构对其在投标人须知规定的投标截止时间</w:t>
      </w:r>
      <w:r>
        <w:rPr>
          <w:rFonts w:hint="eastAsia" w:ascii="宋体" w:hAnsi="宋体" w:eastAsia="宋体" w:cs="宋体"/>
          <w:b/>
          <w:color w:val="auto"/>
          <w:highlight w:val="none"/>
          <w:u w:val="single"/>
        </w:rPr>
        <w:t>15日以前</w:t>
      </w:r>
      <w:r>
        <w:rPr>
          <w:rFonts w:hint="eastAsia" w:ascii="宋体" w:hAnsi="宋体" w:eastAsia="宋体" w:cs="宋体"/>
          <w:color w:val="auto"/>
          <w:highlight w:val="none"/>
        </w:rPr>
        <w:t>收到的对招标文件的澄清要求将以书面形式予以答复，同时将书面答复传真给每个购买招标文件的投标人（答复中包括所有问题，但不包括问题的来源）。</w:t>
      </w:r>
    </w:p>
    <w:p w14:paraId="2A18A735">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8.2对于投标供应商澄清要求的回复，招标代理机构均将以书面形式或</w:t>
      </w:r>
      <w:r>
        <w:rPr>
          <w:rFonts w:hint="eastAsia" w:ascii="宋体" w:hAnsi="宋体" w:eastAsia="宋体" w:cs="宋体"/>
          <w:color w:val="auto"/>
          <w:highlight w:val="none"/>
          <w:u w:val="single"/>
        </w:rPr>
        <w:t>指定网站及媒体上</w:t>
      </w:r>
      <w:r>
        <w:rPr>
          <w:rFonts w:hint="eastAsia" w:ascii="宋体" w:hAnsi="宋体" w:eastAsia="宋体" w:cs="宋体"/>
          <w:color w:val="auto"/>
          <w:highlight w:val="none"/>
        </w:rPr>
        <w:t>发布的信息通知所有投标供应商，凡在上述网上发布的信息，与招标文件具有同等法律效力，将被视为对所有投标供应商进行了有效通知。</w:t>
      </w:r>
    </w:p>
    <w:p w14:paraId="3559138D">
      <w:pPr>
        <w:tabs>
          <w:tab w:val="left" w:pos="720"/>
        </w:tabs>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9、招标文件的修改</w:t>
      </w:r>
    </w:p>
    <w:p w14:paraId="74BEA501">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9.1在截止投标时间</w:t>
      </w:r>
      <w:r>
        <w:rPr>
          <w:rFonts w:hint="eastAsia" w:ascii="宋体" w:hAnsi="宋体" w:eastAsia="宋体" w:cs="宋体"/>
          <w:b/>
          <w:color w:val="auto"/>
          <w:highlight w:val="none"/>
          <w:u w:val="single"/>
        </w:rPr>
        <w:t>15日前</w:t>
      </w:r>
      <w:r>
        <w:rPr>
          <w:rFonts w:hint="eastAsia" w:ascii="宋体" w:hAnsi="宋体" w:eastAsia="宋体" w:cs="宋体"/>
          <w:color w:val="auto"/>
          <w:highlight w:val="none"/>
        </w:rPr>
        <w:t>的任何时候，无论出于何种原因，业主或招标代理机构可主动地或在解答投标人提出的需澄清的问题时向投标人发修改文件对招标文件进行修改。</w:t>
      </w:r>
    </w:p>
    <w:p w14:paraId="7D76DF45">
      <w:pPr>
        <w:pStyle w:val="29"/>
        <w:spacing w:line="360" w:lineRule="auto"/>
        <w:ind w:left="359" w:leftChars="0"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9.2文件的澄清和修改文件将以书面形式通知所有购买招标文件的投标人，该澄清文件也是招标文件的组成部分，并对投标人具有约束力。</w:t>
      </w:r>
    </w:p>
    <w:p w14:paraId="520FEB6E">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9.3为使投标人编写招标文件时有充分时间对招标文件的修改部分进行研究，业主或招标代理机构可行决定，酌情延长投标截止日期，同时将决定以书面形式通知所有购买招标文件的投标人。</w:t>
      </w:r>
    </w:p>
    <w:p w14:paraId="424F55D5">
      <w:pPr>
        <w:spacing w:line="360" w:lineRule="auto"/>
        <w:ind w:left="424" w:hanging="424" w:hangingChars="202"/>
        <w:rPr>
          <w:rFonts w:hint="eastAsia" w:ascii="宋体" w:hAnsi="宋体" w:eastAsia="宋体" w:cs="宋体"/>
          <w:color w:val="auto"/>
          <w:highlight w:val="none"/>
        </w:rPr>
      </w:pPr>
      <w:r>
        <w:rPr>
          <w:rFonts w:hint="eastAsia" w:ascii="宋体" w:hAnsi="宋体" w:eastAsia="宋体" w:cs="宋体"/>
          <w:color w:val="auto"/>
          <w:highlight w:val="none"/>
        </w:rPr>
        <w:t>9.4投标人在收到招标代理机构发给的任何澄清和修改文件时，都应在收到后立即以书面形式向招标代理机构确认。</w:t>
      </w:r>
    </w:p>
    <w:p w14:paraId="167CE24A">
      <w:pPr>
        <w:spacing w:line="360" w:lineRule="auto"/>
        <w:ind w:left="283" w:hanging="283" w:hangingChars="135"/>
        <w:rPr>
          <w:rFonts w:hint="eastAsia" w:ascii="宋体" w:hAnsi="宋体" w:eastAsia="宋体" w:cs="宋体"/>
          <w:color w:val="auto"/>
          <w:highlight w:val="none"/>
        </w:rPr>
      </w:pPr>
      <w:r>
        <w:rPr>
          <w:rFonts w:hint="eastAsia" w:ascii="宋体" w:hAnsi="宋体" w:eastAsia="宋体" w:cs="宋体"/>
          <w:color w:val="auto"/>
          <w:highlight w:val="none"/>
        </w:rPr>
        <w:t>9.5对于招标文件的修改或补充文件，招标代理机构均将以书面形式或</w:t>
      </w:r>
      <w:r>
        <w:rPr>
          <w:rFonts w:hint="eastAsia" w:ascii="宋体" w:hAnsi="宋体" w:eastAsia="宋体" w:cs="宋体"/>
          <w:color w:val="auto"/>
          <w:highlight w:val="none"/>
          <w:u w:val="single"/>
        </w:rPr>
        <w:t>指定网站及媒体上</w:t>
      </w:r>
      <w:r>
        <w:rPr>
          <w:rFonts w:hint="eastAsia" w:ascii="宋体" w:hAnsi="宋体" w:eastAsia="宋体" w:cs="宋体"/>
          <w:color w:val="auto"/>
          <w:highlight w:val="none"/>
        </w:rPr>
        <w:t>发布的信息通知所有投标供应商，凡在上述网上发布的信息，与招标文件具有同等法律效力，将被视为对所有投标供应商进行了有效通知。</w:t>
      </w:r>
    </w:p>
    <w:p w14:paraId="2142B63F">
      <w:pPr>
        <w:tabs>
          <w:tab w:val="left" w:pos="720"/>
        </w:tabs>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10、招标语言及计量</w:t>
      </w:r>
    </w:p>
    <w:p w14:paraId="74C5D78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10.1投标文件和来往函件应用中文书写，投标供应商提供的支持文件、技术资料和印刷的文献可以用其它语言，但相应内容应附有中文翻译本（经公证处公证），以中文为准，对不同文字文本投标文件的解释发生异议的，以中文文本为准。</w:t>
      </w:r>
    </w:p>
    <w:p w14:paraId="5318B4A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10.2招标文件中的所有计量单位和规格说明都使用国家法定计量单位表示。</w:t>
      </w:r>
    </w:p>
    <w:p w14:paraId="6C3FE831">
      <w:pPr>
        <w:pStyle w:val="3"/>
        <w:numPr>
          <w:ilvl w:val="0"/>
          <w:numId w:val="0"/>
        </w:numPr>
        <w:ind w:left="422"/>
        <w:jc w:val="center"/>
        <w:rPr>
          <w:rFonts w:hint="eastAsia" w:ascii="宋体" w:hAnsi="宋体" w:eastAsia="宋体" w:cs="宋体"/>
          <w:b w:val="0"/>
          <w:bCs/>
          <w:color w:val="auto"/>
          <w:highlight w:val="none"/>
        </w:rPr>
      </w:pPr>
      <w:bookmarkStart w:id="57" w:name="_Toc513818903"/>
      <w:bookmarkStart w:id="58" w:name="_Toc409173219"/>
      <w:bookmarkStart w:id="59" w:name="_Toc409173105"/>
      <w:r>
        <w:rPr>
          <w:rFonts w:hint="eastAsia" w:ascii="宋体" w:hAnsi="宋体" w:eastAsia="宋体" w:cs="宋体"/>
          <w:color w:val="auto"/>
          <w:highlight w:val="none"/>
        </w:rPr>
        <w:t>三、投标文件的编制</w:t>
      </w:r>
      <w:bookmarkEnd w:id="57"/>
      <w:bookmarkEnd w:id="58"/>
      <w:bookmarkEnd w:id="59"/>
    </w:p>
    <w:p w14:paraId="687DB850">
      <w:pPr>
        <w:tabs>
          <w:tab w:val="left" w:pos="540"/>
        </w:tabs>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11、特别说明</w:t>
      </w:r>
    </w:p>
    <w:p w14:paraId="1995584F">
      <w:pPr>
        <w:spacing w:line="360" w:lineRule="auto"/>
        <w:ind w:left="464" w:hanging="464" w:hangingChars="221"/>
        <w:rPr>
          <w:rFonts w:hint="eastAsia" w:ascii="宋体" w:hAnsi="宋体" w:eastAsia="宋体" w:cs="宋体"/>
          <w:color w:val="auto"/>
          <w:highlight w:val="none"/>
        </w:rPr>
      </w:pPr>
      <w:r>
        <w:rPr>
          <w:rFonts w:hint="eastAsia" w:ascii="宋体" w:hAnsi="宋体" w:eastAsia="宋体" w:cs="宋体"/>
          <w:color w:val="auto"/>
          <w:highlight w:val="none"/>
        </w:rPr>
        <w:t>11.1本招标文件服务指标要求中，重要的、关键的服务指标要求或性能要求，投标人要特别注意，必须对此响应或完全满足或优于这些要求。否则若有一项重要指标未响应或存在负偏差，将按投标无效处理，即废标。</w:t>
      </w:r>
    </w:p>
    <w:p w14:paraId="46AF507D">
      <w:pPr>
        <w:spacing w:line="360" w:lineRule="auto"/>
        <w:ind w:left="464" w:hanging="464" w:hangingChars="221"/>
        <w:rPr>
          <w:rFonts w:hint="eastAsia" w:ascii="宋体" w:hAnsi="宋体" w:eastAsia="宋体" w:cs="宋体"/>
          <w:color w:val="auto"/>
          <w:highlight w:val="none"/>
        </w:rPr>
      </w:pPr>
      <w:r>
        <w:rPr>
          <w:rFonts w:hint="eastAsia" w:ascii="宋体" w:hAnsi="宋体" w:eastAsia="宋体" w:cs="宋体"/>
          <w:color w:val="auto"/>
          <w:highlight w:val="none"/>
        </w:rPr>
        <w:t>11.2本招标文件的商务合同条款部分除保险、终止和合同生效条款外，均不允许实质性偏离。投标人必须对本招标文件的每一项要求给予实质性的响应，否则其投标将被拒绝。</w:t>
      </w:r>
    </w:p>
    <w:p w14:paraId="094E1B6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11.3 投标人对本投标文件的每一项要求所给予的响应必须是唯一的，否则将视为不响应。</w:t>
      </w:r>
    </w:p>
    <w:p w14:paraId="52EE8B85">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12、投标语言及计量</w:t>
      </w:r>
    </w:p>
    <w:p w14:paraId="42FEEE18">
      <w:pPr>
        <w:spacing w:line="360" w:lineRule="auto"/>
        <w:ind w:left="464" w:hanging="464" w:hangingChars="221"/>
        <w:rPr>
          <w:rFonts w:hint="eastAsia" w:ascii="宋体" w:hAnsi="宋体" w:eastAsia="宋体" w:cs="宋体"/>
          <w:color w:val="auto"/>
          <w:highlight w:val="none"/>
        </w:rPr>
      </w:pPr>
      <w:r>
        <w:rPr>
          <w:rFonts w:hint="eastAsia" w:ascii="宋体" w:hAnsi="宋体" w:eastAsia="宋体" w:cs="宋体"/>
          <w:color w:val="auto"/>
          <w:highlight w:val="none"/>
        </w:rPr>
        <w:t>12.1投标人提交的投标文件以及投标人与业主就有关投标的所有往来函电均使用中文。投标人提供的支持文件和印刷的文件可以使用英文，但相应内容应附有中文翻译本，在解释时以中文翻译为准。</w:t>
      </w:r>
    </w:p>
    <w:p w14:paraId="6CAE949C">
      <w:pPr>
        <w:spacing w:line="360" w:lineRule="auto"/>
        <w:ind w:left="540" w:hanging="539" w:hangingChars="257"/>
        <w:rPr>
          <w:rFonts w:hint="eastAsia" w:ascii="宋体" w:hAnsi="宋体" w:eastAsia="宋体" w:cs="宋体"/>
          <w:color w:val="auto"/>
          <w:highlight w:val="none"/>
        </w:rPr>
      </w:pPr>
      <w:r>
        <w:rPr>
          <w:rFonts w:hint="eastAsia" w:ascii="宋体" w:hAnsi="宋体" w:eastAsia="宋体" w:cs="宋体"/>
          <w:color w:val="auto"/>
          <w:highlight w:val="none"/>
        </w:rPr>
        <w:t>12.2在投标文件及所有投标人与业主往来文件中所有计量单位和规格说明均须用国家法定计量单位表示。</w:t>
      </w:r>
    </w:p>
    <w:p w14:paraId="59A5B573">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13、投标文件的构成</w:t>
      </w:r>
    </w:p>
    <w:p w14:paraId="5E9725C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13.1投标人编写的投标文件应包括下列部分：</w:t>
      </w:r>
    </w:p>
    <w:p w14:paraId="6A006946">
      <w:pPr>
        <w:spacing w:line="360" w:lineRule="auto"/>
        <w:ind w:firstLine="540"/>
        <w:rPr>
          <w:rFonts w:hint="eastAsia" w:ascii="宋体" w:hAnsi="宋体" w:eastAsia="宋体" w:cs="宋体"/>
          <w:color w:val="auto"/>
          <w:highlight w:val="none"/>
        </w:rPr>
      </w:pPr>
      <w:r>
        <w:rPr>
          <w:rFonts w:hint="eastAsia" w:ascii="宋体" w:hAnsi="宋体" w:eastAsia="宋体" w:cs="宋体"/>
          <w:color w:val="auto"/>
          <w:highlight w:val="none"/>
        </w:rPr>
        <w:t>（1）按投标人须知规定填写投标函、投标报价表。</w:t>
      </w:r>
    </w:p>
    <w:p w14:paraId="0EA2125A">
      <w:pPr>
        <w:spacing w:line="360" w:lineRule="auto"/>
        <w:ind w:firstLine="540"/>
        <w:rPr>
          <w:rFonts w:hint="eastAsia" w:ascii="宋体" w:hAnsi="宋体" w:eastAsia="宋体" w:cs="宋体"/>
          <w:color w:val="auto"/>
          <w:highlight w:val="none"/>
        </w:rPr>
      </w:pPr>
      <w:r>
        <w:rPr>
          <w:rFonts w:hint="eastAsia" w:ascii="宋体" w:hAnsi="宋体" w:eastAsia="宋体" w:cs="宋体"/>
          <w:color w:val="auto"/>
          <w:highlight w:val="none"/>
        </w:rPr>
        <w:t>（2）按投标人须知出具的资格证明文件，证明投标人是合格的且中标后有能力履行合同。</w:t>
      </w:r>
    </w:p>
    <w:p w14:paraId="21733296">
      <w:pPr>
        <w:spacing w:line="360" w:lineRule="auto"/>
        <w:ind w:firstLine="540"/>
        <w:rPr>
          <w:rFonts w:hint="eastAsia" w:ascii="宋体" w:hAnsi="宋体" w:eastAsia="宋体" w:cs="宋体"/>
          <w:color w:val="auto"/>
          <w:highlight w:val="none"/>
        </w:rPr>
      </w:pPr>
      <w:r>
        <w:rPr>
          <w:rFonts w:hint="eastAsia" w:ascii="宋体" w:hAnsi="宋体" w:eastAsia="宋体" w:cs="宋体"/>
          <w:color w:val="auto"/>
          <w:highlight w:val="none"/>
        </w:rPr>
        <w:t>（3）按招标文件的规定出具的证明文件，证明投标人提供的设备符合招标文件的规定。</w:t>
      </w:r>
    </w:p>
    <w:p w14:paraId="09D55A5D">
      <w:pPr>
        <w:spacing w:line="360" w:lineRule="auto"/>
        <w:ind w:firstLine="540"/>
        <w:rPr>
          <w:rFonts w:hint="eastAsia" w:ascii="宋体" w:hAnsi="宋体" w:eastAsia="宋体" w:cs="宋体"/>
          <w:color w:val="auto"/>
          <w:highlight w:val="none"/>
        </w:rPr>
      </w:pPr>
      <w:r>
        <w:rPr>
          <w:rFonts w:hint="eastAsia" w:ascii="宋体" w:hAnsi="宋体" w:eastAsia="宋体" w:cs="宋体"/>
          <w:color w:val="auto"/>
          <w:highlight w:val="none"/>
        </w:rPr>
        <w:t>（4）按投标人须知规定提交的投标保证金。</w:t>
      </w:r>
    </w:p>
    <w:p w14:paraId="4D290C7D">
      <w:pPr>
        <w:spacing w:line="360" w:lineRule="auto"/>
        <w:ind w:firstLine="540"/>
        <w:rPr>
          <w:rFonts w:hint="eastAsia" w:ascii="宋体" w:hAnsi="宋体" w:eastAsia="宋体" w:cs="宋体"/>
          <w:color w:val="auto"/>
          <w:highlight w:val="none"/>
        </w:rPr>
      </w:pPr>
      <w:r>
        <w:rPr>
          <w:rFonts w:hint="eastAsia" w:ascii="宋体" w:hAnsi="宋体" w:eastAsia="宋体" w:cs="宋体"/>
          <w:color w:val="auto"/>
          <w:highlight w:val="none"/>
        </w:rPr>
        <w:t>（5）对招标文件第三章做出书面响应，包括但不限于技术规范、技术参数、技术文件及图纸等内容。</w:t>
      </w:r>
    </w:p>
    <w:p w14:paraId="0C50E205">
      <w:pPr>
        <w:spacing w:line="360" w:lineRule="auto"/>
        <w:ind w:firstLine="540"/>
        <w:rPr>
          <w:rFonts w:hint="eastAsia" w:ascii="宋体" w:hAnsi="宋体" w:eastAsia="宋体" w:cs="宋体"/>
          <w:color w:val="auto"/>
          <w:highlight w:val="none"/>
        </w:rPr>
      </w:pPr>
      <w:r>
        <w:rPr>
          <w:rFonts w:hint="eastAsia" w:ascii="宋体" w:hAnsi="宋体" w:eastAsia="宋体" w:cs="宋体"/>
          <w:color w:val="auto"/>
          <w:highlight w:val="none"/>
        </w:rPr>
        <w:t>（6）投标人应参照招标文件第五章的内容格式提供全面的响应的文件。</w:t>
      </w:r>
    </w:p>
    <w:p w14:paraId="147E788E">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14、投标文件的要求</w:t>
      </w:r>
    </w:p>
    <w:p w14:paraId="09BF6B7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14.1投标人应依照招标文件中投标文件格式填写，并真正对招标文件的要求做实质性的响应。</w:t>
      </w:r>
    </w:p>
    <w:p w14:paraId="5C9B16B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14.2投标人必须按照招标文件要求，正面回答所有的问题，并按所附格式要求正式签署。</w:t>
      </w:r>
    </w:p>
    <w:p w14:paraId="44945C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14.3投标人对于招标文件的所有“★”号要求，必须作出真实满足的响应，否则将作无效投标处理。</w:t>
      </w:r>
    </w:p>
    <w:p w14:paraId="0165647D">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15、投标报价</w:t>
      </w:r>
    </w:p>
    <w:p w14:paraId="4C0BF447">
      <w:pPr>
        <w:spacing w:line="360" w:lineRule="auto"/>
        <w:ind w:left="464" w:hanging="464" w:hangingChars="221"/>
        <w:rPr>
          <w:rFonts w:hint="eastAsia" w:ascii="宋体" w:hAnsi="宋体" w:eastAsia="宋体" w:cs="宋体"/>
          <w:color w:val="auto"/>
          <w:highlight w:val="none"/>
        </w:rPr>
      </w:pPr>
      <w:r>
        <w:rPr>
          <w:rFonts w:hint="eastAsia" w:ascii="宋体" w:hAnsi="宋体" w:eastAsia="宋体" w:cs="宋体"/>
          <w:color w:val="auto"/>
          <w:highlight w:val="none"/>
        </w:rPr>
        <w:t>15.1投标人应在适当的投标明细报价表上标明本合同拟提供的货物的单价（如适用）、每个单项的小计、整个投标的总价以及合同项下的货物以及服务的来源地。</w:t>
      </w:r>
    </w:p>
    <w:p w14:paraId="52C5EB52">
      <w:pPr>
        <w:tabs>
          <w:tab w:val="left" w:pos="840"/>
        </w:tabs>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 xml:space="preserve">15.2 </w:t>
      </w:r>
      <w:r>
        <w:rPr>
          <w:rFonts w:hint="eastAsia" w:ascii="宋体" w:hAnsi="宋体" w:eastAsia="宋体" w:cs="宋体"/>
          <w:b/>
          <w:color w:val="auto"/>
          <w:highlight w:val="none"/>
        </w:rPr>
        <w:t>投标人提供的货物和服务应报</w:t>
      </w:r>
      <w:r>
        <w:rPr>
          <w:rFonts w:hint="eastAsia" w:ascii="宋体" w:hAnsi="宋体" w:eastAsia="宋体" w:cs="宋体"/>
          <w:b/>
          <w:color w:val="auto"/>
          <w:highlight w:val="none"/>
          <w:u w:val="single"/>
        </w:rPr>
        <w:t>交招标方指定地点/仓</w:t>
      </w:r>
      <w:r>
        <w:rPr>
          <w:rFonts w:hint="eastAsia" w:ascii="宋体" w:hAnsi="宋体" w:eastAsia="宋体" w:cs="宋体"/>
          <w:b/>
          <w:color w:val="auto"/>
          <w:highlight w:val="none"/>
        </w:rPr>
        <w:t>库（包括安装至指定位置），</w:t>
      </w:r>
      <w:r>
        <w:rPr>
          <w:rFonts w:hint="eastAsia" w:ascii="宋体" w:hAnsi="宋体" w:eastAsia="宋体" w:cs="宋体"/>
          <w:color w:val="auto"/>
          <w:highlight w:val="none"/>
          <w:u w:val="single"/>
        </w:rPr>
        <w:t>投标人必须按招标文件中“用户需求书”等规定的报价方案报价，否则视为非实质响应性投标。</w:t>
      </w:r>
    </w:p>
    <w:p w14:paraId="7679282E">
      <w:pPr>
        <w:tabs>
          <w:tab w:val="left" w:pos="840"/>
        </w:tabs>
        <w:spacing w:line="360" w:lineRule="auto"/>
        <w:ind w:left="525" w:hanging="525" w:hangingChars="250"/>
        <w:rPr>
          <w:rFonts w:hint="eastAsia" w:ascii="宋体" w:hAnsi="宋体" w:eastAsia="宋体" w:cs="宋体"/>
          <w:color w:val="auto"/>
          <w:szCs w:val="22"/>
          <w:highlight w:val="none"/>
        </w:rPr>
      </w:pPr>
      <w:r>
        <w:rPr>
          <w:rFonts w:hint="eastAsia" w:ascii="宋体" w:hAnsi="宋体" w:eastAsia="宋体" w:cs="宋体"/>
          <w:color w:val="auto"/>
          <w:highlight w:val="none"/>
        </w:rPr>
        <w:t>15.3投标人应按招标文件用户需求书中所列采购项目各序号逐项报出一个不变的价格方案(招标文件有特别说明的除外)。报价中应已包括货物应纳全部规定税项和与货物或服务有关的运输、</w:t>
      </w:r>
      <w:r>
        <w:rPr>
          <w:rFonts w:hint="eastAsia" w:ascii="宋体" w:hAnsi="宋体" w:eastAsia="宋体" w:cs="宋体"/>
          <w:color w:val="auto"/>
          <w:szCs w:val="22"/>
          <w:highlight w:val="none"/>
        </w:rPr>
        <w:t>保险、安装、调试、培训等费用。税金、运输、保险、安装、调试、培训等不单独列项报价。</w:t>
      </w:r>
    </w:p>
    <w:p w14:paraId="416D0C8D">
      <w:pPr>
        <w:tabs>
          <w:tab w:val="left" w:pos="840"/>
        </w:tabs>
        <w:spacing w:line="360" w:lineRule="auto"/>
        <w:ind w:left="525" w:hanging="525" w:hangingChars="250"/>
        <w:rPr>
          <w:rFonts w:hint="eastAsia" w:ascii="宋体" w:hAnsi="宋体" w:eastAsia="宋体" w:cs="宋体"/>
          <w:color w:val="auto"/>
          <w:szCs w:val="22"/>
          <w:highlight w:val="none"/>
        </w:rPr>
      </w:pPr>
      <w:r>
        <w:rPr>
          <w:rFonts w:hint="eastAsia" w:ascii="宋体" w:hAnsi="宋体" w:eastAsia="宋体" w:cs="宋体"/>
          <w:color w:val="auto"/>
          <w:szCs w:val="22"/>
          <w:highlight w:val="none"/>
        </w:rPr>
        <w:t>15.4投标人所报的投标价在合同执行期间是固定不变的，不得以任何理由予以变更。以可调整的价格提交的投标文件将作为非响应性投标而予以拒绝。</w:t>
      </w:r>
    </w:p>
    <w:p w14:paraId="15FBD7EB">
      <w:pPr>
        <w:tabs>
          <w:tab w:val="left" w:pos="840"/>
        </w:tabs>
        <w:spacing w:line="360" w:lineRule="auto"/>
        <w:ind w:left="527" w:hanging="527" w:hangingChars="25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16、投标货币</w:t>
      </w:r>
    </w:p>
    <w:p w14:paraId="3928CABB">
      <w:pPr>
        <w:tabs>
          <w:tab w:val="left" w:pos="840"/>
        </w:tabs>
        <w:spacing w:line="360" w:lineRule="auto"/>
        <w:ind w:left="525" w:hanging="525" w:hangingChars="250"/>
        <w:rPr>
          <w:rFonts w:hint="eastAsia" w:ascii="宋体" w:hAnsi="宋体" w:eastAsia="宋体" w:cs="宋体"/>
          <w:color w:val="auto"/>
          <w:szCs w:val="22"/>
          <w:highlight w:val="none"/>
        </w:rPr>
      </w:pPr>
      <w:r>
        <w:rPr>
          <w:rFonts w:hint="eastAsia" w:ascii="宋体" w:hAnsi="宋体" w:eastAsia="宋体" w:cs="宋体"/>
          <w:color w:val="auto"/>
          <w:szCs w:val="22"/>
          <w:highlight w:val="none"/>
        </w:rPr>
        <w:t>16.1投标人提供的货物和服务须用人民币报价；</w:t>
      </w:r>
    </w:p>
    <w:p w14:paraId="4A67FEE7">
      <w:pPr>
        <w:tabs>
          <w:tab w:val="left" w:pos="840"/>
        </w:tabs>
        <w:spacing w:line="360" w:lineRule="auto"/>
        <w:ind w:left="525" w:hanging="525" w:hangingChars="250"/>
        <w:rPr>
          <w:rFonts w:hint="eastAsia" w:ascii="宋体" w:hAnsi="宋体" w:eastAsia="宋体" w:cs="宋体"/>
          <w:color w:val="auto"/>
          <w:szCs w:val="22"/>
          <w:highlight w:val="none"/>
        </w:rPr>
      </w:pPr>
      <w:r>
        <w:rPr>
          <w:rFonts w:hint="eastAsia" w:ascii="宋体" w:hAnsi="宋体" w:eastAsia="宋体" w:cs="宋体"/>
          <w:color w:val="auto"/>
          <w:szCs w:val="22"/>
          <w:highlight w:val="none"/>
        </w:rPr>
        <w:t>16.2投标文件中的大写金额和小写金额不一致的，以大写金额为准；总价金额与单价金额和数量乘积不一致的，以单价金额和数量乘积为准，但单价金额小数点有明显错误的除外。</w:t>
      </w:r>
    </w:p>
    <w:p w14:paraId="6F6E55C4">
      <w:pPr>
        <w:tabs>
          <w:tab w:val="left" w:pos="840"/>
        </w:tabs>
        <w:spacing w:line="360" w:lineRule="auto"/>
        <w:ind w:left="527" w:hanging="527" w:hangingChars="250"/>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17、证明投标人合格和资格的文件</w:t>
      </w:r>
    </w:p>
    <w:p w14:paraId="204BE2A2">
      <w:pPr>
        <w:tabs>
          <w:tab w:val="left" w:pos="840"/>
        </w:tabs>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szCs w:val="22"/>
          <w:highlight w:val="none"/>
        </w:rPr>
        <w:t>17.1如投标人须知规定，投标人应提交证明</w:t>
      </w:r>
      <w:r>
        <w:rPr>
          <w:rFonts w:hint="eastAsia" w:ascii="宋体" w:hAnsi="宋体" w:eastAsia="宋体" w:cs="宋体"/>
          <w:color w:val="auto"/>
          <w:highlight w:val="none"/>
        </w:rPr>
        <w:t>其有资格参加投标和中标后有能力履行合同的文件，并作为其投标文件的一部分。</w:t>
      </w:r>
    </w:p>
    <w:p w14:paraId="77446A0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17.2投标人提交的中标后履行合同的资格证明文件应满足招标文件的要求：</w:t>
      </w:r>
    </w:p>
    <w:p w14:paraId="38E1BBBE">
      <w:pPr>
        <w:numPr>
          <w:ilvl w:val="0"/>
          <w:numId w:val="4"/>
        </w:numPr>
        <w:tabs>
          <w:tab w:val="left" w:pos="-180"/>
          <w:tab w:val="clear" w:pos="1365"/>
        </w:tabs>
        <w:spacing w:line="360" w:lineRule="auto"/>
        <w:ind w:left="1260" w:hanging="615"/>
        <w:rPr>
          <w:rFonts w:hint="eastAsia" w:ascii="宋体" w:hAnsi="宋体" w:eastAsia="宋体" w:cs="宋体"/>
          <w:color w:val="auto"/>
          <w:highlight w:val="none"/>
        </w:rPr>
      </w:pPr>
      <w:r>
        <w:rPr>
          <w:rFonts w:hint="eastAsia" w:ascii="宋体" w:hAnsi="宋体" w:eastAsia="宋体" w:cs="宋体"/>
          <w:color w:val="auto"/>
          <w:highlight w:val="none"/>
        </w:rPr>
        <w:t>投标人与本次招标项目类似案例的业绩（提供合同复印件）；（如需）</w:t>
      </w:r>
    </w:p>
    <w:p w14:paraId="06F6E024">
      <w:pPr>
        <w:numPr>
          <w:ilvl w:val="0"/>
          <w:numId w:val="4"/>
        </w:numPr>
        <w:tabs>
          <w:tab w:val="left" w:pos="-180"/>
          <w:tab w:val="clear" w:pos="1365"/>
        </w:tabs>
        <w:spacing w:line="360" w:lineRule="auto"/>
        <w:ind w:left="1260" w:hanging="615"/>
        <w:rPr>
          <w:rFonts w:hint="eastAsia" w:ascii="宋体" w:hAnsi="宋体" w:eastAsia="宋体" w:cs="宋体"/>
          <w:color w:val="auto"/>
          <w:highlight w:val="none"/>
        </w:rPr>
      </w:pPr>
      <w:r>
        <w:rPr>
          <w:rFonts w:hint="eastAsia" w:ascii="宋体" w:hAnsi="宋体" w:eastAsia="宋体" w:cs="宋体"/>
          <w:color w:val="auto"/>
          <w:highlight w:val="none"/>
        </w:rPr>
        <w:t>如果投标人拟提供的设备主要设备不是投标人自己制造的，投标人应获得制造商愿意对业主提供该设备的正式项目授权书或者代理权书；（如需）</w:t>
      </w:r>
    </w:p>
    <w:p w14:paraId="0E97A78D">
      <w:pPr>
        <w:numPr>
          <w:ilvl w:val="0"/>
          <w:numId w:val="4"/>
        </w:numPr>
        <w:tabs>
          <w:tab w:val="clear" w:pos="136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投标人已具备履行合同所需的人力、财力、物力和服务能力；（如需）</w:t>
      </w:r>
    </w:p>
    <w:p w14:paraId="0B594268">
      <w:pPr>
        <w:numPr>
          <w:ilvl w:val="0"/>
          <w:numId w:val="4"/>
        </w:numPr>
        <w:tabs>
          <w:tab w:val="clear" w:pos="136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投标人应具有</w:t>
      </w:r>
      <w:r>
        <w:rPr>
          <w:rFonts w:hint="eastAsia" w:ascii="宋体" w:hAnsi="宋体" w:eastAsia="宋体" w:cs="宋体"/>
          <w:color w:val="auto"/>
          <w:szCs w:val="21"/>
          <w:highlight w:val="none"/>
        </w:rPr>
        <w:t>本招标采购的设备</w:t>
      </w:r>
      <w:r>
        <w:rPr>
          <w:rFonts w:hint="eastAsia" w:ascii="宋体" w:hAnsi="宋体" w:eastAsia="宋体" w:cs="宋体"/>
          <w:color w:val="auto"/>
          <w:highlight w:val="none"/>
        </w:rPr>
        <w:t>提供长期售后服务和备品备件的能力证明；（如需）</w:t>
      </w:r>
    </w:p>
    <w:p w14:paraId="5265B653">
      <w:pPr>
        <w:numPr>
          <w:ilvl w:val="0"/>
          <w:numId w:val="4"/>
        </w:numPr>
        <w:tabs>
          <w:tab w:val="left" w:pos="720"/>
          <w:tab w:val="clear" w:pos="1365"/>
        </w:tabs>
        <w:spacing w:line="360" w:lineRule="auto"/>
        <w:ind w:left="720" w:hanging="75"/>
        <w:rPr>
          <w:rFonts w:hint="eastAsia" w:ascii="宋体" w:hAnsi="宋体" w:eastAsia="宋体" w:cs="宋体"/>
          <w:color w:val="auto"/>
          <w:highlight w:val="none"/>
        </w:rPr>
      </w:pPr>
      <w:r>
        <w:rPr>
          <w:rFonts w:hint="eastAsia" w:ascii="宋体" w:hAnsi="宋体" w:eastAsia="宋体" w:cs="宋体"/>
          <w:color w:val="auto"/>
          <w:highlight w:val="none"/>
        </w:rPr>
        <w:t>有关确立投标人法律地位和专业服务能力的原始文件副本复印件（如营业执照等资格证书）。（如需）</w:t>
      </w:r>
    </w:p>
    <w:p w14:paraId="625D4F98">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18、证明</w:t>
      </w:r>
      <w:r>
        <w:rPr>
          <w:rFonts w:hint="eastAsia" w:ascii="宋体" w:hAnsi="宋体" w:eastAsia="宋体" w:cs="宋体"/>
          <w:b/>
          <w:color w:val="auto"/>
          <w:highlight w:val="none"/>
        </w:rPr>
        <w:t>设备</w:t>
      </w:r>
      <w:r>
        <w:rPr>
          <w:rFonts w:hint="eastAsia" w:ascii="宋体" w:hAnsi="宋体" w:eastAsia="宋体" w:cs="宋体"/>
          <w:b/>
          <w:bCs/>
          <w:color w:val="auto"/>
          <w:highlight w:val="none"/>
        </w:rPr>
        <w:t>的合格性和符合招标文件规定的文件</w:t>
      </w:r>
    </w:p>
    <w:p w14:paraId="5D426BD2">
      <w:pPr>
        <w:tabs>
          <w:tab w:val="left" w:pos="360"/>
          <w:tab w:val="left" w:pos="945"/>
        </w:tabs>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18.1投标人应提交证明其拟提供的货物及相关服务符合招标文件规定的文件，包括投标报价表中对货物原产地的说明，并作为其投标文件的一部分。</w:t>
      </w:r>
    </w:p>
    <w:p w14:paraId="649FA9DD">
      <w:pPr>
        <w:tabs>
          <w:tab w:val="left" w:pos="360"/>
          <w:tab w:val="left" w:pos="945"/>
        </w:tabs>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18.2证明货物及相关服务与招标文件的要求相一致的文件，可以是文字资料、图纸、数据和实物，包括如下：</w:t>
      </w:r>
    </w:p>
    <w:p w14:paraId="23D98CC1">
      <w:pPr>
        <w:widowControl/>
        <w:numPr>
          <w:ilvl w:val="0"/>
          <w:numId w:val="5"/>
        </w:numPr>
        <w:spacing w:line="360" w:lineRule="auto"/>
        <w:ind w:left="851" w:firstLine="0"/>
        <w:rPr>
          <w:rFonts w:hint="eastAsia" w:ascii="宋体" w:hAnsi="宋体" w:eastAsia="宋体" w:cs="宋体"/>
          <w:color w:val="auto"/>
          <w:highlight w:val="none"/>
        </w:rPr>
      </w:pPr>
      <w:r>
        <w:rPr>
          <w:rFonts w:hint="eastAsia" w:ascii="宋体" w:hAnsi="宋体" w:eastAsia="宋体" w:cs="宋体"/>
          <w:color w:val="auto"/>
          <w:highlight w:val="none"/>
        </w:rPr>
        <w:t>货物的型号、规格；（如需）</w:t>
      </w:r>
    </w:p>
    <w:p w14:paraId="3E5348E8">
      <w:pPr>
        <w:widowControl/>
        <w:numPr>
          <w:ilvl w:val="0"/>
          <w:numId w:val="5"/>
        </w:numPr>
        <w:spacing w:line="360" w:lineRule="auto"/>
        <w:ind w:left="851" w:firstLine="0"/>
        <w:rPr>
          <w:rFonts w:hint="eastAsia" w:ascii="宋体" w:hAnsi="宋体" w:eastAsia="宋体" w:cs="宋体"/>
          <w:color w:val="auto"/>
          <w:highlight w:val="none"/>
        </w:rPr>
      </w:pPr>
      <w:r>
        <w:rPr>
          <w:rFonts w:hint="eastAsia" w:ascii="宋体" w:hAnsi="宋体" w:eastAsia="宋体" w:cs="宋体"/>
          <w:color w:val="auto"/>
          <w:highlight w:val="none"/>
        </w:rPr>
        <w:t>货物主要服务指标和性能的详细说明；（如需）</w:t>
      </w:r>
    </w:p>
    <w:p w14:paraId="78F842E7">
      <w:pPr>
        <w:widowControl/>
        <w:numPr>
          <w:ilvl w:val="0"/>
          <w:numId w:val="5"/>
        </w:numPr>
        <w:spacing w:line="360" w:lineRule="auto"/>
        <w:ind w:left="851" w:firstLine="0"/>
        <w:rPr>
          <w:rFonts w:hint="eastAsia" w:ascii="宋体" w:hAnsi="宋体" w:eastAsia="宋体" w:cs="宋体"/>
          <w:color w:val="auto"/>
          <w:highlight w:val="none"/>
        </w:rPr>
      </w:pPr>
      <w:r>
        <w:rPr>
          <w:rFonts w:hint="eastAsia" w:ascii="宋体" w:hAnsi="宋体" w:eastAsia="宋体" w:cs="宋体"/>
          <w:color w:val="auto"/>
          <w:highlight w:val="none"/>
        </w:rPr>
        <w:t>详细的合同项下提供货物及相关服务的执行时间表及其实施措施，明确标注出影响合同执行的关键时间及因素；（如需）</w:t>
      </w:r>
    </w:p>
    <w:p w14:paraId="3D2B7AD9">
      <w:pPr>
        <w:widowControl/>
        <w:numPr>
          <w:ilvl w:val="0"/>
          <w:numId w:val="5"/>
        </w:numPr>
        <w:spacing w:line="360" w:lineRule="auto"/>
        <w:ind w:left="851" w:firstLine="0"/>
        <w:rPr>
          <w:rFonts w:hint="eastAsia" w:ascii="宋体" w:hAnsi="宋体" w:eastAsia="宋体" w:cs="宋体"/>
          <w:color w:val="auto"/>
          <w:highlight w:val="none"/>
        </w:rPr>
      </w:pPr>
      <w:r>
        <w:rPr>
          <w:rFonts w:hint="eastAsia" w:ascii="宋体" w:hAnsi="宋体" w:eastAsia="宋体" w:cs="宋体"/>
          <w:color w:val="auto"/>
          <w:highlight w:val="none"/>
        </w:rPr>
        <w:t>招标人在按招标人规定的周期内正常、连续地使用货物所必需的备品备件、专用工具的清单，包括其货源及现行价格；（如需）</w:t>
      </w:r>
    </w:p>
    <w:p w14:paraId="1B5D9426">
      <w:pPr>
        <w:widowControl/>
        <w:numPr>
          <w:ilvl w:val="0"/>
          <w:numId w:val="5"/>
        </w:numPr>
        <w:spacing w:line="360" w:lineRule="auto"/>
        <w:ind w:left="851" w:firstLine="0"/>
        <w:rPr>
          <w:rFonts w:hint="eastAsia" w:ascii="宋体" w:hAnsi="宋体" w:eastAsia="宋体" w:cs="宋体"/>
          <w:color w:val="auto"/>
          <w:highlight w:val="none"/>
        </w:rPr>
      </w:pPr>
      <w:r>
        <w:rPr>
          <w:rFonts w:hint="eastAsia" w:ascii="宋体" w:hAnsi="宋体" w:eastAsia="宋体" w:cs="宋体"/>
          <w:color w:val="auto"/>
          <w:highlight w:val="none"/>
        </w:rPr>
        <w:t>对照招标文件要求的技术规格，投标人逐条说明所提供的货物及相关服务已对招标文件中的技术规格作出了实质性的响应；或申明与技术规格条文的偏差和例外。特别是对于有具体参数要求的指标，投标人必须提供所投货物的具体参数值。（如需）</w:t>
      </w:r>
    </w:p>
    <w:p w14:paraId="032875D9">
      <w:pPr>
        <w:tabs>
          <w:tab w:val="left" w:pos="360"/>
          <w:tab w:val="left" w:pos="840"/>
        </w:tabs>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color w:val="auto"/>
          <w:highlight w:val="none"/>
        </w:rPr>
        <w:t>18.3投标人在阐述投标人须知第18.2（b）时应注意：招标文件在技术规格中指出的工艺、材料和设备标准以及参照的牌号或分类号仅起说明作用，并没有任何限制性。投标人在投标中可以选用替代标准、牌号或分类号，但这些替代要实质上相当（或优）于技术规格的要求。</w:t>
      </w:r>
    </w:p>
    <w:p w14:paraId="73D279DD">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19、投标保证金</w:t>
      </w:r>
    </w:p>
    <w:p w14:paraId="397E08DE">
      <w:pPr>
        <w:spacing w:line="360" w:lineRule="auto"/>
        <w:ind w:left="540" w:hanging="539" w:hangingChars="257"/>
        <w:rPr>
          <w:rFonts w:hint="eastAsia" w:ascii="宋体" w:hAnsi="宋体" w:eastAsia="宋体" w:cs="宋体"/>
          <w:color w:val="auto"/>
          <w:highlight w:val="none"/>
        </w:rPr>
      </w:pPr>
      <w:r>
        <w:rPr>
          <w:rFonts w:hint="eastAsia" w:ascii="宋体" w:hAnsi="宋体" w:eastAsia="宋体" w:cs="宋体"/>
          <w:color w:val="auto"/>
          <w:highlight w:val="none"/>
        </w:rPr>
        <w:t>19.1招标代理机构受招标人委托代理招标人收取本项目投标保证金。所有投标人必须就所投项目按规定提交投标保证金。投标保证金金额详见投标人须知前附表规定。投标保证金应在投标截止时间前到达广东省机电设备招标有限公司帐户上。</w:t>
      </w:r>
    </w:p>
    <w:p w14:paraId="1E5B5668">
      <w:pPr>
        <w:spacing w:line="360" w:lineRule="auto"/>
        <w:ind w:left="718" w:hanging="718" w:hangingChars="342"/>
        <w:rPr>
          <w:rFonts w:hint="eastAsia" w:ascii="宋体" w:hAnsi="宋体" w:eastAsia="宋体" w:cs="宋体"/>
          <w:color w:val="auto"/>
          <w:highlight w:val="none"/>
        </w:rPr>
      </w:pPr>
      <w:r>
        <w:rPr>
          <w:rFonts w:hint="eastAsia" w:ascii="宋体" w:hAnsi="宋体" w:eastAsia="宋体" w:cs="宋体"/>
          <w:color w:val="auto"/>
          <w:highlight w:val="none"/>
        </w:rPr>
        <w:t>19.2投标保证金是为了保护业主免遭因投标人的行为而蒙受损失，业主在因投标人的行为受到损害时可以依法没收投标人的投标保证金。</w:t>
      </w:r>
    </w:p>
    <w:p w14:paraId="132103AB">
      <w:pPr>
        <w:spacing w:line="360" w:lineRule="auto"/>
        <w:ind w:left="525" w:hanging="525" w:hangingChars="250"/>
        <w:rPr>
          <w:rFonts w:hint="eastAsia" w:ascii="宋体" w:hAnsi="宋体" w:eastAsia="宋体" w:cs="宋体"/>
          <w:color w:val="auto"/>
          <w:highlight w:val="none"/>
        </w:rPr>
      </w:pPr>
      <w:r>
        <w:rPr>
          <w:rFonts w:hint="eastAsia" w:ascii="宋体" w:hAnsi="宋体" w:eastAsia="宋体" w:cs="宋体"/>
          <w:bCs/>
          <w:color w:val="auto"/>
          <w:highlight w:val="none"/>
        </w:rPr>
        <w:t>19.3投</w:t>
      </w:r>
      <w:r>
        <w:rPr>
          <w:rFonts w:hint="eastAsia" w:ascii="宋体" w:hAnsi="宋体" w:eastAsia="宋体" w:cs="宋体"/>
          <w:color w:val="auto"/>
          <w:highlight w:val="none"/>
        </w:rPr>
        <w:t>标保证金投标保证金缴纳方式：子账号方式缴纳。投标人网上登记成功后，应登录广东省机电设备招标有限公司广咨电子招投标交易平台网站（http://www.gzebid.cn）并选择对应项目获取缴纳投标保证金的子账号（每位</w:t>
      </w:r>
      <w:r>
        <w:rPr>
          <w:rFonts w:hint="eastAsia" w:ascii="宋体" w:hAnsi="宋体" w:eastAsia="宋体" w:cs="宋体"/>
          <w:bCs/>
          <w:color w:val="auto"/>
          <w:highlight w:val="none"/>
        </w:rPr>
        <w:t>投标人</w:t>
      </w:r>
      <w:r>
        <w:rPr>
          <w:rFonts w:hint="eastAsia" w:ascii="宋体" w:hAnsi="宋体" w:eastAsia="宋体" w:cs="宋体"/>
          <w:color w:val="auto"/>
          <w:highlight w:val="none"/>
        </w:rPr>
        <w:t>每个项目的保证金缴纳账户是唯一的，该账号是针对每位</w:t>
      </w:r>
      <w:r>
        <w:rPr>
          <w:rFonts w:hint="eastAsia" w:ascii="宋体" w:hAnsi="宋体" w:eastAsia="宋体" w:cs="宋体"/>
          <w:bCs/>
          <w:color w:val="auto"/>
          <w:highlight w:val="none"/>
        </w:rPr>
        <w:t>投标人</w:t>
      </w:r>
      <w:r>
        <w:rPr>
          <w:rFonts w:hint="eastAsia" w:ascii="宋体" w:hAnsi="宋体" w:eastAsia="宋体" w:cs="宋体"/>
          <w:color w:val="auto"/>
          <w:highlight w:val="none"/>
        </w:rPr>
        <w:t>随机生成的专属账号）。</w:t>
      </w:r>
    </w:p>
    <w:p w14:paraId="0BB02685">
      <w:pPr>
        <w:spacing w:line="360" w:lineRule="auto"/>
        <w:ind w:firstLine="617" w:firstLineChars="294"/>
        <w:rPr>
          <w:rFonts w:hint="eastAsia" w:ascii="宋体" w:hAnsi="宋体" w:eastAsia="宋体" w:cs="宋体"/>
          <w:color w:val="auto"/>
          <w:highlight w:val="none"/>
        </w:rPr>
      </w:pPr>
      <w:r>
        <w:rPr>
          <w:rFonts w:hint="eastAsia" w:ascii="宋体" w:hAnsi="宋体" w:eastAsia="宋体" w:cs="宋体"/>
          <w:color w:val="auto"/>
          <w:highlight w:val="none"/>
        </w:rPr>
        <w:t>①投标保证金应从投标人在本平台注册的基本户中支付，并以资金到达该子账号的时间为准，如从其他账户、或未缴纳到指定的子账号，视为无效投标保证金。</w:t>
      </w:r>
    </w:p>
    <w:p w14:paraId="0F3A1DC0">
      <w:pPr>
        <w:spacing w:line="360" w:lineRule="auto"/>
        <w:ind w:firstLine="617" w:firstLineChars="294"/>
        <w:rPr>
          <w:rFonts w:hint="eastAsia" w:ascii="宋体" w:hAnsi="宋体" w:eastAsia="宋体" w:cs="宋体"/>
          <w:color w:val="auto"/>
          <w:highlight w:val="none"/>
        </w:rPr>
      </w:pPr>
      <w:r>
        <w:rPr>
          <w:rFonts w:hint="eastAsia" w:ascii="宋体" w:hAnsi="宋体" w:eastAsia="宋体" w:cs="宋体"/>
          <w:color w:val="auto"/>
          <w:highlight w:val="none"/>
        </w:rPr>
        <w:t>②投标人严禁采用EFT系统(广东金融结算系统/广州银行)方式缴纳投标保证，如采用此方式导致招投标系统无法识别缴纳账号信息的，视为未按要求缴纳保证金，由此造成后果由投标供应商自行承担责任。</w:t>
      </w:r>
    </w:p>
    <w:p w14:paraId="4E0535EE">
      <w:pPr>
        <w:spacing w:line="360" w:lineRule="auto"/>
        <w:ind w:firstLine="617" w:firstLineChars="294"/>
        <w:rPr>
          <w:rFonts w:hint="eastAsia" w:ascii="宋体" w:hAnsi="宋体" w:eastAsia="宋体" w:cs="宋体"/>
          <w:b/>
          <w:bCs/>
          <w:color w:val="auto"/>
          <w:highlight w:val="none"/>
        </w:rPr>
      </w:pPr>
      <w:r>
        <w:rPr>
          <w:rFonts w:hint="eastAsia" w:ascii="宋体" w:hAnsi="宋体" w:eastAsia="宋体" w:cs="宋体"/>
          <w:color w:val="auto"/>
          <w:highlight w:val="none"/>
        </w:rPr>
        <w:t>③根据银行跨行转账时间惯例，一般需要2个工作日到帐，部分银行需要3至5个工作日到账。为确保投标保证金有效，请投标人预留足够的时间提前转账，以免影响投标。</w:t>
      </w:r>
    </w:p>
    <w:p w14:paraId="37AE9D4F">
      <w:pPr>
        <w:spacing w:line="360" w:lineRule="auto"/>
        <w:ind w:left="359" w:hanging="359" w:hangingChars="171"/>
        <w:jc w:val="left"/>
        <w:rPr>
          <w:rFonts w:hint="eastAsia" w:ascii="宋体" w:hAnsi="宋体" w:eastAsia="宋体" w:cs="宋体"/>
          <w:color w:val="auto"/>
          <w:highlight w:val="none"/>
        </w:rPr>
      </w:pPr>
      <w:r>
        <w:rPr>
          <w:rFonts w:hint="eastAsia" w:ascii="宋体" w:hAnsi="宋体" w:eastAsia="宋体" w:cs="宋体"/>
          <w:color w:val="auto"/>
          <w:highlight w:val="none"/>
        </w:rPr>
        <w:t>19.4凡没有根据投标人须知的规定提交投标保证金的投标，将按投标人须知的规定视为非响应性投标予以拒绝。</w:t>
      </w:r>
    </w:p>
    <w:p w14:paraId="708339D5">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19.5未中标的投标人的保证金，将按投标人须知发出中标结果通知之日起5个工作日内由收款人原额退还</w:t>
      </w:r>
      <w:r>
        <w:rPr>
          <w:rFonts w:hint="eastAsia" w:ascii="宋体" w:hAnsi="宋体" w:eastAsia="宋体" w:cs="宋体"/>
          <w:b/>
          <w:bCs/>
          <w:color w:val="auto"/>
          <w:highlight w:val="none"/>
        </w:rPr>
        <w:t>（保证金不计利息）</w:t>
      </w:r>
      <w:r>
        <w:rPr>
          <w:rFonts w:hint="eastAsia" w:ascii="宋体" w:hAnsi="宋体" w:eastAsia="宋体" w:cs="宋体"/>
          <w:color w:val="auto"/>
          <w:highlight w:val="none"/>
        </w:rPr>
        <w:t>。为了便于投标保证金顺利退还，所有投标人务必详细填写好投标保证金退还说明并在开标时与标书一起递交。</w:t>
      </w:r>
    </w:p>
    <w:p w14:paraId="36960AD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19.6乙方的投标保证金的退还必须同时满足以下要求：</w:t>
      </w:r>
    </w:p>
    <w:p w14:paraId="0549EF07">
      <w:pPr>
        <w:spacing w:line="360" w:lineRule="auto"/>
        <w:ind w:left="720"/>
        <w:rPr>
          <w:rFonts w:hint="eastAsia" w:ascii="宋体" w:hAnsi="宋体" w:eastAsia="宋体" w:cs="宋体"/>
          <w:color w:val="auto"/>
          <w:szCs w:val="22"/>
          <w:highlight w:val="none"/>
        </w:rPr>
      </w:pPr>
      <w:r>
        <w:rPr>
          <w:rFonts w:hint="eastAsia" w:ascii="宋体" w:hAnsi="宋体" w:eastAsia="宋体" w:cs="宋体"/>
          <w:color w:val="auto"/>
          <w:highlight w:val="none"/>
        </w:rPr>
        <w:t>（1）</w:t>
      </w:r>
      <w:r>
        <w:rPr>
          <w:rFonts w:hint="eastAsia" w:ascii="宋体" w:hAnsi="宋体" w:eastAsia="宋体" w:cs="宋体"/>
          <w:color w:val="auto"/>
          <w:szCs w:val="22"/>
          <w:highlight w:val="none"/>
        </w:rPr>
        <w:t>乙方按投标人须知规定签订合同；</w:t>
      </w:r>
    </w:p>
    <w:p w14:paraId="4C7C89F1">
      <w:pPr>
        <w:spacing w:line="360" w:lineRule="auto"/>
        <w:ind w:left="72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zCs w:val="22"/>
          <w:highlight w:val="none"/>
        </w:rPr>
        <w:t>乙方按投标人须知规定支付招标代理服务费。如果乙方拒绝支付规定的招标代理服务费，业主有</w:t>
      </w:r>
      <w:r>
        <w:rPr>
          <w:rFonts w:hint="eastAsia" w:ascii="宋体" w:hAnsi="宋体" w:eastAsia="宋体" w:cs="宋体"/>
          <w:color w:val="auto"/>
          <w:highlight w:val="none"/>
        </w:rPr>
        <w:t>权在投标人所交的投标保证金中扣除相应费用。</w:t>
      </w:r>
    </w:p>
    <w:p w14:paraId="50424A0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19.7下列任何一种情况发生时，投标保证金将被没收：</w:t>
      </w:r>
    </w:p>
    <w:p w14:paraId="0F28973F">
      <w:pPr>
        <w:spacing w:line="360" w:lineRule="auto"/>
        <w:ind w:left="720"/>
        <w:rPr>
          <w:rFonts w:hint="eastAsia" w:ascii="宋体" w:hAnsi="宋体" w:eastAsia="宋体" w:cs="宋体"/>
          <w:color w:val="auto"/>
          <w:szCs w:val="22"/>
          <w:highlight w:val="none"/>
        </w:rPr>
      </w:pPr>
      <w:r>
        <w:rPr>
          <w:rFonts w:hint="eastAsia" w:ascii="宋体" w:hAnsi="宋体" w:eastAsia="宋体" w:cs="宋体"/>
          <w:color w:val="auto"/>
          <w:szCs w:val="22"/>
          <w:highlight w:val="none"/>
        </w:rPr>
        <w:t>（1）投标人在投标文件中规定的投标有效期内撤回其投标；</w:t>
      </w:r>
    </w:p>
    <w:p w14:paraId="50200A03">
      <w:pPr>
        <w:spacing w:line="360" w:lineRule="auto"/>
        <w:ind w:left="720"/>
        <w:rPr>
          <w:rFonts w:hint="eastAsia" w:ascii="宋体" w:hAnsi="宋体" w:eastAsia="宋体" w:cs="宋体"/>
          <w:color w:val="auto"/>
          <w:szCs w:val="22"/>
          <w:highlight w:val="none"/>
        </w:rPr>
      </w:pPr>
      <w:r>
        <w:rPr>
          <w:rFonts w:hint="eastAsia" w:ascii="宋体" w:hAnsi="宋体" w:eastAsia="宋体" w:cs="宋体"/>
          <w:color w:val="auto"/>
          <w:szCs w:val="22"/>
          <w:highlight w:val="none"/>
        </w:rPr>
        <w:t>（2）乙方在规定期限内未能根据投标人须知规定签订合同；或未能根据投标人须知规定接受对错误的修正；</w:t>
      </w:r>
    </w:p>
    <w:p w14:paraId="3570202A">
      <w:pPr>
        <w:spacing w:line="360" w:lineRule="auto"/>
        <w:ind w:left="720"/>
        <w:rPr>
          <w:rFonts w:hint="eastAsia" w:ascii="宋体" w:hAnsi="宋体" w:eastAsia="宋体" w:cs="宋体"/>
          <w:color w:val="auto"/>
          <w:highlight w:val="none"/>
        </w:rPr>
      </w:pPr>
      <w:r>
        <w:rPr>
          <w:rFonts w:hint="eastAsia" w:ascii="宋体" w:hAnsi="宋体" w:eastAsia="宋体" w:cs="宋体"/>
          <w:color w:val="auto"/>
          <w:szCs w:val="22"/>
          <w:highlight w:val="none"/>
        </w:rPr>
        <w:t>（3）投标人在</w:t>
      </w:r>
      <w:r>
        <w:rPr>
          <w:rFonts w:hint="eastAsia" w:ascii="宋体" w:hAnsi="宋体" w:eastAsia="宋体" w:cs="宋体"/>
          <w:color w:val="auto"/>
          <w:highlight w:val="none"/>
        </w:rPr>
        <w:t>投标过程中提供虚假材料。</w:t>
      </w:r>
    </w:p>
    <w:p w14:paraId="7C5D0A99">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20、知识产权</w:t>
      </w:r>
    </w:p>
    <w:p w14:paraId="6E260E13">
      <w:pPr>
        <w:spacing w:line="360" w:lineRule="auto"/>
        <w:ind w:left="540" w:hanging="539" w:hangingChars="257"/>
        <w:rPr>
          <w:rFonts w:hint="eastAsia" w:ascii="宋体" w:hAnsi="宋体" w:eastAsia="宋体" w:cs="宋体"/>
          <w:color w:val="auto"/>
          <w:highlight w:val="none"/>
        </w:rPr>
      </w:pPr>
      <w:r>
        <w:rPr>
          <w:rFonts w:hint="eastAsia" w:ascii="宋体" w:hAnsi="宋体" w:eastAsia="宋体" w:cs="宋体"/>
          <w:color w:val="auto"/>
          <w:highlight w:val="none"/>
        </w:rPr>
        <w:t>20.1</w:t>
      </w:r>
      <w:r>
        <w:rPr>
          <w:rFonts w:hint="eastAsia" w:ascii="宋体" w:hAnsi="宋体" w:eastAsia="宋体" w:cs="宋体"/>
          <w:color w:val="auto"/>
          <w:highlight w:val="none"/>
        </w:rPr>
        <w:tab/>
      </w:r>
      <w:r>
        <w:rPr>
          <w:rFonts w:hint="eastAsia" w:ascii="宋体" w:hAnsi="宋体" w:eastAsia="宋体" w:cs="宋体"/>
          <w:color w:val="auto"/>
          <w:highlight w:val="none"/>
        </w:rPr>
        <w:t>投标人应保证，业主在中华人民共和国使用设备或设备的任何一部分时，业主免受第三方提出侵犯其专利权、商标权或其它知识产权的起诉。</w:t>
      </w:r>
    </w:p>
    <w:p w14:paraId="37D640FB">
      <w:pPr>
        <w:spacing w:line="360" w:lineRule="auto"/>
        <w:ind w:left="540" w:hanging="539" w:hangingChars="257"/>
        <w:rPr>
          <w:rFonts w:hint="eastAsia" w:ascii="宋体" w:hAnsi="宋体" w:eastAsia="宋体" w:cs="宋体"/>
          <w:color w:val="auto"/>
          <w:highlight w:val="none"/>
        </w:rPr>
      </w:pPr>
      <w:r>
        <w:rPr>
          <w:rFonts w:hint="eastAsia" w:ascii="宋体" w:hAnsi="宋体" w:eastAsia="宋体" w:cs="宋体"/>
          <w:color w:val="auto"/>
          <w:highlight w:val="none"/>
        </w:rPr>
        <w:t>20.2投标价应包括所有应付的对专利权、版权或其他知识产权而需要向其他方支付的版税、使用费等费用。</w:t>
      </w:r>
    </w:p>
    <w:p w14:paraId="2934D576">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21、投标有效期</w:t>
      </w:r>
    </w:p>
    <w:p w14:paraId="75E28781">
      <w:pPr>
        <w:spacing w:line="360" w:lineRule="auto"/>
        <w:ind w:left="630" w:hanging="630" w:hangingChars="300"/>
        <w:rPr>
          <w:rFonts w:hint="eastAsia" w:ascii="宋体" w:hAnsi="宋体" w:eastAsia="宋体" w:cs="宋体"/>
          <w:color w:val="auto"/>
          <w:highlight w:val="none"/>
        </w:rPr>
      </w:pPr>
      <w:r>
        <w:rPr>
          <w:rFonts w:hint="eastAsia" w:ascii="宋体" w:hAnsi="宋体" w:eastAsia="宋体" w:cs="宋体"/>
          <w:color w:val="auto"/>
          <w:highlight w:val="none"/>
        </w:rPr>
        <w:t>21.1投标文件应根据投标人须知的规定保持有效，比规定期限短的将视为非响应投标而予以拒绝。</w:t>
      </w:r>
    </w:p>
    <w:p w14:paraId="572E0DC8">
      <w:pPr>
        <w:spacing w:line="360" w:lineRule="auto"/>
        <w:ind w:left="424" w:hanging="424" w:hangingChars="202"/>
        <w:rPr>
          <w:rFonts w:hint="eastAsia" w:ascii="宋体" w:hAnsi="宋体" w:eastAsia="宋体" w:cs="宋体"/>
          <w:color w:val="auto"/>
          <w:highlight w:val="none"/>
        </w:rPr>
      </w:pPr>
      <w:r>
        <w:rPr>
          <w:rFonts w:hint="eastAsia" w:ascii="宋体" w:hAnsi="宋体" w:eastAsia="宋体" w:cs="宋体"/>
          <w:color w:val="auto"/>
          <w:highlight w:val="none"/>
        </w:rPr>
        <w:t>21.2特殊情况下在原有投标有效期截止之前，业主可征求投标人同意延长投标有效期。这种要求与答复均为书面形式提交。投标人可以拒绝业主的这种要求，其投标保证金将不会被没收。接受投标的有效期延长的投标人将不会被要求和允许修正其投标文件，而只会要求其相应地延长其投标保证金的有效期。在这种情况下，本须知有关投标保证金的退还和没收的规定将在延长了的有效期内继续有效。</w:t>
      </w:r>
    </w:p>
    <w:p w14:paraId="6259D8C6">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22、投标文件的样式和签署</w:t>
      </w:r>
    </w:p>
    <w:p w14:paraId="24240362">
      <w:pPr>
        <w:spacing w:line="360" w:lineRule="auto"/>
        <w:ind w:left="357" w:leftChars="8" w:hanging="340" w:hangingChars="162"/>
        <w:rPr>
          <w:rFonts w:hint="eastAsia" w:ascii="宋体" w:hAnsi="宋体" w:eastAsia="宋体" w:cs="宋体"/>
          <w:color w:val="auto"/>
          <w:highlight w:val="none"/>
        </w:rPr>
      </w:pPr>
      <w:bookmarkStart w:id="60" w:name="_Toc409173106"/>
      <w:bookmarkStart w:id="61" w:name="_Toc409173220"/>
      <w:r>
        <w:rPr>
          <w:rFonts w:hint="eastAsia" w:ascii="宋体" w:hAnsi="宋体" w:eastAsia="宋体" w:cs="宋体"/>
          <w:color w:val="auto"/>
          <w:highlight w:val="none"/>
        </w:rPr>
        <w:t>22.1投标文件应按第五章要求</w:t>
      </w:r>
      <w:bookmarkEnd w:id="60"/>
      <w:bookmarkEnd w:id="61"/>
      <w:r>
        <w:rPr>
          <w:rFonts w:hint="eastAsia" w:ascii="宋体" w:hAnsi="宋体" w:eastAsia="宋体" w:cs="宋体"/>
          <w:color w:val="auto"/>
          <w:highlight w:val="none"/>
        </w:rPr>
        <w:t>编制。</w:t>
      </w:r>
    </w:p>
    <w:p w14:paraId="68D3A93B">
      <w:pPr>
        <w:spacing w:line="360" w:lineRule="auto"/>
        <w:ind w:left="462" w:leftChars="8" w:hanging="445" w:hangingChars="212"/>
        <w:rPr>
          <w:rFonts w:hint="eastAsia" w:ascii="宋体" w:hAnsi="宋体" w:eastAsia="宋体" w:cs="宋体"/>
          <w:color w:val="auto"/>
          <w:highlight w:val="none"/>
        </w:rPr>
      </w:pPr>
      <w:r>
        <w:rPr>
          <w:rFonts w:hint="eastAsia" w:ascii="宋体" w:hAnsi="宋体" w:eastAsia="宋体" w:cs="宋体"/>
          <w:color w:val="auto"/>
          <w:highlight w:val="none"/>
        </w:rPr>
        <w:t>22.2投标人应准备投标文件1份(正本)，4份(副本)， 1份（投标文件电子文档）。每份投标文件清楚标明“正本”或“副本”，如果“正本”与“副本”或“电子文档”不符，以“正本”为准。</w:t>
      </w:r>
    </w:p>
    <w:p w14:paraId="078BCCF3">
      <w:pPr>
        <w:spacing w:line="360" w:lineRule="auto"/>
        <w:ind w:left="437" w:leftChars="208"/>
        <w:rPr>
          <w:rFonts w:hint="eastAsia" w:ascii="宋体" w:hAnsi="宋体" w:eastAsia="宋体" w:cs="宋体"/>
          <w:b/>
          <w:bCs/>
          <w:color w:val="auto"/>
          <w:highlight w:val="none"/>
        </w:rPr>
      </w:pPr>
      <w:r>
        <w:rPr>
          <w:rFonts w:hint="eastAsia" w:ascii="宋体" w:hAnsi="宋体" w:eastAsia="宋体" w:cs="宋体"/>
          <w:b/>
          <w:bCs/>
          <w:color w:val="auto"/>
          <w:highlight w:val="none"/>
        </w:rPr>
        <w:t>电子文件的内容</w:t>
      </w:r>
      <w:r>
        <w:rPr>
          <w:rFonts w:hint="eastAsia" w:ascii="宋体" w:hAnsi="宋体" w:eastAsia="宋体" w:cs="宋体"/>
          <w:b/>
          <w:bCs/>
          <w:color w:val="auto"/>
          <w:szCs w:val="21"/>
          <w:highlight w:val="none"/>
        </w:rPr>
        <w:t>为投标文件可</w:t>
      </w:r>
      <w:r>
        <w:rPr>
          <w:rFonts w:hint="eastAsia" w:ascii="宋体" w:hAnsi="宋体" w:eastAsia="宋体" w:cs="宋体"/>
          <w:b/>
          <w:bCs/>
          <w:color w:val="auto"/>
          <w:szCs w:val="21"/>
          <w:highlight w:val="none"/>
          <w:lang w:val="zh-CN"/>
        </w:rPr>
        <w:t>编辑电子版，</w:t>
      </w:r>
      <w:r>
        <w:rPr>
          <w:rFonts w:hint="eastAsia" w:ascii="宋体" w:hAnsi="宋体" w:eastAsia="宋体" w:cs="宋体"/>
          <w:b/>
          <w:bCs/>
          <w:color w:val="auto"/>
          <w:szCs w:val="21"/>
          <w:highlight w:val="none"/>
        </w:rPr>
        <w:t>详细报价表（用excel制作，保存为.xls格式）及正本盖章签字PDF扫描件</w:t>
      </w:r>
      <w:r>
        <w:rPr>
          <w:rFonts w:hint="eastAsia" w:ascii="宋体" w:hAnsi="宋体" w:eastAsia="宋体" w:cs="宋体"/>
          <w:b/>
          <w:bCs/>
          <w:color w:val="auto"/>
          <w:highlight w:val="none"/>
        </w:rPr>
        <w:t>保存至usb闪存盘介质。</w:t>
      </w:r>
    </w:p>
    <w:p w14:paraId="4A204E3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22.3投标人文件“正本”是属于投标人自己制作的，均需用不褪色墨水书写或打印。</w:t>
      </w:r>
    </w:p>
    <w:p w14:paraId="02A23CCB">
      <w:pPr>
        <w:spacing w:line="360" w:lineRule="auto"/>
        <w:ind w:left="462" w:hanging="462" w:hangingChars="220"/>
        <w:rPr>
          <w:rFonts w:hint="eastAsia" w:ascii="宋体" w:hAnsi="宋体" w:eastAsia="宋体" w:cs="宋体"/>
          <w:color w:val="auto"/>
          <w:highlight w:val="none"/>
        </w:rPr>
      </w:pPr>
      <w:r>
        <w:rPr>
          <w:rFonts w:hint="eastAsia" w:ascii="宋体" w:hAnsi="宋体" w:eastAsia="宋体" w:cs="宋体"/>
          <w:color w:val="auto"/>
          <w:highlight w:val="none"/>
        </w:rPr>
        <w:t>22.4投标文件的任何行间插字、涂改和增删，必须由投标文件的签字人用姓氏或首字母在旁边签字并加盖修改章或法人公章才有效。</w:t>
      </w:r>
    </w:p>
    <w:p w14:paraId="52C384E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22.5投标文件（副本），所有资料都有可以用投标文件的（正本）复印而成。</w:t>
      </w:r>
    </w:p>
    <w:p w14:paraId="05667E6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22.6投标文件的正本及所有副本的封面均须由投标人加盖公章。</w:t>
      </w:r>
    </w:p>
    <w:p w14:paraId="132DEBD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22.7投标人须为其投标文件的正本及所有副本</w:t>
      </w:r>
      <w:r>
        <w:rPr>
          <w:rFonts w:hint="eastAsia" w:ascii="宋体" w:hAnsi="宋体" w:eastAsia="宋体" w:cs="宋体"/>
          <w:b/>
          <w:bCs/>
          <w:color w:val="auto"/>
          <w:highlight w:val="none"/>
          <w:u w:val="single"/>
        </w:rPr>
        <w:t>制作目录并标明页码</w:t>
      </w:r>
      <w:r>
        <w:rPr>
          <w:rFonts w:hint="eastAsia" w:ascii="宋体" w:hAnsi="宋体" w:eastAsia="宋体" w:cs="宋体"/>
          <w:color w:val="auto"/>
          <w:highlight w:val="none"/>
        </w:rPr>
        <w:t>。</w:t>
      </w:r>
    </w:p>
    <w:p w14:paraId="1FDC847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22.8电报、电话、电传、传真的投标文件将被拒绝。</w:t>
      </w:r>
    </w:p>
    <w:p w14:paraId="001534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22.9投标人应出具所投标设备的说明书及技术介绍。</w:t>
      </w:r>
    </w:p>
    <w:p w14:paraId="06BBB882">
      <w:pPr>
        <w:pStyle w:val="3"/>
        <w:numPr>
          <w:ilvl w:val="0"/>
          <w:numId w:val="0"/>
        </w:numPr>
        <w:jc w:val="center"/>
        <w:rPr>
          <w:rFonts w:hint="eastAsia" w:ascii="宋体" w:hAnsi="宋体" w:eastAsia="宋体" w:cs="宋体"/>
          <w:color w:val="auto"/>
          <w:highlight w:val="none"/>
        </w:rPr>
      </w:pPr>
      <w:bookmarkStart w:id="62" w:name="_Toc409173221"/>
      <w:bookmarkStart w:id="63" w:name="_Toc513818904"/>
      <w:bookmarkStart w:id="64" w:name="_Toc409173107"/>
      <w:r>
        <w:rPr>
          <w:rFonts w:hint="eastAsia" w:ascii="宋体" w:hAnsi="宋体" w:eastAsia="宋体" w:cs="宋体"/>
          <w:color w:val="auto"/>
          <w:highlight w:val="none"/>
        </w:rPr>
        <w:t>四、投标文件的递交</w:t>
      </w:r>
      <w:bookmarkEnd w:id="62"/>
      <w:bookmarkEnd w:id="63"/>
      <w:bookmarkEnd w:id="64"/>
    </w:p>
    <w:p w14:paraId="3E5F25AE">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23、投标文件的密封和标记</w:t>
      </w:r>
    </w:p>
    <w:p w14:paraId="7D16581F">
      <w:pPr>
        <w:tabs>
          <w:tab w:val="left" w:pos="360"/>
          <w:tab w:val="left" w:pos="540"/>
          <w:tab w:val="left" w:pos="900"/>
          <w:tab w:val="left" w:pos="1680"/>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23.1  </w:t>
      </w:r>
      <w:r>
        <w:rPr>
          <w:rFonts w:hint="eastAsia" w:ascii="宋体" w:hAnsi="宋体" w:eastAsia="宋体" w:cs="宋体"/>
          <w:b/>
          <w:color w:val="auto"/>
          <w:highlight w:val="none"/>
          <w:u w:val="single"/>
        </w:rPr>
        <w:t>投标文件的包封要求；投标人最好按以下规定分别独立包封投标文件，独自分开的封包数共为3包:</w:t>
      </w:r>
    </w:p>
    <w:p w14:paraId="16ACDA54">
      <w:pPr>
        <w:tabs>
          <w:tab w:val="left" w:pos="360"/>
          <w:tab w:val="left" w:pos="540"/>
          <w:tab w:val="left" w:pos="900"/>
        </w:tabs>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（1）投标文件正本包封为一包，并在外包装上清晰标明“正本”字样；</w:t>
      </w:r>
    </w:p>
    <w:p w14:paraId="33C77873">
      <w:pPr>
        <w:tabs>
          <w:tab w:val="left" w:pos="360"/>
          <w:tab w:val="left" w:pos="540"/>
          <w:tab w:val="left" w:pos="900"/>
        </w:tabs>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（2）投标文件所有的副本一起包封为一包，并在外包装上清晰标明“副本”字样；</w:t>
      </w:r>
    </w:p>
    <w:p w14:paraId="7668E995">
      <w:pPr>
        <w:tabs>
          <w:tab w:val="left" w:pos="360"/>
          <w:tab w:val="left" w:pos="540"/>
          <w:tab w:val="left" w:pos="900"/>
        </w:tabs>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（3）投标文件的电子文件封为一包，并在外包装上清晰标明“电子文件”字样；</w:t>
      </w:r>
    </w:p>
    <w:p w14:paraId="7ACEAF53">
      <w:pPr>
        <w:spacing w:line="360" w:lineRule="auto"/>
        <w:ind w:left="359" w:hanging="359" w:hangingChars="171"/>
        <w:rPr>
          <w:rFonts w:hint="eastAsia" w:ascii="宋体" w:hAnsi="宋体" w:eastAsia="宋体" w:cs="宋体"/>
          <w:color w:val="auto"/>
          <w:highlight w:val="none"/>
        </w:rPr>
      </w:pPr>
      <w:bookmarkStart w:id="65" w:name="_Toc409173108"/>
      <w:bookmarkStart w:id="66" w:name="_Toc409173222"/>
      <w:r>
        <w:rPr>
          <w:rFonts w:hint="eastAsia" w:ascii="宋体" w:hAnsi="宋体" w:eastAsia="宋体" w:cs="宋体"/>
          <w:color w:val="auto"/>
          <w:highlight w:val="none"/>
        </w:rPr>
        <w:t>23.2</w:t>
      </w:r>
      <w:bookmarkEnd w:id="65"/>
      <w:bookmarkEnd w:id="66"/>
      <w:r>
        <w:rPr>
          <w:rFonts w:hint="eastAsia" w:ascii="宋体" w:hAnsi="宋体" w:eastAsia="宋体" w:cs="宋体"/>
          <w:color w:val="auto"/>
          <w:highlight w:val="none"/>
        </w:rPr>
        <w:t>投标文件的密封要求：投标人应确保上述各包分别独立密闭封装，外包装材料不应留有可在包封后添加或抽取投标文件的空隙。</w:t>
      </w:r>
    </w:p>
    <w:p w14:paraId="7F137A4C">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23.3信封或外包装封套上应当注明项目名称、投标人名称。如果未按要求标记，招标人和招标代理机构对误投或提前启封概不负责。</w:t>
      </w:r>
    </w:p>
    <w:p w14:paraId="1021A8F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23.4招标代理机构对不可抗力事件造成的投标文件的损坏、丢失不承担任何责任。</w:t>
      </w:r>
    </w:p>
    <w:p w14:paraId="7CA92456">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24、投标截止日期</w:t>
      </w:r>
    </w:p>
    <w:p w14:paraId="4F070C1D">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24.1所有投标文件应在投标截止时间前送达投标、开标地点，并交予招标代理机构工作人员，任何迟于这个时间的投标将被拒绝。</w:t>
      </w:r>
    </w:p>
    <w:p w14:paraId="155C4FC4">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25、迟交的投标文件</w:t>
      </w:r>
    </w:p>
    <w:p w14:paraId="4C51B16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25.1按照投标人须知规定，招标代理机构将拒绝并原封退回在规定的投标截止时间后收到的任何投标证明文件。</w:t>
      </w:r>
    </w:p>
    <w:p w14:paraId="70CF5371">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26、投标文件的修改与撤回</w:t>
      </w:r>
    </w:p>
    <w:p w14:paraId="28FF2776">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26.1投标人在递交投标文件后，在投标截止时间前投标人可以修改其投标，但必须以书面形式（密封同投标文件）送达招标人，并在信袋上注明“投标修改”和“开标前不得开封”字样。投标截止时间不得修改其投标。</w:t>
      </w:r>
    </w:p>
    <w:p w14:paraId="270D4C28">
      <w:pPr>
        <w:spacing w:line="360" w:lineRule="auto"/>
        <w:ind w:left="360" w:hanging="360"/>
        <w:rPr>
          <w:rFonts w:hint="eastAsia" w:ascii="宋体" w:hAnsi="宋体" w:eastAsia="宋体" w:cs="宋体"/>
          <w:b/>
          <w:bCs/>
          <w:color w:val="auto"/>
          <w:sz w:val="32"/>
          <w:highlight w:val="none"/>
        </w:rPr>
      </w:pPr>
      <w:r>
        <w:rPr>
          <w:rFonts w:hint="eastAsia" w:ascii="宋体" w:hAnsi="宋体" w:eastAsia="宋体" w:cs="宋体"/>
          <w:color w:val="auto"/>
          <w:highlight w:val="none"/>
        </w:rPr>
        <w:t>26.2 投标人可以在投标截止时间前撤回其投标。</w:t>
      </w:r>
    </w:p>
    <w:p w14:paraId="6B7432E9">
      <w:pPr>
        <w:pStyle w:val="3"/>
        <w:numPr>
          <w:ilvl w:val="0"/>
          <w:numId w:val="0"/>
        </w:numPr>
        <w:ind w:left="422"/>
        <w:jc w:val="center"/>
        <w:rPr>
          <w:rFonts w:hint="eastAsia" w:ascii="宋体" w:hAnsi="宋体" w:eastAsia="宋体" w:cs="宋体"/>
          <w:b w:val="0"/>
          <w:bCs/>
          <w:color w:val="auto"/>
          <w:sz w:val="32"/>
          <w:highlight w:val="none"/>
        </w:rPr>
      </w:pPr>
      <w:bookmarkStart w:id="67" w:name="_Toc513818905"/>
      <w:bookmarkStart w:id="68" w:name="_Toc409173109"/>
      <w:bookmarkStart w:id="69" w:name="_Toc409173223"/>
      <w:r>
        <w:rPr>
          <w:rFonts w:hint="eastAsia" w:ascii="宋体" w:hAnsi="宋体" w:eastAsia="宋体" w:cs="宋体"/>
          <w:color w:val="auto"/>
          <w:szCs w:val="30"/>
          <w:highlight w:val="none"/>
        </w:rPr>
        <w:t>五、开标与评标</w:t>
      </w:r>
      <w:bookmarkEnd w:id="67"/>
      <w:bookmarkEnd w:id="68"/>
      <w:bookmarkEnd w:id="69"/>
    </w:p>
    <w:p w14:paraId="0A21C46D">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27、开标</w:t>
      </w:r>
    </w:p>
    <w:p w14:paraId="5E6C6920">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27.1本次招标采用一次开标形式，开标时，由招标人和投标人代表共同检查投标文件的密封情况。经确认无误后，由招标代理机构工作人员当众拆封开启投标文件并宣读投标报价函正本与副本内容不一致时以投标文件正本内容为准。投标人的投标文件中的相关价格变更或者其他说明，都应在招标文件要求的投标报价表总表中明确，否则，评标时不予认可。</w:t>
      </w:r>
    </w:p>
    <w:p w14:paraId="3512D45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27.2开标时间采用北京时间计时（以国家授时中心标准时间为准）。</w:t>
      </w:r>
    </w:p>
    <w:p w14:paraId="54EA5C8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27.3开标地点：详见投标人须知前附表规定。</w:t>
      </w:r>
    </w:p>
    <w:p w14:paraId="29F8E1FF">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27.4开标由招标代理机构主持，投标人代表应准时参加开标会议。投标人代表未出席开标会，不影响开标，且不得对开标程序、结果等提出任何异议。未递交投标文件的投标人广东省机电设备招标有限公司有权拒绝其参加开标会。</w:t>
      </w:r>
    </w:p>
    <w:p w14:paraId="71544ABB">
      <w:pPr>
        <w:spacing w:line="360" w:lineRule="auto"/>
        <w:ind w:left="359" w:hanging="359" w:hangingChars="171"/>
        <w:jc w:val="left"/>
        <w:rPr>
          <w:rFonts w:hint="eastAsia" w:ascii="宋体" w:hAnsi="宋体" w:eastAsia="宋体" w:cs="宋体"/>
          <w:color w:val="auto"/>
          <w:highlight w:val="none"/>
        </w:rPr>
      </w:pPr>
      <w:r>
        <w:rPr>
          <w:rFonts w:hint="eastAsia" w:ascii="宋体" w:hAnsi="宋体" w:eastAsia="宋体" w:cs="宋体"/>
          <w:color w:val="auto"/>
          <w:highlight w:val="none"/>
        </w:rPr>
        <w:t>27.5 开标时，招标代理机构当众宣读投标人名称、修改和撤回投标的通知（如果有）、投标报价及其他必要的内容，除照规定原封退回迟到的投标之外，开标将不得拒绝在投标截止时间前收到的投标文件，开标会过程中不接受已提交投标文件的投标人撤回投标文件。发现投标人不足三家的公开招标项目，做废标处理。</w:t>
      </w:r>
    </w:p>
    <w:p w14:paraId="7D4CC70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27.6迟到或撤回的投标文件将被原封退回给投标人。</w:t>
      </w:r>
    </w:p>
    <w:p w14:paraId="7B1D46E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27.7招标代理机构将做开标记录，开标记录包括在开标时宣读的全部内容，并由投标人签字确认，存档备查。</w:t>
      </w:r>
    </w:p>
    <w:p w14:paraId="267C3AB3">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28、评标委员会</w:t>
      </w:r>
    </w:p>
    <w:p w14:paraId="022ED775">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28.1本次招标，招标人参照相关法律法规组成评标委员会。</w:t>
      </w:r>
    </w:p>
    <w:p w14:paraId="17B9D682">
      <w:pPr>
        <w:spacing w:line="360" w:lineRule="auto"/>
        <w:ind w:left="420" w:hanging="420" w:hangingChars="200"/>
        <w:rPr>
          <w:rFonts w:hint="eastAsia" w:ascii="宋体" w:hAnsi="宋体" w:eastAsia="宋体" w:cs="宋体"/>
          <w:color w:val="auto"/>
          <w:highlight w:val="none"/>
        </w:rPr>
      </w:pPr>
      <w:r>
        <w:rPr>
          <w:rFonts w:hint="eastAsia" w:ascii="宋体" w:hAnsi="宋体" w:eastAsia="宋体" w:cs="宋体"/>
          <w:color w:val="auto"/>
          <w:highlight w:val="none"/>
        </w:rPr>
        <w:t>28.2 评标委员会</w:t>
      </w:r>
    </w:p>
    <w:p w14:paraId="6396F317">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28.3评标委员会只对确定为实质上响应招标文件要求的投标，即通过资格性与符合性检查的投标进行评价和比较，响应的依据是招标文件本身的内容，而不寻求其它证据。实质上响应的投标应该是与招标文件要求的全部主要条款、条件和规格相符，没有重大偏离的投标、关键条文的偏离、保留或反对。</w:t>
      </w:r>
    </w:p>
    <w:p w14:paraId="6CC11305">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29、评标原则和评标方法</w:t>
      </w:r>
    </w:p>
    <w:p w14:paraId="24A059C7">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29.1评标遵循公平、公正、科学、择优的原则。评标委员会将按照规定只对通过初步评审的招标文件进行详细评审。</w:t>
      </w:r>
    </w:p>
    <w:p w14:paraId="5F2BD44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29.2评标方法：本次招标的评标方法采用综合评分法。</w:t>
      </w:r>
    </w:p>
    <w:p w14:paraId="7D7CA88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29.3评标规则与步骤：详见第六章；</w:t>
      </w:r>
    </w:p>
    <w:p w14:paraId="501D4F89">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30、投标文件的修正和澄清</w:t>
      </w:r>
    </w:p>
    <w:p w14:paraId="33D809D3">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30.1为有助于投标文件的审核、评价和比较，评标委员会可分别要求投标人对其投标文件进行澄清，有关澄清的要求和答复先以口头形式答辩，然后在要求的时间内以书面形式提交，但不得寻求、提供或允许对投标价格或实质性内容做任何更改。</w:t>
      </w:r>
    </w:p>
    <w:p w14:paraId="0A320ECB">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30.2投标人不得通过修正和撤销不合要求的偏离或保留从而使其没有实质上响应招标文件要求的投标成为实质上响应的投标。</w:t>
      </w:r>
    </w:p>
    <w:p w14:paraId="2E644A18">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30.3所谓实质上响应投标应是与招标文件要求的全部条款、条件和规格相符，没有重大偏离或保留。所谓重大偏离和保留是指实质上影响合同的设计范围；或者实质上与招标文件不一致，而且限制了合同中业主的权力或投标人的业务。纠正这些偏离或保留将会对其他实质上的响应要求的投标人的竞争地位产生不公正的影响，评标委员会决定投标文件的响应性只根据投标文件本身内容，而不寻求外部的证据。对于在技术响应/差异表中的描述与投标文件其他地方的描述有差异的，以该表为准。评标委员会若注意到该差异，可要求投标人澄清（除不允许偏离的★条款外）或视为完全响应；若未注意到，则视为完全响应。乙方必须按照技术响应表中对用户需求书的实际响应情况供货并提供服务，否则按提供虚假材料处理，已中标的可取消中标资格。投标人投标响应的实际情况应与投标文件中可提供的有关该投标设备的公开宣传产品彩页（经生产厂家认可）或投标文件中其他地方的所有性能描述及相关技术证明资料相一致，如出现某些部分不一致的描述，投标人必须作出书面澄清说明，投标人未能充分说明的，视为无效投标，已中标的取消中标资格。</w:t>
      </w:r>
    </w:p>
    <w:p w14:paraId="06F4DD30">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30.4评标委员会将允许修正投标文件中的不构成重大偏离的、微小的、非正规的、不一致的或不规则的地方，但这些修正不能影响任何投标人相应的名次排列。</w:t>
      </w:r>
    </w:p>
    <w:p w14:paraId="1772B230">
      <w:pPr>
        <w:spacing w:line="360" w:lineRule="auto"/>
        <w:rPr>
          <w:rFonts w:hint="eastAsia" w:ascii="宋体" w:hAnsi="宋体" w:eastAsia="宋体" w:cs="宋体"/>
          <w:b/>
          <w:bCs/>
          <w:color w:val="auto"/>
          <w:highlight w:val="none"/>
        </w:rPr>
      </w:pPr>
      <w:r>
        <w:rPr>
          <w:rFonts w:hint="eastAsia" w:ascii="宋体" w:hAnsi="宋体" w:eastAsia="宋体" w:cs="宋体"/>
          <w:b/>
          <w:color w:val="auto"/>
          <w:highlight w:val="none"/>
        </w:rPr>
        <w:t>31、</w:t>
      </w:r>
      <w:r>
        <w:rPr>
          <w:rFonts w:hint="eastAsia" w:ascii="宋体" w:hAnsi="宋体" w:eastAsia="宋体" w:cs="宋体"/>
          <w:b/>
          <w:bCs/>
          <w:color w:val="auto"/>
          <w:highlight w:val="none"/>
        </w:rPr>
        <w:t>拒绝任何或所有投标的权力</w:t>
      </w:r>
    </w:p>
    <w:p w14:paraId="047F71D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31.1评标委员会经评审，认为所有投标都不符合招标文件实质性要求的，可以否决所有投标。</w:t>
      </w:r>
    </w:p>
    <w:p w14:paraId="43477C4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31.2当有效投标人少于3名时，可以拒绝所有投标并重新组织招标。</w:t>
      </w:r>
    </w:p>
    <w:p w14:paraId="6EAE71B2">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31.3如果第一、或二、或三中标候选人不能按照招标文件要求及其投标文件的承诺签订合同或其投标文件与事实不符，业主有权依照法定程序将合同按顺序授予其他中标候选人或重新开启招标程序，对受影响的投标人不承担任何责任，也无义务向受影响的投标人解释采取这一行动的理由。</w:t>
      </w:r>
    </w:p>
    <w:p w14:paraId="7A8B7DE9">
      <w:pPr>
        <w:pStyle w:val="3"/>
        <w:numPr>
          <w:ilvl w:val="0"/>
          <w:numId w:val="0"/>
        </w:numPr>
        <w:ind w:left="422"/>
        <w:jc w:val="center"/>
        <w:rPr>
          <w:rFonts w:hint="eastAsia" w:ascii="宋体" w:hAnsi="宋体" w:eastAsia="宋体" w:cs="宋体"/>
          <w:color w:val="auto"/>
          <w:sz w:val="32"/>
          <w:highlight w:val="none"/>
        </w:rPr>
      </w:pPr>
      <w:bookmarkStart w:id="70" w:name="_Toc513818906"/>
      <w:r>
        <w:rPr>
          <w:rFonts w:hint="eastAsia" w:ascii="宋体" w:hAnsi="宋体" w:eastAsia="宋体" w:cs="宋体"/>
          <w:color w:val="auto"/>
          <w:szCs w:val="30"/>
          <w:highlight w:val="none"/>
        </w:rPr>
        <w:t>六、授予合同</w:t>
      </w:r>
      <w:bookmarkEnd w:id="70"/>
    </w:p>
    <w:p w14:paraId="3DBE52E4">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32、中标人的确定</w:t>
      </w:r>
    </w:p>
    <w:p w14:paraId="3E2DC44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32.1根据评标结果，招标人将按照招标文件的约定确定中标人。</w:t>
      </w:r>
    </w:p>
    <w:p w14:paraId="6B49005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32.2评标委员会无义务将合同授予投标报价最低的投标人。</w:t>
      </w:r>
    </w:p>
    <w:p w14:paraId="7222E408">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33、中标结果公示</w:t>
      </w:r>
    </w:p>
    <w:p w14:paraId="7069DADA">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33.1</w:t>
      </w:r>
      <w:r>
        <w:rPr>
          <w:rFonts w:hint="eastAsia" w:ascii="宋体" w:hAnsi="宋体" w:eastAsia="宋体" w:cs="宋体"/>
          <w:b/>
          <w:color w:val="auto"/>
          <w:szCs w:val="21"/>
          <w:highlight w:val="none"/>
        </w:rPr>
        <w:t>广东省机电设备招标有限公司</w:t>
      </w:r>
      <w:r>
        <w:rPr>
          <w:rFonts w:hint="eastAsia" w:ascii="宋体" w:hAnsi="宋体" w:eastAsia="宋体" w:cs="宋体"/>
          <w:b/>
          <w:color w:val="auto"/>
          <w:highlight w:val="none"/>
        </w:rPr>
        <w:t>将在规定的时间通过指定网址公示中标结果。</w:t>
      </w:r>
    </w:p>
    <w:p w14:paraId="25BED26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33.2在投标有效期满之前，广东省机电设备招标有限公司将在指定网址公告中标结果，并将招标结果通知业主。</w:t>
      </w:r>
    </w:p>
    <w:p w14:paraId="2A807080">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34、合同授予</w:t>
      </w:r>
    </w:p>
    <w:p w14:paraId="224F51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34.1业主将合同授予被确定的中标人，中标人必须以中标人名义签订合同，若中标人为分公司或子公司的，应当在合同签订前提交由总公司出具的授权函。</w:t>
      </w:r>
    </w:p>
    <w:p w14:paraId="469659AE">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34.2业主在授予合同时根据实际的需要有权对“用户需求书”中列举的涉及内容予以适当的增减，涉及内容的增减，该等增减行为不得对整个“用户需求”产生实际背离。按实际内容变化修正相应的价格。</w:t>
      </w:r>
    </w:p>
    <w:p w14:paraId="29C57BFA">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35、中标通知书及中标结果通知书</w:t>
      </w:r>
    </w:p>
    <w:p w14:paraId="6B01DD64">
      <w:pPr>
        <w:spacing w:line="360" w:lineRule="auto"/>
        <w:ind w:left="359" w:hanging="359" w:hangingChars="171"/>
        <w:rPr>
          <w:rFonts w:hint="eastAsia" w:ascii="宋体" w:hAnsi="宋体" w:eastAsia="宋体" w:cs="宋体"/>
          <w:color w:val="auto"/>
          <w:szCs w:val="22"/>
          <w:highlight w:val="none"/>
        </w:rPr>
      </w:pPr>
      <w:r>
        <w:rPr>
          <w:rFonts w:hint="eastAsia" w:ascii="宋体" w:hAnsi="宋体" w:eastAsia="宋体" w:cs="宋体"/>
          <w:color w:val="auto"/>
          <w:highlight w:val="none"/>
        </w:rPr>
        <w:t>3</w:t>
      </w:r>
      <w:r>
        <w:rPr>
          <w:rFonts w:hint="eastAsia" w:ascii="宋体" w:hAnsi="宋体" w:eastAsia="宋体" w:cs="宋体"/>
          <w:color w:val="auto"/>
          <w:szCs w:val="22"/>
          <w:highlight w:val="none"/>
        </w:rPr>
        <w:t>5.1招标代理机构将用书面的方式向中标人发出经确认的书面《中标通知书》，中标人收到《中标通知书》后及时书面向广东省机电设备招标有限公司确认。</w:t>
      </w:r>
    </w:p>
    <w:p w14:paraId="7775BC84">
      <w:pPr>
        <w:spacing w:line="360" w:lineRule="auto"/>
        <w:ind w:left="359" w:hanging="359" w:hangingChars="171"/>
        <w:rPr>
          <w:rFonts w:hint="eastAsia" w:ascii="宋体" w:hAnsi="宋体" w:eastAsia="宋体" w:cs="宋体"/>
          <w:color w:val="auto"/>
          <w:szCs w:val="22"/>
          <w:highlight w:val="none"/>
        </w:rPr>
      </w:pPr>
      <w:r>
        <w:rPr>
          <w:rFonts w:hint="eastAsia" w:ascii="宋体" w:hAnsi="宋体" w:eastAsia="宋体" w:cs="宋体"/>
          <w:color w:val="auto"/>
          <w:szCs w:val="22"/>
          <w:highlight w:val="none"/>
        </w:rPr>
        <w:t>35.2 《中标通知书》将是合同的一个组成部分。</w:t>
      </w:r>
    </w:p>
    <w:p w14:paraId="33B3F498">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szCs w:val="22"/>
          <w:highlight w:val="none"/>
        </w:rPr>
        <w:t>35.3广东省机电设备招标有限公司发出《中标通知书》时，向所有未中标人公告中标结果，对不中标的投标人不另行</w:t>
      </w:r>
      <w:r>
        <w:rPr>
          <w:rFonts w:hint="eastAsia" w:ascii="宋体" w:hAnsi="宋体" w:eastAsia="宋体" w:cs="宋体"/>
          <w:color w:val="auto"/>
          <w:highlight w:val="none"/>
        </w:rPr>
        <w:t>通知，亦不作任何解释。</w:t>
      </w:r>
    </w:p>
    <w:p w14:paraId="605BD9F7">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36、签订合同</w:t>
      </w:r>
    </w:p>
    <w:p w14:paraId="192ABF4D">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36.1中标人应自《中标通知书》发出之日起三十日内，应按照《中标通知书》指定的时间、地点，派遣其授权代表前往与甲方签署合同。</w:t>
      </w:r>
    </w:p>
    <w:p w14:paraId="2229711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36.2合同的组成基于但不限于以下部分：</w:t>
      </w:r>
    </w:p>
    <w:p w14:paraId="63D7D24D">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（1）《合同条款》；</w:t>
      </w:r>
    </w:p>
    <w:p w14:paraId="4B60FF2E">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（2）招标文件及澄清、补充、修改文件；</w:t>
      </w:r>
    </w:p>
    <w:p w14:paraId="2AFF6A3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（3）中标人的投标文件及澄清、补充、修改文件；</w:t>
      </w:r>
    </w:p>
    <w:p w14:paraId="592768F2">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（4）相关资料；</w:t>
      </w:r>
    </w:p>
    <w:p w14:paraId="1A974C19">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（5）《中标通知书》。</w:t>
      </w:r>
    </w:p>
    <w:p w14:paraId="4ACA1B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36.3签定合同过程中的解释顺序：1、中标通知书；2、中标单位投标文件；3、招标文件；当上述三份文件中的表述有冲突之处，以上述文件顺序列前的文件表述为准。</w:t>
      </w:r>
    </w:p>
    <w:p w14:paraId="2987A1C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36.4不接受中标人授权其分公司或者分支机构签订合同。</w:t>
      </w:r>
    </w:p>
    <w:p w14:paraId="043AC8F2">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37、招标代理服务费</w:t>
      </w:r>
    </w:p>
    <w:p w14:paraId="104E1C86">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37.1.中标人应按中标通知书要求与招标人签订合同。</w:t>
      </w:r>
    </w:p>
    <w:p w14:paraId="7F96EF10">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37.2.中标人须向招标代理机构交纳的招标代理服务费，收费按照《国家计委关于印发《招标代理服务收费管理暂行办法》的通知》（计价格[2002]1980号）及《国家发展改革委员会办公厅关于招标代理服务收费有关问题的通知</w:t>
      </w:r>
      <w:bookmarkStart w:id="71" w:name="_Hlt263413520"/>
      <w:bookmarkEnd w:id="71"/>
      <w:r>
        <w:rPr>
          <w:rFonts w:hint="eastAsia" w:ascii="宋体" w:hAnsi="宋体" w:eastAsia="宋体" w:cs="宋体"/>
          <w:b/>
          <w:bCs/>
          <w:color w:val="auto"/>
          <w:highlight w:val="none"/>
        </w:rPr>
        <w:t>》（发改办价格【2003】857号）的标准，</w:t>
      </w:r>
      <w:r>
        <w:rPr>
          <w:rFonts w:hint="eastAsia" w:ascii="宋体" w:hAnsi="宋体" w:cs="宋体"/>
          <w:b/>
          <w:bCs/>
          <w:color w:val="auto"/>
          <w:highlight w:val="none"/>
        </w:rPr>
        <w:t>以</w:t>
      </w:r>
      <w:r>
        <w:rPr>
          <w:rFonts w:hint="eastAsia" w:ascii="宋体" w:hAnsi="宋体" w:cs="宋体"/>
          <w:b/>
          <w:bCs/>
          <w:color w:val="auto"/>
          <w:highlight w:val="none"/>
          <w:u w:val="single"/>
        </w:rPr>
        <w:t>中标金额</w:t>
      </w:r>
      <w:r>
        <w:rPr>
          <w:rFonts w:hint="eastAsia" w:ascii="宋体" w:hAnsi="宋体" w:cs="宋体"/>
          <w:b/>
          <w:bCs/>
          <w:color w:val="auto"/>
          <w:highlight w:val="none"/>
        </w:rPr>
        <w:t>作为采购代理服务费的计算基数进行计算招标代理服务费并</w:t>
      </w:r>
      <w:r>
        <w:rPr>
          <w:rFonts w:hint="eastAsia" w:ascii="宋体" w:hAnsi="宋体" w:cs="宋体"/>
          <w:b/>
          <w:bCs/>
          <w:color w:val="auto"/>
          <w:highlight w:val="none"/>
          <w:u w:val="single"/>
          <w:lang w:val="en-US" w:eastAsia="zh-CN"/>
        </w:rPr>
        <w:t>下浮50%</w:t>
      </w:r>
      <w:r>
        <w:rPr>
          <w:rFonts w:hint="eastAsia" w:ascii="宋体" w:hAnsi="宋体" w:cs="宋体"/>
          <w:b/>
          <w:bCs/>
          <w:color w:val="auto"/>
          <w:highlight w:val="none"/>
        </w:rPr>
        <w:t>向招标代理机构缴纳</w:t>
      </w:r>
      <w:r>
        <w:rPr>
          <w:rFonts w:hint="eastAsia" w:ascii="宋体" w:hAnsi="宋体" w:eastAsia="宋体" w:cs="宋体"/>
          <w:b/>
          <w:bCs/>
          <w:color w:val="auto"/>
          <w:highlight w:val="none"/>
        </w:rPr>
        <w:t>。</w:t>
      </w:r>
    </w:p>
    <w:tbl>
      <w:tblPr>
        <w:tblStyle w:val="5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24"/>
        <w:gridCol w:w="1985"/>
        <w:gridCol w:w="2105"/>
        <w:gridCol w:w="2105"/>
      </w:tblGrid>
      <w:tr w14:paraId="00E20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1364" w:type="pct"/>
            <w:noWrap w:val="0"/>
            <w:vAlign w:val="top"/>
          </w:tcPr>
          <w:p w14:paraId="6AA98017">
            <w:pPr>
              <w:snapToGrid w:val="0"/>
              <w:ind w:firstLine="1155" w:firstLineChars="550"/>
              <w:rPr>
                <w:rFonts w:hint="eastAsia" w:ascii="宋体" w:hAnsi="宋体" w:eastAsia="宋体" w:cs="宋体"/>
                <w:color w:val="auto"/>
                <w:szCs w:val="21"/>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29210</wp:posOffset>
                      </wp:positionV>
                      <wp:extent cx="1690370" cy="356235"/>
                      <wp:effectExtent l="1270" t="4445" r="3810" b="20320"/>
                      <wp:wrapNone/>
                      <wp:docPr id="2" name="直接连接符 2"/>
                      <wp:cNvGraphicFramePr/>
                      <a:graphic xmlns:a="http://schemas.openxmlformats.org/drawingml/2006/main">
                        <a:graphicData uri="http://schemas.microsoft.com/office/word/2010/wordprocessingShape">
                          <wps:wsp>
                            <wps:cNvCnPr/>
                            <wps:spPr>
                              <a:xfrm>
                                <a:off x="0" y="0"/>
                                <a:ext cx="1690370" cy="3562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连接符 2" o:spid="_x0000_s1026" o:spt="32" type="#_x0000_t32" style="position:absolute;left:0pt;margin-left:-2.55pt;margin-top:2.3pt;height:28.05pt;width:133.1pt;z-index:251660288;mso-width-relative:page;mso-height-relative:page;" filled="f" stroked="t" coordsize="21600,21600" o:gfxdata="UEsDBAoAAAAAAIdO4kAAAAAAAAAAAAAAAAAEAAAAZHJzL1BLAwQUAAAACACHTuJAFZYLRdUAAAAH&#10;AQAADwAAAGRycy9kb3ducmV2LnhtbE2OwU7DMBBE70j8g7VIXFBrO6KBhmwqhMSBI20lrm68TQKx&#10;HcVOU/r1LCc4jmb05pWbs+vFicbYBY+glwoE+TrYzjcI+93r4hFETMZb0wdPCN8UYVNdX5WmsGH2&#10;73TapkYwxMfCILQpDYWUsW7JmbgMA3nujmF0JnEcG2lHMzPc9TJTKpfOdJ4fWjPQS0v113ZyCBSn&#10;lVbPa9fs3y7z3Ud2+ZyHHeLtjVZPIBKd098YfvVZHSp2OoTJ2yh6hMVK8xLhPgfBdZZrzgeEXD2A&#10;rEr537/6AVBLAwQUAAAACACHTuJA/TT1cfkBAADrAwAADgAAAGRycy9lMm9Eb2MueG1srVPNjtMw&#10;EL4j8Q6W7zRpqhY2arqHluWCoBLwAK7tJJb8J4+3aV+CF0DiBieO3HmbXR6DsVO6sFx6IAdn7Jn5&#10;Zr7P4+X1wWiylwGUsw2dTkpKpOVOKNs19MP7m2cvKIHIrGDaWdnQowR6vXr6ZDn4Wlaud1rIQBDE&#10;Qj34hvYx+roogPfSMJg4Ly06WxcMi7gNXSECGxDd6KIqy0UxuCB8cFwC4OlmdNITYrgE0LWt4nLj&#10;+K2RNo6oQWoWkRL0ygNd5W7bVvL4tm1BRqIbikxjXrEI2ru0Fqslq7vAfK/4qQV2SQuPOBmmLBY9&#10;Q21YZOQ2qH+gjOLBgWvjhDtTjESyIshiWj7S5l3PvMxcUGrwZ9Hh/8HyN/ttIEo0tKLEMoMXfv/p&#10;+93HLz9/fMb1/ttXUiWRBg81xq7tNpx24LchMT60waQ/ciGHLOzxLKw8RMLxcLq4KmfPUXOOvtl8&#10;Uc3mCbR4yPYB4ivpDElGQyEGpro+rp21eIcuTLO6bP8a4pj4OyGV1pYMDb2aV3OswHAmW5wFNI1H&#10;XmC7nAtOK3GjtE4ZELrdWgeyZ2ku8ndq6K+wVGTDoB/jsiuFsbqXTLy0gsSjR8UsPhSaWjBSUKIl&#10;vqtk5cjIlL4kErXQFiVJQo/SJmvnxDErns9xBrJop3lNQ/bnPmc/vNH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WC0XVAAAABwEAAA8AAAAAAAAAAQAgAAAAIgAAAGRycy9kb3ducmV2LnhtbFBL&#10;AQIUABQAAAAIAIdO4kD9NPVx+QEAAOsDAAAOAAAAAAAAAAEAIAAAACQBAABkcnMvZTJvRG9jLnht&#10;bFBLBQYAAAAABgAGAFkBAACPBQAAAAA=&#10;">
                      <v:fill on="f" focussize="0,0"/>
                      <v:stroke color="#000000" joinstyle="round"/>
                      <v:imagedata o:title=""/>
                      <o:lock v:ext="edit" aspectratio="f"/>
                    </v:shape>
                  </w:pict>
                </mc:Fallback>
              </mc:AlternateContent>
            </w:r>
            <w:r>
              <w:rPr>
                <w:rFonts w:hint="eastAsia" w:ascii="宋体" w:hAnsi="宋体" w:eastAsia="宋体" w:cs="宋体"/>
                <w:bCs/>
                <w:color w:val="auto"/>
                <w:szCs w:val="21"/>
                <w:highlight w:val="none"/>
              </w:rPr>
              <w:t>费率</w:t>
            </w:r>
          </w:p>
          <w:p w14:paraId="6C52BDF1">
            <w:pPr>
              <w:snapToGrid w:val="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中标金额</w:t>
            </w:r>
          </w:p>
        </w:tc>
        <w:tc>
          <w:tcPr>
            <w:tcW w:w="1165" w:type="pct"/>
            <w:noWrap w:val="0"/>
            <w:vAlign w:val="center"/>
          </w:tcPr>
          <w:p w14:paraId="3EC20557">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货物招标</w:t>
            </w:r>
          </w:p>
        </w:tc>
        <w:tc>
          <w:tcPr>
            <w:tcW w:w="1235" w:type="pct"/>
            <w:noWrap w:val="0"/>
            <w:vAlign w:val="center"/>
          </w:tcPr>
          <w:p w14:paraId="6A31C8F8">
            <w:pPr>
              <w:snapToGrid w:val="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服务招标</w:t>
            </w:r>
          </w:p>
        </w:tc>
        <w:tc>
          <w:tcPr>
            <w:tcW w:w="1235" w:type="pct"/>
            <w:noWrap w:val="0"/>
            <w:vAlign w:val="center"/>
          </w:tcPr>
          <w:p w14:paraId="4E581EC6">
            <w:pPr>
              <w:snapToGrid w:val="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工程招标</w:t>
            </w:r>
          </w:p>
        </w:tc>
      </w:tr>
      <w:tr w14:paraId="2A083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1364" w:type="pct"/>
            <w:noWrap w:val="0"/>
            <w:vAlign w:val="center"/>
          </w:tcPr>
          <w:p w14:paraId="095B1C64">
            <w:pPr>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100万元以下</w:t>
            </w:r>
          </w:p>
        </w:tc>
        <w:tc>
          <w:tcPr>
            <w:tcW w:w="1165" w:type="pct"/>
            <w:noWrap w:val="0"/>
            <w:vAlign w:val="center"/>
          </w:tcPr>
          <w:p w14:paraId="102FB15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35" w:type="pct"/>
            <w:noWrap w:val="0"/>
            <w:vAlign w:val="center"/>
          </w:tcPr>
          <w:p w14:paraId="4677229B">
            <w:pPr>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154" w:type="dxa"/>
            <w:noWrap w:val="0"/>
            <w:vAlign w:val="top"/>
          </w:tcPr>
          <w:p w14:paraId="47C094D6">
            <w:pPr>
              <w:spacing w:line="24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14:paraId="7FC30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1364" w:type="pct"/>
            <w:noWrap w:val="0"/>
            <w:vAlign w:val="center"/>
          </w:tcPr>
          <w:p w14:paraId="28ED810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165" w:type="pct"/>
            <w:noWrap w:val="0"/>
            <w:vAlign w:val="center"/>
          </w:tcPr>
          <w:p w14:paraId="41F37A4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35" w:type="pct"/>
            <w:noWrap w:val="0"/>
            <w:vAlign w:val="center"/>
          </w:tcPr>
          <w:p w14:paraId="34F97B5C">
            <w:pPr>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2154" w:type="dxa"/>
            <w:noWrap w:val="0"/>
            <w:vAlign w:val="top"/>
          </w:tcPr>
          <w:p w14:paraId="39840196">
            <w:pPr>
              <w:spacing w:line="24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14:paraId="5340C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1364" w:type="pct"/>
            <w:noWrap w:val="0"/>
            <w:vAlign w:val="center"/>
          </w:tcPr>
          <w:p w14:paraId="592836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165" w:type="pct"/>
            <w:noWrap w:val="0"/>
            <w:vAlign w:val="center"/>
          </w:tcPr>
          <w:p w14:paraId="7C6F4C0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235" w:type="pct"/>
            <w:noWrap w:val="0"/>
            <w:vAlign w:val="center"/>
          </w:tcPr>
          <w:p w14:paraId="19A19FE2">
            <w:pPr>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2154" w:type="dxa"/>
            <w:noWrap w:val="0"/>
            <w:vAlign w:val="top"/>
          </w:tcPr>
          <w:p w14:paraId="5E14DE7A">
            <w:pPr>
              <w:spacing w:line="24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14:paraId="49C15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1364" w:type="pct"/>
            <w:noWrap w:val="0"/>
            <w:vAlign w:val="center"/>
          </w:tcPr>
          <w:p w14:paraId="1BA3E3D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165" w:type="pct"/>
            <w:noWrap w:val="0"/>
            <w:vAlign w:val="center"/>
          </w:tcPr>
          <w:p w14:paraId="7335DB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235" w:type="pct"/>
            <w:noWrap w:val="0"/>
            <w:vAlign w:val="center"/>
          </w:tcPr>
          <w:p w14:paraId="654731FF">
            <w:pPr>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2154" w:type="dxa"/>
            <w:noWrap w:val="0"/>
            <w:vAlign w:val="top"/>
          </w:tcPr>
          <w:p w14:paraId="5D0A3B7D">
            <w:pPr>
              <w:spacing w:line="24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bl>
    <w:p w14:paraId="27E261FE">
      <w:pPr>
        <w:spacing w:line="360" w:lineRule="auto"/>
        <w:ind w:left="439" w:hanging="439" w:hangingChars="208"/>
        <w:rPr>
          <w:rFonts w:hint="eastAsia" w:ascii="宋体" w:hAnsi="宋体" w:eastAsia="宋体" w:cs="宋体"/>
          <w:b/>
          <w:bCs/>
          <w:color w:val="auto"/>
          <w:highlight w:val="none"/>
        </w:rPr>
      </w:pPr>
      <w:r>
        <w:rPr>
          <w:rFonts w:hint="eastAsia" w:ascii="宋体" w:hAnsi="宋体" w:eastAsia="宋体" w:cs="宋体"/>
          <w:b/>
          <w:bCs/>
          <w:color w:val="auto"/>
          <w:highlight w:val="none"/>
        </w:rPr>
        <w:t>37.</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招标代理服务费由中标供应商通过广咨电子招投标交易平台（http://www.gzebid.cn）向招标代理机构缴交。【严禁采用EFT系统(广东金融结算系统)方式缴纳，如采用此方式导致招投标系统无法识别缴纳账号信息的，视为未按要求缴纳招标代理服务费，由此造成后果由投标供应商自行承担责任。】。</w:t>
      </w:r>
    </w:p>
    <w:p w14:paraId="37F789EC">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38、监督与检查</w:t>
      </w:r>
    </w:p>
    <w:p w14:paraId="7EA3D25C">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38.1</w:t>
      </w:r>
      <w:r>
        <w:rPr>
          <w:rFonts w:hint="eastAsia" w:ascii="宋体" w:hAnsi="宋体" w:eastAsia="宋体" w:cs="宋体"/>
          <w:color w:val="auto"/>
          <w:kern w:val="0"/>
          <w:szCs w:val="21"/>
          <w:highlight w:val="none"/>
        </w:rPr>
        <w:t>投标人有下列情形之一，则中标、成交无效，投标保证金不予退还，取消投标人一年至三年内参加</w:t>
      </w:r>
      <w:r>
        <w:rPr>
          <w:rFonts w:hint="eastAsia" w:ascii="宋体" w:hAnsi="宋体" w:eastAsia="宋体" w:cs="宋体"/>
          <w:color w:val="auto"/>
          <w:highlight w:val="none"/>
          <w:u w:val="single"/>
          <w:lang w:eastAsia="zh-CN"/>
        </w:rPr>
        <w:t>广东南方报业传媒集团物业管理有限公司</w:t>
      </w:r>
      <w:r>
        <w:rPr>
          <w:rFonts w:hint="eastAsia" w:ascii="宋体" w:hAnsi="宋体" w:eastAsia="宋体" w:cs="宋体"/>
          <w:color w:val="auto"/>
          <w:highlight w:val="none"/>
        </w:rPr>
        <w:t>招标项目的投标资格并予以公告；给招标人造成损失的，应追究其经济责任或法律责任：</w:t>
      </w:r>
    </w:p>
    <w:p w14:paraId="018C86AD">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1.提供虚假投标材料的；</w:t>
      </w:r>
    </w:p>
    <w:p w14:paraId="3A050E31">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2.采取不正当手段诋毁、排挤其他投标人的；</w:t>
      </w:r>
    </w:p>
    <w:p w14:paraId="7B5692B1">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3.与招标单位、其他投标人恶意串通的；</w:t>
      </w:r>
    </w:p>
    <w:p w14:paraId="7AB7B77F">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4.向招标单位行贿或者提供其他不正当利益的；</w:t>
      </w:r>
    </w:p>
    <w:p w14:paraId="6741D6D2">
      <w:pPr>
        <w:widowControl/>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5.其它违法、违纪或违规的行为。</w:t>
      </w:r>
    </w:p>
    <w:p w14:paraId="6E9A7A99">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39、招标文件的解释权</w:t>
      </w:r>
    </w:p>
    <w:p w14:paraId="63F8DD99">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39.1如果投标人对此次招标活动有疑问，可参照相关法律法规向广东省机电设备招标有限公司提出异议。广东省机电设备招标有限公司应当给与答复，并将结果告知有关当事人。异议应符合以下条件，如不符合，广东省机电设备招标有限公司将不予受理。</w:t>
      </w:r>
    </w:p>
    <w:p w14:paraId="3B11AB20">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(1) 提出异议的应是投标人或者其他利害关系人。</w:t>
      </w:r>
    </w:p>
    <w:p w14:paraId="1E76D4D5">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(2) 异议必须以书面形式提出，注明异议的项目名称、项目编号、异议供应商的单位名称、详细地址、邮政编码、联系人及联系电话等基本情况。</w:t>
      </w:r>
    </w:p>
    <w:p w14:paraId="6D4648C6">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(3) 异议文件必须由法定代表人签署或经法定代表人授权的代表签署，加盖单位公章，在规定的时限内将异议书原件送抵广东省机电设备招标有限公司。</w:t>
      </w:r>
    </w:p>
    <w:p w14:paraId="45C03105">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(4) 有异议的具体事项、请求及理由，不得含有虚假、恶意成份，并附相关证据材料，所依据的有关法律、法规、规章的名称及条款内容。</w:t>
      </w:r>
    </w:p>
    <w:p w14:paraId="49C1FB36">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(5) 异议材料中有外文资料的，应一并附上中文译本，并以中文译本为准。</w:t>
      </w:r>
    </w:p>
    <w:p w14:paraId="71B6F65D">
      <w:pPr>
        <w:spacing w:line="360" w:lineRule="auto"/>
        <w:ind w:left="359" w:hanging="359" w:hangingChars="171"/>
        <w:rPr>
          <w:rFonts w:hint="eastAsia" w:ascii="宋体" w:hAnsi="宋体" w:eastAsia="宋体" w:cs="宋体"/>
          <w:color w:val="auto"/>
          <w:highlight w:val="none"/>
        </w:rPr>
      </w:pPr>
      <w:r>
        <w:rPr>
          <w:rFonts w:hint="eastAsia" w:ascii="宋体" w:hAnsi="宋体" w:eastAsia="宋体" w:cs="宋体"/>
          <w:color w:val="auto"/>
          <w:highlight w:val="none"/>
        </w:rPr>
        <w:t>(6) 异议事项属于有关法律、法规和规章规定处于保密阶段的事项，异议的当事人应当提供信息来源或有效证据。</w:t>
      </w:r>
    </w:p>
    <w:p w14:paraId="4C3D3938">
      <w:pPr>
        <w:pStyle w:val="293"/>
        <w:widowControl/>
        <w:tabs>
          <w:tab w:val="left" w:pos="0"/>
        </w:tabs>
        <w:spacing w:line="360" w:lineRule="auto"/>
        <w:ind w:left="360"/>
        <w:jc w:val="left"/>
        <w:rPr>
          <w:rFonts w:hint="eastAsia" w:ascii="宋体" w:hAnsi="宋体" w:eastAsia="宋体" w:cs="宋体"/>
          <w:color w:val="auto"/>
          <w:highlight w:val="none"/>
        </w:rPr>
      </w:pPr>
    </w:p>
    <w:p w14:paraId="0F5B9AF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35C8BCB">
      <w:pPr>
        <w:rPr>
          <w:rFonts w:hint="eastAsia" w:ascii="宋体" w:hAnsi="宋体" w:eastAsia="宋体" w:cs="宋体"/>
          <w:color w:val="auto"/>
          <w:sz w:val="24"/>
          <w:szCs w:val="24"/>
          <w:highlight w:val="none"/>
        </w:rPr>
      </w:pPr>
    </w:p>
    <w:p w14:paraId="28F02DD9">
      <w:pPr>
        <w:rPr>
          <w:rFonts w:hint="eastAsia" w:ascii="宋体" w:hAnsi="宋体" w:eastAsia="宋体" w:cs="宋体"/>
          <w:color w:val="auto"/>
          <w:sz w:val="24"/>
          <w:szCs w:val="24"/>
          <w:highlight w:val="none"/>
        </w:rPr>
      </w:pPr>
    </w:p>
    <w:p w14:paraId="4BBD359D">
      <w:pPr>
        <w:rPr>
          <w:rFonts w:hint="eastAsia" w:ascii="宋体" w:hAnsi="宋体" w:eastAsia="宋体" w:cs="宋体"/>
          <w:color w:val="auto"/>
          <w:sz w:val="24"/>
          <w:szCs w:val="24"/>
          <w:highlight w:val="none"/>
        </w:rPr>
      </w:pPr>
    </w:p>
    <w:p w14:paraId="18FE9982">
      <w:pPr>
        <w:rPr>
          <w:rFonts w:hint="eastAsia" w:ascii="宋体" w:hAnsi="宋体" w:eastAsia="宋体" w:cs="宋体"/>
          <w:color w:val="auto"/>
          <w:sz w:val="24"/>
          <w:szCs w:val="24"/>
          <w:highlight w:val="none"/>
        </w:rPr>
      </w:pPr>
    </w:p>
    <w:p w14:paraId="6455BE7F">
      <w:pPr>
        <w:rPr>
          <w:rFonts w:hint="eastAsia" w:ascii="宋体" w:hAnsi="宋体" w:eastAsia="宋体" w:cs="宋体"/>
          <w:color w:val="auto"/>
          <w:sz w:val="24"/>
          <w:szCs w:val="24"/>
          <w:highlight w:val="none"/>
        </w:rPr>
      </w:pPr>
    </w:p>
    <w:p w14:paraId="490BFD30">
      <w:pPr>
        <w:rPr>
          <w:rFonts w:hint="eastAsia" w:ascii="宋体" w:hAnsi="宋体" w:eastAsia="宋体" w:cs="宋体"/>
          <w:color w:val="auto"/>
          <w:sz w:val="24"/>
          <w:szCs w:val="24"/>
          <w:highlight w:val="none"/>
        </w:rPr>
      </w:pPr>
    </w:p>
    <w:p w14:paraId="7001D7C0">
      <w:pPr>
        <w:rPr>
          <w:rFonts w:hint="eastAsia" w:ascii="宋体" w:hAnsi="宋体" w:eastAsia="宋体" w:cs="宋体"/>
          <w:color w:val="auto"/>
          <w:sz w:val="24"/>
          <w:szCs w:val="24"/>
          <w:highlight w:val="none"/>
        </w:rPr>
      </w:pPr>
    </w:p>
    <w:p w14:paraId="3AFBC007">
      <w:pPr>
        <w:rPr>
          <w:rFonts w:hint="eastAsia" w:ascii="宋体" w:hAnsi="宋体" w:eastAsia="宋体" w:cs="宋体"/>
          <w:color w:val="auto"/>
          <w:sz w:val="24"/>
          <w:szCs w:val="24"/>
          <w:highlight w:val="none"/>
        </w:rPr>
      </w:pPr>
    </w:p>
    <w:p w14:paraId="27439924">
      <w:pPr>
        <w:rPr>
          <w:rFonts w:hint="eastAsia" w:ascii="宋体" w:hAnsi="宋体" w:eastAsia="宋体" w:cs="宋体"/>
          <w:color w:val="auto"/>
          <w:sz w:val="24"/>
          <w:szCs w:val="24"/>
          <w:highlight w:val="none"/>
        </w:rPr>
      </w:pPr>
    </w:p>
    <w:p w14:paraId="3520C360">
      <w:pPr>
        <w:rPr>
          <w:rFonts w:hint="eastAsia" w:ascii="宋体" w:hAnsi="宋体" w:eastAsia="宋体" w:cs="宋体"/>
          <w:color w:val="auto"/>
          <w:sz w:val="24"/>
          <w:szCs w:val="24"/>
          <w:highlight w:val="none"/>
        </w:rPr>
      </w:pPr>
    </w:p>
    <w:p w14:paraId="307A0318">
      <w:pPr>
        <w:rPr>
          <w:rFonts w:hint="eastAsia" w:ascii="宋体" w:hAnsi="宋体" w:eastAsia="宋体" w:cs="宋体"/>
          <w:color w:val="auto"/>
          <w:sz w:val="24"/>
          <w:szCs w:val="24"/>
          <w:highlight w:val="none"/>
        </w:rPr>
      </w:pPr>
    </w:p>
    <w:p w14:paraId="660CC678">
      <w:pPr>
        <w:rPr>
          <w:rFonts w:hint="eastAsia" w:ascii="宋体" w:hAnsi="宋体" w:eastAsia="宋体" w:cs="宋体"/>
          <w:color w:val="auto"/>
          <w:sz w:val="24"/>
          <w:szCs w:val="24"/>
          <w:highlight w:val="none"/>
        </w:rPr>
      </w:pPr>
    </w:p>
    <w:p w14:paraId="0F9792FB">
      <w:pPr>
        <w:rPr>
          <w:rFonts w:hint="eastAsia" w:ascii="宋体" w:hAnsi="宋体" w:eastAsia="宋体" w:cs="宋体"/>
          <w:color w:val="auto"/>
          <w:sz w:val="24"/>
          <w:szCs w:val="24"/>
          <w:highlight w:val="none"/>
        </w:rPr>
      </w:pPr>
    </w:p>
    <w:p w14:paraId="761A7C7B">
      <w:pPr>
        <w:rPr>
          <w:rFonts w:hint="eastAsia" w:ascii="宋体" w:hAnsi="宋体" w:eastAsia="宋体" w:cs="宋体"/>
          <w:color w:val="auto"/>
          <w:sz w:val="24"/>
          <w:szCs w:val="24"/>
          <w:highlight w:val="none"/>
        </w:rPr>
      </w:pPr>
    </w:p>
    <w:p w14:paraId="3650C1C2">
      <w:pPr>
        <w:rPr>
          <w:rFonts w:hint="eastAsia" w:ascii="宋体" w:hAnsi="宋体" w:eastAsia="宋体" w:cs="宋体"/>
          <w:color w:val="auto"/>
          <w:sz w:val="24"/>
          <w:szCs w:val="24"/>
          <w:highlight w:val="none"/>
        </w:rPr>
      </w:pPr>
    </w:p>
    <w:p w14:paraId="1EF18EFF">
      <w:pPr>
        <w:numPr>
          <w:ilvl w:val="0"/>
          <w:numId w:val="6"/>
        </w:numPr>
        <w:jc w:val="center"/>
        <w:outlineLvl w:val="0"/>
        <w:rPr>
          <w:rFonts w:hint="eastAsia" w:ascii="宋体" w:hAnsi="宋体" w:eastAsia="宋体" w:cs="宋体"/>
          <w:b/>
          <w:color w:val="auto"/>
          <w:sz w:val="44"/>
          <w:szCs w:val="44"/>
          <w:highlight w:val="none"/>
        </w:rPr>
      </w:pPr>
      <w:bookmarkStart w:id="72" w:name="_Toc477186261"/>
      <w:bookmarkStart w:id="73" w:name="_Toc5009"/>
      <w:r>
        <w:rPr>
          <w:rFonts w:hint="eastAsia" w:ascii="宋体" w:hAnsi="宋体" w:eastAsia="宋体" w:cs="宋体"/>
          <w:b/>
          <w:color w:val="auto"/>
          <w:sz w:val="44"/>
          <w:szCs w:val="44"/>
          <w:highlight w:val="none"/>
        </w:rPr>
        <w:t xml:space="preserve"> </w:t>
      </w:r>
      <w:bookmarkEnd w:id="72"/>
      <w:r>
        <w:rPr>
          <w:rFonts w:hint="eastAsia" w:ascii="宋体" w:hAnsi="宋体" w:eastAsia="宋体" w:cs="宋体"/>
          <w:b/>
          <w:color w:val="auto"/>
          <w:sz w:val="44"/>
          <w:szCs w:val="44"/>
          <w:highlight w:val="none"/>
        </w:rPr>
        <w:t>用户需求书</w:t>
      </w:r>
      <w:bookmarkEnd w:id="73"/>
    </w:p>
    <w:p w14:paraId="351764DF">
      <w:pPr>
        <w:pStyle w:val="13"/>
        <w:ind w:left="0" w:leftChars="0"/>
        <w:rPr>
          <w:rFonts w:hint="eastAsia" w:ascii="宋体" w:hAnsi="宋体" w:eastAsia="宋体" w:cs="宋体"/>
          <w:color w:val="auto"/>
          <w:highlight w:val="none"/>
        </w:rPr>
      </w:pPr>
    </w:p>
    <w:p w14:paraId="382447FD">
      <w:pPr>
        <w:rPr>
          <w:rFonts w:hint="eastAsia" w:ascii="宋体" w:hAnsi="宋体" w:eastAsia="宋体" w:cs="宋体"/>
          <w:color w:val="auto"/>
          <w:highlight w:val="none"/>
        </w:rPr>
      </w:pPr>
    </w:p>
    <w:p w14:paraId="040B70D8">
      <w:pPr>
        <w:pStyle w:val="13"/>
        <w:rPr>
          <w:rFonts w:hint="eastAsia" w:ascii="宋体" w:hAnsi="宋体" w:eastAsia="宋体" w:cs="宋体"/>
          <w:color w:val="auto"/>
          <w:highlight w:val="none"/>
        </w:rPr>
      </w:pPr>
    </w:p>
    <w:p w14:paraId="2207EE01">
      <w:pPr>
        <w:spacing w:line="360" w:lineRule="auto"/>
        <w:rPr>
          <w:rFonts w:hint="eastAsia" w:ascii="宋体" w:hAnsi="宋体" w:eastAsia="宋体" w:cs="宋体"/>
          <w:color w:val="auto"/>
          <w:szCs w:val="21"/>
          <w:highlight w:val="none"/>
        </w:rPr>
      </w:pPr>
      <w:bookmarkStart w:id="74" w:name="_Toc474757211"/>
      <w:bookmarkStart w:id="75" w:name="_Toc475448858"/>
      <w:r>
        <w:rPr>
          <w:rFonts w:hint="eastAsia" w:ascii="宋体" w:hAnsi="宋体" w:eastAsia="宋体" w:cs="宋体"/>
          <w:color w:val="auto"/>
          <w:szCs w:val="21"/>
          <w:highlight w:val="none"/>
        </w:rPr>
        <w:t>1.打“★”号条款为实质性条款，若有任何一条负偏离或不满足则导致投标（响应）无效。</w:t>
      </w:r>
    </w:p>
    <w:p w14:paraId="7DC87F9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2.打“▲”号条款为重要技术参数（如有），若有部分“▲”条款未响应或不满足，将根据评审要求影响其得分，但不作为无效投标（响应）条款。</w:t>
      </w:r>
    </w:p>
    <w:p w14:paraId="1D664A44">
      <w:pPr>
        <w:shd w:val="clear" w:color="auto" w:fill="auto"/>
        <w:spacing w:line="360" w:lineRule="auto"/>
        <w:ind w:right="0" w:firstLine="0" w:firstLineChars="0"/>
        <w:jc w:val="lef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3.平面图纸详见附件。</w:t>
      </w: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1"/>
          <w:szCs w:val="21"/>
          <w:highlight w:val="none"/>
          <w:lang w:val="en-US" w:eastAsia="zh-CN"/>
        </w:rPr>
        <w:t>一、项目</w:t>
      </w:r>
      <w:r>
        <w:rPr>
          <w:rFonts w:hint="eastAsia" w:ascii="宋体" w:hAnsi="宋体" w:eastAsia="宋体" w:cs="宋体"/>
          <w:b/>
          <w:bCs/>
          <w:color w:val="auto"/>
          <w:sz w:val="21"/>
          <w:szCs w:val="21"/>
          <w:highlight w:val="none"/>
        </w:rPr>
        <w:t>名称、地点</w:t>
      </w:r>
    </w:p>
    <w:p w14:paraId="7BC6E3AE">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val="en-US" w:eastAsia="zh-CN"/>
        </w:rPr>
        <w:t>目名称：更换7至11号电梯项目。</w:t>
      </w:r>
    </w:p>
    <w:p w14:paraId="5F71785A">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2.建设地点：广州大道中289号1号楼北大堂、2号楼。</w:t>
      </w:r>
    </w:p>
    <w:p w14:paraId="2F2C3541">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3.招标单位：广东南方报业传媒集团物业管理有限公司</w:t>
      </w:r>
    </w:p>
    <w:p w14:paraId="5A3F3AA5">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4.本项目招标主体为广东南方报业传媒集团物业管理有限公司，合同签订主体为南方日报社，中标人中标后须与合同签订主体（南方日报社）签订本项目的合同。</w:t>
      </w:r>
    </w:p>
    <w:p w14:paraId="1E33BA89">
      <w:pPr>
        <w:shd w:val="clear" w:color="auto" w:fill="FFFFFF"/>
        <w:tabs>
          <w:tab w:val="left" w:pos="2908"/>
        </w:tabs>
        <w:spacing w:line="360" w:lineRule="auto"/>
        <w:ind w:right="0" w:firstLine="0" w:firstLineChars="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二、项目概况</w:t>
      </w:r>
    </w:p>
    <w:p w14:paraId="3BC27C48">
      <w:pPr>
        <w:keepNext w:val="0"/>
        <w:keepLines w:val="0"/>
        <w:pageBreakBefore w:val="0"/>
        <w:widowControl/>
        <w:numPr>
          <w:ilvl w:val="0"/>
          <w:numId w:val="0"/>
        </w:numPr>
        <w:shd w:val="clear" w:color="auto" w:fill="FFFFFF"/>
        <w:tabs>
          <w:tab w:val="left" w:pos="2908"/>
        </w:tabs>
        <w:kinsoku/>
        <w:overflowPunct/>
        <w:topLinePunct w:val="0"/>
        <w:autoSpaceDE/>
        <w:autoSpaceDN/>
        <w:bidi w:val="0"/>
        <w:adjustRightInd/>
        <w:snapToGrid/>
        <w:spacing w:line="360" w:lineRule="auto"/>
        <w:ind w:firstLine="371" w:firstLineChars="177"/>
        <w:jc w:val="left"/>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本项目包含</w:t>
      </w:r>
      <w:r>
        <w:rPr>
          <w:rFonts w:hint="eastAsia" w:ascii="宋体" w:hAnsi="宋体" w:eastAsia="宋体" w:cs="宋体"/>
          <w:color w:val="auto"/>
          <w:sz w:val="21"/>
          <w:szCs w:val="21"/>
          <w:highlight w:val="none"/>
          <w:lang w:val="en-US" w:eastAsia="zh-CN"/>
        </w:rPr>
        <w:t>广州大道中289号1号楼北大堂、2号楼的</w:t>
      </w:r>
      <w:r>
        <w:rPr>
          <w:rFonts w:hint="eastAsia" w:ascii="宋体" w:hAnsi="宋体" w:eastAsia="宋体" w:cs="宋体"/>
          <w:color w:val="auto"/>
          <w:kern w:val="2"/>
          <w:sz w:val="21"/>
          <w:szCs w:val="21"/>
          <w:highlight w:val="none"/>
          <w:lang w:val="en-US" w:eastAsia="zh-CN"/>
        </w:rPr>
        <w:t>5台旧电梯的报废手续办理、拆除、回收，并对5台新电梯的采购、安装、质检验收，以及井道和楼层厅门土建装饰修复等相关内容。具体内容如下：</w:t>
      </w:r>
    </w:p>
    <w:p w14:paraId="0E973D32">
      <w:pPr>
        <w:shd w:val="clear" w:color="auto" w:fill="FFFFFF"/>
        <w:tabs>
          <w:tab w:val="left" w:pos="2908"/>
        </w:tabs>
        <w:spacing w:line="360" w:lineRule="auto"/>
        <w:ind w:right="0" w:firstLine="375" w:firstLineChars="177"/>
        <w:jc w:val="left"/>
        <w:rPr>
          <w:rFonts w:hint="eastAsia" w:ascii="宋体" w:hAnsi="宋体" w:eastAsia="宋体" w:cs="宋体"/>
          <w:color w:val="auto"/>
          <w:sz w:val="21"/>
          <w:szCs w:val="21"/>
          <w:highlight w:val="none"/>
          <w:lang w:val="en-US" w:eastAsia="zh-CN"/>
        </w:rPr>
      </w:pPr>
      <w:r>
        <w:rPr>
          <w:rFonts w:ascii="宋体" w:hAnsi="宋体" w:eastAsia="宋体" w:cs="宋体"/>
          <w:spacing w:val="1"/>
          <w:sz w:val="21"/>
          <w:szCs w:val="21"/>
          <w:highlight w:val="none"/>
        </w:rPr>
        <w:t>本项目内电梯设备及随机附件的设计、制造、包装、仓储、运输(包括装卸)、安装、调试、验收资料</w:t>
      </w:r>
      <w:r>
        <w:rPr>
          <w:rFonts w:ascii="宋体" w:hAnsi="宋体" w:eastAsia="宋体" w:cs="宋体"/>
          <w:spacing w:val="12"/>
          <w:sz w:val="21"/>
          <w:szCs w:val="21"/>
          <w:highlight w:val="none"/>
        </w:rPr>
        <w:t xml:space="preserve"> </w:t>
      </w:r>
      <w:r>
        <w:rPr>
          <w:rFonts w:ascii="宋体" w:hAnsi="宋体" w:eastAsia="宋体" w:cs="宋体"/>
          <w:spacing w:val="2"/>
          <w:sz w:val="21"/>
          <w:szCs w:val="21"/>
          <w:highlight w:val="none"/>
        </w:rPr>
        <w:t>（包括政府有关单位的验收）、验收后的移交(含发包人移交给使用单位后到相关政府部门办理的变更使用</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主体更名手续)、结算、培训、技术服务（包括设计联络）、质保期保障、办理使用登记、取得《电</w:t>
      </w:r>
      <w:r>
        <w:rPr>
          <w:rFonts w:ascii="宋体" w:hAnsi="宋体" w:eastAsia="宋体" w:cs="宋体"/>
          <w:spacing w:val="1"/>
          <w:sz w:val="21"/>
          <w:szCs w:val="21"/>
          <w:highlight w:val="none"/>
        </w:rPr>
        <w:t>梯准用</w:t>
      </w:r>
      <w:r>
        <w:rPr>
          <w:rFonts w:ascii="宋体" w:hAnsi="宋体" w:eastAsia="宋体" w:cs="宋体"/>
          <w:sz w:val="21"/>
          <w:szCs w:val="21"/>
          <w:highlight w:val="none"/>
        </w:rPr>
        <w:t>证》和《安全检验合格证》及其他相关服务内容。包括但不限于设备采购、运输</w:t>
      </w:r>
      <w:r>
        <w:rPr>
          <w:rFonts w:ascii="宋体" w:hAnsi="宋体" w:eastAsia="宋体" w:cs="宋体"/>
          <w:spacing w:val="-1"/>
          <w:sz w:val="21"/>
          <w:szCs w:val="21"/>
          <w:highlight w:val="none"/>
        </w:rPr>
        <w:t>、安装、电梯机房与井道改</w:t>
      </w:r>
      <w:r>
        <w:rPr>
          <w:rFonts w:ascii="宋体" w:hAnsi="宋体" w:eastAsia="宋体" w:cs="宋体"/>
          <w:sz w:val="21"/>
          <w:szCs w:val="21"/>
          <w:highlight w:val="none"/>
        </w:rPr>
        <w:t>造设计、电梯机房与井道改造施工、原设备报废手</w:t>
      </w:r>
      <w:r>
        <w:rPr>
          <w:rFonts w:ascii="宋体" w:hAnsi="宋体" w:eastAsia="宋体" w:cs="宋体"/>
          <w:spacing w:val="-1"/>
          <w:sz w:val="21"/>
          <w:szCs w:val="21"/>
          <w:highlight w:val="none"/>
        </w:rPr>
        <w:t>续、新设备验收手续、售后培训等。</w:t>
      </w:r>
    </w:p>
    <w:p w14:paraId="6F729938">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eastAsia="宋体" w:cs="宋体"/>
          <w:color w:val="auto"/>
          <w:sz w:val="21"/>
          <w:szCs w:val="21"/>
          <w:highlight w:val="none"/>
          <w:lang w:val="zh-CN" w:eastAsia="zh-CN"/>
        </w:rPr>
        <w:t>（详见</w:t>
      </w:r>
      <w:r>
        <w:rPr>
          <w:rFonts w:hint="eastAsia" w:ascii="宋体" w:hAnsi="宋体" w:eastAsia="宋体" w:cs="宋体"/>
          <w:color w:val="auto"/>
          <w:sz w:val="21"/>
          <w:szCs w:val="21"/>
          <w:highlight w:val="none"/>
          <w:lang w:val="en-US" w:eastAsia="zh-CN"/>
        </w:rPr>
        <w:t>附件1：《7至11号电梯土建图》</w:t>
      </w:r>
      <w:r>
        <w:rPr>
          <w:rFonts w:hint="eastAsia" w:ascii="宋体" w:hAnsi="宋体" w:eastAsia="宋体" w:cs="宋体"/>
          <w:color w:val="auto"/>
          <w:sz w:val="21"/>
          <w:szCs w:val="21"/>
          <w:highlight w:val="none"/>
          <w:lang w:val="zh-CN" w:eastAsia="zh-CN"/>
        </w:rPr>
        <w:t>）。</w:t>
      </w:r>
    </w:p>
    <w:p w14:paraId="7291F3FC">
      <w:pPr>
        <w:shd w:val="clear" w:color="auto" w:fill="FFFFFF"/>
        <w:tabs>
          <w:tab w:val="left" w:pos="2908"/>
        </w:tabs>
        <w:spacing w:line="360" w:lineRule="auto"/>
        <w:ind w:right="0" w:firstLine="0" w:firstLine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三、技术参数</w:t>
      </w:r>
      <w:r>
        <w:rPr>
          <w:rFonts w:hint="eastAsia" w:ascii="宋体" w:hAnsi="宋体" w:eastAsia="宋体" w:cs="宋体"/>
          <w:b/>
          <w:bCs/>
          <w:color w:val="auto"/>
          <w:sz w:val="21"/>
          <w:szCs w:val="21"/>
          <w:highlight w:val="none"/>
        </w:rPr>
        <w:t>要求</w:t>
      </w:r>
    </w:p>
    <w:p w14:paraId="13902250">
      <w:pPr>
        <w:widowControl/>
        <w:numPr>
          <w:ilvl w:val="0"/>
          <w:numId w:val="0"/>
        </w:numPr>
        <w:shd w:val="clear" w:color="auto" w:fill="FFFFFF"/>
        <w:tabs>
          <w:tab w:val="left" w:pos="2908"/>
        </w:tabs>
        <w:spacing w:line="360" w:lineRule="auto"/>
        <w:ind w:right="0" w:firstLine="371" w:firstLineChars="177"/>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采购7至11号电梯项目安装载客电梯共5台</w:t>
      </w:r>
    </w:p>
    <w:p w14:paraId="6F6E44FA">
      <w:pPr>
        <w:widowControl/>
        <w:numPr>
          <w:ilvl w:val="0"/>
          <w:numId w:val="0"/>
        </w:numPr>
        <w:shd w:val="clear" w:color="auto" w:fill="FFFFFF"/>
        <w:tabs>
          <w:tab w:val="left" w:pos="2908"/>
        </w:tabs>
        <w:spacing w:line="360" w:lineRule="auto"/>
        <w:ind w:right="0" w:firstLine="371" w:firstLineChars="177"/>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（1）电梯规格技术参数如下：</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500"/>
        <w:gridCol w:w="1467"/>
        <w:gridCol w:w="1453"/>
        <w:gridCol w:w="1458"/>
        <w:gridCol w:w="5"/>
        <w:gridCol w:w="1448"/>
      </w:tblGrid>
      <w:tr w14:paraId="278F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78692BD9">
            <w:pPr>
              <w:pStyle w:val="297"/>
              <w:spacing w:before="91" w:line="221" w:lineRule="auto"/>
              <w:ind w:left="115" w:leftChars="0"/>
              <w:jc w:val="center"/>
              <w:rPr>
                <w:rFonts w:hint="eastAsia" w:ascii="宋体" w:hAnsi="宋体" w:eastAsia="宋体" w:cs="宋体"/>
                <w:kern w:val="2"/>
                <w:sz w:val="21"/>
                <w:szCs w:val="21"/>
                <w:lang w:val="en-US" w:eastAsia="zh-CN" w:bidi="ar-SA"/>
              </w:rPr>
            </w:pPr>
            <w:r>
              <w:rPr>
                <w:spacing w:val="-12"/>
              </w:rPr>
              <w:t>楼号：</w:t>
            </w:r>
          </w:p>
        </w:tc>
        <w:tc>
          <w:tcPr>
            <w:tcW w:w="1500" w:type="dxa"/>
            <w:noWrap w:val="0"/>
            <w:vAlign w:val="center"/>
          </w:tcPr>
          <w:p w14:paraId="6F85A9BA">
            <w:pPr>
              <w:pStyle w:val="297"/>
              <w:spacing w:before="92" w:line="221" w:lineRule="auto"/>
              <w:ind w:left="0" w:leftChars="0"/>
              <w:jc w:val="center"/>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2号楼</w:t>
            </w:r>
          </w:p>
        </w:tc>
        <w:tc>
          <w:tcPr>
            <w:tcW w:w="1467" w:type="dxa"/>
            <w:noWrap w:val="0"/>
            <w:vAlign w:val="center"/>
          </w:tcPr>
          <w:p w14:paraId="77FE1F2F">
            <w:pPr>
              <w:pStyle w:val="297"/>
              <w:spacing w:before="92" w:line="221" w:lineRule="auto"/>
              <w:ind w:left="0" w:leftChars="0"/>
              <w:jc w:val="center"/>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2号楼</w:t>
            </w:r>
          </w:p>
        </w:tc>
        <w:tc>
          <w:tcPr>
            <w:tcW w:w="1453" w:type="dxa"/>
            <w:noWrap w:val="0"/>
            <w:vAlign w:val="center"/>
          </w:tcPr>
          <w:p w14:paraId="655D1D74">
            <w:pPr>
              <w:pStyle w:val="297"/>
              <w:spacing w:before="92" w:line="221" w:lineRule="auto"/>
              <w:ind w:left="0" w:leftChars="0"/>
              <w:jc w:val="center"/>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2号楼</w:t>
            </w:r>
          </w:p>
        </w:tc>
        <w:tc>
          <w:tcPr>
            <w:tcW w:w="1458" w:type="dxa"/>
            <w:noWrap w:val="0"/>
            <w:vAlign w:val="center"/>
          </w:tcPr>
          <w:p w14:paraId="5A1FB5C4">
            <w:pPr>
              <w:pStyle w:val="297"/>
              <w:spacing w:before="92" w:line="221" w:lineRule="auto"/>
              <w:ind w:left="0" w:leftChars="0"/>
              <w:jc w:val="center"/>
              <w:rPr>
                <w:rFonts w:hint="default" w:ascii="宋体" w:hAnsi="宋体" w:eastAsia="宋体" w:cs="宋体"/>
                <w:kern w:val="2"/>
                <w:sz w:val="21"/>
                <w:szCs w:val="21"/>
                <w:lang w:val="en-US" w:eastAsia="zh-CN" w:bidi="ar-SA"/>
              </w:rPr>
            </w:pPr>
            <w:r>
              <w:rPr>
                <w:rFonts w:hint="eastAsia" w:cs="宋体"/>
                <w:kern w:val="2"/>
                <w:sz w:val="21"/>
                <w:szCs w:val="21"/>
                <w:lang w:val="en-US" w:eastAsia="zh-CN" w:bidi="ar-SA"/>
              </w:rPr>
              <w:t>裙楼</w:t>
            </w:r>
          </w:p>
        </w:tc>
        <w:tc>
          <w:tcPr>
            <w:tcW w:w="1453" w:type="dxa"/>
            <w:gridSpan w:val="2"/>
            <w:noWrap w:val="0"/>
            <w:vAlign w:val="center"/>
          </w:tcPr>
          <w:p w14:paraId="02CA3300">
            <w:pPr>
              <w:pStyle w:val="297"/>
              <w:spacing w:before="92" w:line="221" w:lineRule="auto"/>
              <w:ind w:left="0" w:leftChars="0"/>
              <w:jc w:val="center"/>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裙楼</w:t>
            </w:r>
          </w:p>
        </w:tc>
      </w:tr>
      <w:tr w14:paraId="7897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35F043F4">
            <w:pPr>
              <w:pStyle w:val="297"/>
              <w:spacing w:before="75" w:line="221" w:lineRule="auto"/>
              <w:ind w:left="140" w:leftChars="0"/>
              <w:jc w:val="center"/>
              <w:rPr>
                <w:rFonts w:hint="eastAsia" w:ascii="宋体" w:hAnsi="宋体" w:eastAsia="宋体" w:cs="宋体"/>
                <w:kern w:val="2"/>
                <w:sz w:val="21"/>
                <w:szCs w:val="21"/>
                <w:lang w:val="en-US" w:eastAsia="zh-CN" w:bidi="ar-SA"/>
              </w:rPr>
            </w:pPr>
            <w:r>
              <w:rPr>
                <w:spacing w:val="-11"/>
              </w:rPr>
              <w:t>电梯编号：</w:t>
            </w:r>
          </w:p>
        </w:tc>
        <w:tc>
          <w:tcPr>
            <w:tcW w:w="1500" w:type="dxa"/>
            <w:noWrap w:val="0"/>
            <w:vAlign w:val="center"/>
          </w:tcPr>
          <w:p w14:paraId="0D48FA25">
            <w:pPr>
              <w:pStyle w:val="297"/>
              <w:spacing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号</w:t>
            </w:r>
          </w:p>
        </w:tc>
        <w:tc>
          <w:tcPr>
            <w:tcW w:w="1467" w:type="dxa"/>
            <w:noWrap w:val="0"/>
            <w:vAlign w:val="center"/>
          </w:tcPr>
          <w:p w14:paraId="520E5493">
            <w:pPr>
              <w:pStyle w:val="297"/>
              <w:spacing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号</w:t>
            </w:r>
          </w:p>
        </w:tc>
        <w:tc>
          <w:tcPr>
            <w:tcW w:w="1453" w:type="dxa"/>
            <w:noWrap w:val="0"/>
            <w:vAlign w:val="center"/>
          </w:tcPr>
          <w:p w14:paraId="3B653C6A">
            <w:pPr>
              <w:pStyle w:val="297"/>
              <w:spacing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号</w:t>
            </w:r>
          </w:p>
        </w:tc>
        <w:tc>
          <w:tcPr>
            <w:tcW w:w="1458" w:type="dxa"/>
            <w:noWrap w:val="0"/>
            <w:vAlign w:val="center"/>
          </w:tcPr>
          <w:p w14:paraId="733E9588">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号</w:t>
            </w:r>
          </w:p>
        </w:tc>
        <w:tc>
          <w:tcPr>
            <w:tcW w:w="1453" w:type="dxa"/>
            <w:gridSpan w:val="2"/>
            <w:noWrap w:val="0"/>
            <w:vAlign w:val="center"/>
          </w:tcPr>
          <w:p w14:paraId="4025E0F8">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号</w:t>
            </w:r>
          </w:p>
        </w:tc>
      </w:tr>
      <w:tr w14:paraId="79EB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3335FF89">
            <w:pPr>
              <w:pStyle w:val="297"/>
              <w:spacing w:before="75" w:line="221" w:lineRule="auto"/>
              <w:ind w:left="132" w:leftChars="0"/>
              <w:jc w:val="center"/>
              <w:rPr>
                <w:rFonts w:hint="eastAsia" w:ascii="宋体" w:hAnsi="宋体" w:eastAsia="宋体" w:cs="宋体"/>
                <w:kern w:val="2"/>
                <w:sz w:val="21"/>
                <w:szCs w:val="21"/>
                <w:lang w:val="en-US" w:eastAsia="zh-CN" w:bidi="ar-SA"/>
              </w:rPr>
            </w:pPr>
            <w:r>
              <w:rPr>
                <w:spacing w:val="-16"/>
              </w:rPr>
              <w:t>台数：</w:t>
            </w:r>
          </w:p>
        </w:tc>
        <w:tc>
          <w:tcPr>
            <w:tcW w:w="1500" w:type="dxa"/>
            <w:noWrap w:val="0"/>
            <w:vAlign w:val="center"/>
          </w:tcPr>
          <w:p w14:paraId="2CAEF15F">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lang w:val="en-US" w:eastAsia="zh-CN"/>
              </w:rPr>
              <w:t>1台</w:t>
            </w:r>
          </w:p>
        </w:tc>
        <w:tc>
          <w:tcPr>
            <w:tcW w:w="1467" w:type="dxa"/>
            <w:noWrap w:val="0"/>
            <w:vAlign w:val="center"/>
          </w:tcPr>
          <w:p w14:paraId="68BDA8B9">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lang w:val="en-US" w:eastAsia="zh-CN"/>
              </w:rPr>
              <w:t>1台</w:t>
            </w:r>
          </w:p>
        </w:tc>
        <w:tc>
          <w:tcPr>
            <w:tcW w:w="1453" w:type="dxa"/>
            <w:noWrap w:val="0"/>
            <w:vAlign w:val="center"/>
          </w:tcPr>
          <w:p w14:paraId="520587E5">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lang w:val="en-US" w:eastAsia="zh-CN"/>
              </w:rPr>
              <w:t>1台</w:t>
            </w:r>
          </w:p>
        </w:tc>
        <w:tc>
          <w:tcPr>
            <w:tcW w:w="1458" w:type="dxa"/>
            <w:noWrap w:val="0"/>
            <w:vAlign w:val="center"/>
          </w:tcPr>
          <w:p w14:paraId="5E163CD0">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lang w:val="en-US" w:eastAsia="zh-CN"/>
              </w:rPr>
              <w:t>1台</w:t>
            </w:r>
          </w:p>
        </w:tc>
        <w:tc>
          <w:tcPr>
            <w:tcW w:w="1453" w:type="dxa"/>
            <w:gridSpan w:val="2"/>
            <w:noWrap w:val="0"/>
            <w:vAlign w:val="center"/>
          </w:tcPr>
          <w:p w14:paraId="6C00686F">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lang w:val="en-US" w:eastAsia="zh-CN"/>
              </w:rPr>
              <w:t>1台</w:t>
            </w:r>
          </w:p>
        </w:tc>
      </w:tr>
      <w:tr w14:paraId="6DBF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1F7BB0A2">
            <w:pPr>
              <w:pStyle w:val="297"/>
              <w:spacing w:before="128" w:line="215" w:lineRule="auto"/>
              <w:ind w:left="116" w:leftChars="0"/>
              <w:jc w:val="center"/>
              <w:rPr>
                <w:rFonts w:hint="eastAsia" w:ascii="宋体" w:hAnsi="宋体" w:eastAsia="宋体" w:cs="宋体"/>
                <w:kern w:val="2"/>
                <w:sz w:val="21"/>
                <w:szCs w:val="21"/>
                <w:lang w:val="en-US" w:eastAsia="zh-CN" w:bidi="ar-SA"/>
              </w:rPr>
            </w:pPr>
            <w:r>
              <w:rPr>
                <w:rFonts w:hint="eastAsia"/>
                <w:spacing w:val="-1"/>
                <w:lang w:val="en-US" w:eastAsia="zh-CN"/>
              </w:rPr>
              <w:t>额定</w:t>
            </w:r>
            <w:r>
              <w:rPr>
                <w:spacing w:val="-1"/>
              </w:rPr>
              <w:t>载重（kg</w:t>
            </w:r>
            <w:r>
              <w:rPr>
                <w:spacing w:val="-13"/>
              </w:rPr>
              <w:t>）：</w:t>
            </w:r>
          </w:p>
        </w:tc>
        <w:tc>
          <w:tcPr>
            <w:tcW w:w="1500" w:type="dxa"/>
            <w:noWrap w:val="0"/>
            <w:vAlign w:val="center"/>
          </w:tcPr>
          <w:p w14:paraId="361E2F35">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000</w:t>
            </w:r>
          </w:p>
        </w:tc>
        <w:tc>
          <w:tcPr>
            <w:tcW w:w="1467" w:type="dxa"/>
            <w:noWrap w:val="0"/>
            <w:vAlign w:val="center"/>
          </w:tcPr>
          <w:p w14:paraId="135E571A">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000</w:t>
            </w:r>
          </w:p>
        </w:tc>
        <w:tc>
          <w:tcPr>
            <w:tcW w:w="1453" w:type="dxa"/>
            <w:noWrap w:val="0"/>
            <w:vAlign w:val="center"/>
          </w:tcPr>
          <w:p w14:paraId="6BF525CC">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000</w:t>
            </w:r>
          </w:p>
        </w:tc>
        <w:tc>
          <w:tcPr>
            <w:tcW w:w="1458" w:type="dxa"/>
            <w:noWrap w:val="0"/>
            <w:vAlign w:val="center"/>
          </w:tcPr>
          <w:p w14:paraId="00B061E2">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000</w:t>
            </w:r>
          </w:p>
        </w:tc>
        <w:tc>
          <w:tcPr>
            <w:tcW w:w="1453" w:type="dxa"/>
            <w:gridSpan w:val="2"/>
            <w:noWrap w:val="0"/>
            <w:vAlign w:val="center"/>
          </w:tcPr>
          <w:p w14:paraId="6ECDD7C5">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000</w:t>
            </w:r>
          </w:p>
        </w:tc>
      </w:tr>
      <w:tr w14:paraId="6458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4BB4BAC7">
            <w:pPr>
              <w:pStyle w:val="297"/>
              <w:spacing w:before="129" w:line="221" w:lineRule="auto"/>
              <w:ind w:left="115" w:leftChars="0"/>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额定速度</w:t>
            </w:r>
            <w:r>
              <w:rPr>
                <w:spacing w:val="-1"/>
              </w:rPr>
              <w:t>（m/</w:t>
            </w:r>
            <w:r>
              <w:rPr>
                <w:rFonts w:hint="eastAsia"/>
                <w:spacing w:val="-1"/>
                <w:lang w:val="en-US" w:eastAsia="zh-CN"/>
              </w:rPr>
              <w:t>sec</w:t>
            </w:r>
            <w:r>
              <w:rPr>
                <w:spacing w:val="-12"/>
              </w:rPr>
              <w:t>）：</w:t>
            </w:r>
          </w:p>
        </w:tc>
        <w:tc>
          <w:tcPr>
            <w:tcW w:w="1500" w:type="dxa"/>
            <w:noWrap w:val="0"/>
            <w:vAlign w:val="center"/>
          </w:tcPr>
          <w:p w14:paraId="40170BE1">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default" w:ascii="宋体" w:hAnsi="宋体" w:eastAsia="宋体" w:cs="宋体"/>
                <w:sz w:val="21"/>
                <w:szCs w:val="21"/>
                <w:lang w:eastAsia="zh-CN"/>
              </w:rPr>
              <w:t>2</w:t>
            </w:r>
            <w:r>
              <w:rPr>
                <w:rFonts w:hint="default" w:ascii="宋体" w:hAnsi="宋体" w:eastAsia="宋体" w:cs="宋体"/>
                <w:sz w:val="21"/>
                <w:szCs w:val="21"/>
                <w:lang w:val="en-US" w:eastAsia="zh-CN"/>
              </w:rPr>
              <w:t>.5</w:t>
            </w:r>
          </w:p>
        </w:tc>
        <w:tc>
          <w:tcPr>
            <w:tcW w:w="1467" w:type="dxa"/>
            <w:noWrap w:val="0"/>
            <w:vAlign w:val="center"/>
          </w:tcPr>
          <w:p w14:paraId="2E3EDEC5">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default" w:ascii="宋体" w:hAnsi="宋体" w:eastAsia="宋体" w:cs="宋体"/>
                <w:sz w:val="21"/>
                <w:szCs w:val="21"/>
                <w:lang w:eastAsia="zh-CN"/>
              </w:rPr>
              <w:t>2</w:t>
            </w:r>
            <w:r>
              <w:rPr>
                <w:rFonts w:hint="default" w:ascii="宋体" w:hAnsi="宋体" w:eastAsia="宋体" w:cs="宋体"/>
                <w:sz w:val="21"/>
                <w:szCs w:val="21"/>
                <w:lang w:val="en-US" w:eastAsia="zh-CN"/>
              </w:rPr>
              <w:t>.5</w:t>
            </w:r>
          </w:p>
        </w:tc>
        <w:tc>
          <w:tcPr>
            <w:tcW w:w="1453" w:type="dxa"/>
            <w:noWrap w:val="0"/>
            <w:vAlign w:val="center"/>
          </w:tcPr>
          <w:p w14:paraId="350AC6C1">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default" w:ascii="宋体" w:hAnsi="宋体" w:eastAsia="宋体" w:cs="宋体"/>
                <w:sz w:val="21"/>
                <w:szCs w:val="21"/>
                <w:lang w:eastAsia="zh-CN"/>
              </w:rPr>
              <w:t>2</w:t>
            </w:r>
            <w:r>
              <w:rPr>
                <w:rFonts w:hint="default" w:ascii="宋体" w:hAnsi="宋体" w:eastAsia="宋体" w:cs="宋体"/>
                <w:sz w:val="21"/>
                <w:szCs w:val="21"/>
                <w:lang w:val="en-US" w:eastAsia="zh-CN"/>
              </w:rPr>
              <w:t>.5</w:t>
            </w:r>
          </w:p>
        </w:tc>
        <w:tc>
          <w:tcPr>
            <w:tcW w:w="1458" w:type="dxa"/>
            <w:noWrap w:val="0"/>
            <w:vAlign w:val="center"/>
          </w:tcPr>
          <w:p w14:paraId="18ACBB1F">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1.0</w:t>
            </w:r>
          </w:p>
        </w:tc>
        <w:tc>
          <w:tcPr>
            <w:tcW w:w="1453" w:type="dxa"/>
            <w:gridSpan w:val="2"/>
            <w:noWrap w:val="0"/>
            <w:vAlign w:val="center"/>
          </w:tcPr>
          <w:p w14:paraId="01A557E5">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1.0</w:t>
            </w:r>
          </w:p>
        </w:tc>
      </w:tr>
      <w:tr w14:paraId="0ABE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09302122">
            <w:pPr>
              <w:pStyle w:val="297"/>
              <w:spacing w:before="83" w:line="221" w:lineRule="auto"/>
              <w:ind w:left="116" w:leftChars="0"/>
              <w:jc w:val="center"/>
              <w:rPr>
                <w:rFonts w:hint="eastAsia" w:ascii="宋体" w:hAnsi="宋体" w:eastAsia="宋体" w:cs="宋体"/>
                <w:kern w:val="2"/>
                <w:sz w:val="21"/>
                <w:szCs w:val="21"/>
                <w:lang w:val="en-US" w:eastAsia="zh-CN" w:bidi="ar-SA"/>
              </w:rPr>
            </w:pPr>
            <w:r>
              <w:rPr>
                <w:spacing w:val="-2"/>
              </w:rPr>
              <w:t>层</w:t>
            </w:r>
            <w:r>
              <w:rPr>
                <w:rFonts w:hint="eastAsia"/>
                <w:spacing w:val="-2"/>
                <w:lang w:val="en-US" w:eastAsia="zh-CN"/>
              </w:rPr>
              <w:t>/</w:t>
            </w:r>
            <w:r>
              <w:rPr>
                <w:spacing w:val="-2"/>
              </w:rPr>
              <w:t>站：</w:t>
            </w:r>
          </w:p>
        </w:tc>
        <w:tc>
          <w:tcPr>
            <w:tcW w:w="1500" w:type="dxa"/>
            <w:noWrap w:val="0"/>
            <w:vAlign w:val="center"/>
          </w:tcPr>
          <w:p w14:paraId="69758FA2">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23/23</w:t>
            </w:r>
          </w:p>
        </w:tc>
        <w:tc>
          <w:tcPr>
            <w:tcW w:w="1467" w:type="dxa"/>
            <w:noWrap w:val="0"/>
            <w:vAlign w:val="center"/>
          </w:tcPr>
          <w:p w14:paraId="4C89189F">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26/26</w:t>
            </w:r>
          </w:p>
        </w:tc>
        <w:tc>
          <w:tcPr>
            <w:tcW w:w="1453" w:type="dxa"/>
            <w:noWrap w:val="0"/>
            <w:vAlign w:val="center"/>
          </w:tcPr>
          <w:p w14:paraId="544778FF">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25/25</w:t>
            </w:r>
          </w:p>
        </w:tc>
        <w:tc>
          <w:tcPr>
            <w:tcW w:w="1458" w:type="dxa"/>
            <w:noWrap w:val="0"/>
            <w:vAlign w:val="center"/>
          </w:tcPr>
          <w:p w14:paraId="3B0E0A4F">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3/4</w:t>
            </w:r>
          </w:p>
        </w:tc>
        <w:tc>
          <w:tcPr>
            <w:tcW w:w="1453" w:type="dxa"/>
            <w:gridSpan w:val="2"/>
            <w:noWrap w:val="0"/>
            <w:vAlign w:val="center"/>
          </w:tcPr>
          <w:p w14:paraId="1D22DB4F">
            <w:pPr>
              <w:pStyle w:val="297"/>
              <w:spacing w:before="75" w:line="223" w:lineRule="auto"/>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3/4</w:t>
            </w:r>
          </w:p>
        </w:tc>
      </w:tr>
      <w:tr w14:paraId="14CD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6007BEDE">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机房净高度（mm）</w:t>
            </w:r>
          </w:p>
        </w:tc>
        <w:tc>
          <w:tcPr>
            <w:tcW w:w="1500" w:type="dxa"/>
            <w:noWrap w:val="0"/>
            <w:vAlign w:val="center"/>
          </w:tcPr>
          <w:p w14:paraId="71E2C39C">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2500mm</w:t>
            </w:r>
          </w:p>
        </w:tc>
        <w:tc>
          <w:tcPr>
            <w:tcW w:w="1467" w:type="dxa"/>
            <w:noWrap w:val="0"/>
            <w:vAlign w:val="center"/>
          </w:tcPr>
          <w:p w14:paraId="60EF2046">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2500mm</w:t>
            </w:r>
          </w:p>
        </w:tc>
        <w:tc>
          <w:tcPr>
            <w:tcW w:w="1453" w:type="dxa"/>
            <w:noWrap w:val="0"/>
            <w:vAlign w:val="center"/>
          </w:tcPr>
          <w:p w14:paraId="7967BAD1">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2500mm</w:t>
            </w:r>
          </w:p>
        </w:tc>
        <w:tc>
          <w:tcPr>
            <w:tcW w:w="1458" w:type="dxa"/>
            <w:noWrap w:val="0"/>
            <w:vAlign w:val="center"/>
          </w:tcPr>
          <w:p w14:paraId="4899ACF2">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w:t>
            </w:r>
          </w:p>
        </w:tc>
        <w:tc>
          <w:tcPr>
            <w:tcW w:w="1453" w:type="dxa"/>
            <w:gridSpan w:val="2"/>
            <w:noWrap w:val="0"/>
            <w:vAlign w:val="center"/>
          </w:tcPr>
          <w:p w14:paraId="7124B9BB">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w:t>
            </w:r>
          </w:p>
        </w:tc>
      </w:tr>
      <w:tr w14:paraId="753A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59CC3DB7">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顶层高度（mm）</w:t>
            </w:r>
          </w:p>
        </w:tc>
        <w:tc>
          <w:tcPr>
            <w:tcW w:w="1500" w:type="dxa"/>
            <w:noWrap w:val="0"/>
            <w:vAlign w:val="center"/>
          </w:tcPr>
          <w:p w14:paraId="4EC54298">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6400mm</w:t>
            </w:r>
          </w:p>
        </w:tc>
        <w:tc>
          <w:tcPr>
            <w:tcW w:w="1467" w:type="dxa"/>
            <w:noWrap w:val="0"/>
            <w:vAlign w:val="center"/>
          </w:tcPr>
          <w:p w14:paraId="23F26363">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6400mm</w:t>
            </w:r>
          </w:p>
        </w:tc>
        <w:tc>
          <w:tcPr>
            <w:tcW w:w="1453" w:type="dxa"/>
            <w:noWrap w:val="0"/>
            <w:vAlign w:val="center"/>
          </w:tcPr>
          <w:p w14:paraId="49E8623D">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6400mm</w:t>
            </w:r>
          </w:p>
        </w:tc>
        <w:tc>
          <w:tcPr>
            <w:tcW w:w="1458" w:type="dxa"/>
            <w:noWrap w:val="0"/>
            <w:vAlign w:val="center"/>
          </w:tcPr>
          <w:p w14:paraId="45D8DA1E">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4900mm</w:t>
            </w:r>
          </w:p>
        </w:tc>
        <w:tc>
          <w:tcPr>
            <w:tcW w:w="1453" w:type="dxa"/>
            <w:gridSpan w:val="2"/>
            <w:noWrap w:val="0"/>
            <w:vAlign w:val="center"/>
          </w:tcPr>
          <w:p w14:paraId="60F1492D">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4900mm</w:t>
            </w:r>
          </w:p>
        </w:tc>
      </w:tr>
      <w:tr w14:paraId="0831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72D25694">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底坑深度</w:t>
            </w:r>
          </w:p>
        </w:tc>
        <w:tc>
          <w:tcPr>
            <w:tcW w:w="1500" w:type="dxa"/>
            <w:noWrap w:val="0"/>
            <w:vAlign w:val="center"/>
          </w:tcPr>
          <w:p w14:paraId="1A029242">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2100mm</w:t>
            </w:r>
          </w:p>
        </w:tc>
        <w:tc>
          <w:tcPr>
            <w:tcW w:w="1467" w:type="dxa"/>
            <w:noWrap w:val="0"/>
            <w:vAlign w:val="center"/>
          </w:tcPr>
          <w:p w14:paraId="3B17334D">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2100mm</w:t>
            </w:r>
          </w:p>
        </w:tc>
        <w:tc>
          <w:tcPr>
            <w:tcW w:w="1453" w:type="dxa"/>
            <w:noWrap w:val="0"/>
            <w:vAlign w:val="center"/>
          </w:tcPr>
          <w:p w14:paraId="3AB76046">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2100mm</w:t>
            </w:r>
          </w:p>
        </w:tc>
        <w:tc>
          <w:tcPr>
            <w:tcW w:w="1458" w:type="dxa"/>
            <w:noWrap w:val="0"/>
            <w:vAlign w:val="center"/>
          </w:tcPr>
          <w:p w14:paraId="41145824">
            <w:pPr>
              <w:pStyle w:val="297"/>
              <w:spacing w:before="83" w:line="221" w:lineRule="auto"/>
              <w:ind w:left="116"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1600mm</w:t>
            </w:r>
          </w:p>
        </w:tc>
        <w:tc>
          <w:tcPr>
            <w:tcW w:w="1453" w:type="dxa"/>
            <w:gridSpan w:val="2"/>
            <w:noWrap w:val="0"/>
            <w:vAlign w:val="center"/>
          </w:tcPr>
          <w:p w14:paraId="7623DB3A">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1600mm</w:t>
            </w:r>
          </w:p>
        </w:tc>
      </w:tr>
      <w:tr w14:paraId="5908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0B1840DD">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井道尺寸(宽×深)</w:t>
            </w:r>
          </w:p>
        </w:tc>
        <w:tc>
          <w:tcPr>
            <w:tcW w:w="1500" w:type="dxa"/>
            <w:noWrap w:val="0"/>
            <w:vAlign w:val="center"/>
          </w:tcPr>
          <w:p w14:paraId="23C33E52">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2300mm×2100mm</w:t>
            </w:r>
          </w:p>
        </w:tc>
        <w:tc>
          <w:tcPr>
            <w:tcW w:w="1467" w:type="dxa"/>
            <w:noWrap w:val="0"/>
            <w:vAlign w:val="center"/>
          </w:tcPr>
          <w:p w14:paraId="1B3F00FE">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2300mm×2100mm</w:t>
            </w:r>
          </w:p>
        </w:tc>
        <w:tc>
          <w:tcPr>
            <w:tcW w:w="1453" w:type="dxa"/>
            <w:noWrap w:val="0"/>
            <w:vAlign w:val="center"/>
          </w:tcPr>
          <w:p w14:paraId="1FCB947B">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2300mm×2100mm</w:t>
            </w:r>
          </w:p>
        </w:tc>
        <w:tc>
          <w:tcPr>
            <w:tcW w:w="1458" w:type="dxa"/>
            <w:noWrap w:val="0"/>
            <w:vAlign w:val="center"/>
          </w:tcPr>
          <w:p w14:paraId="3B2E4E73">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2300mm×2400mm</w:t>
            </w:r>
          </w:p>
        </w:tc>
        <w:tc>
          <w:tcPr>
            <w:tcW w:w="1453" w:type="dxa"/>
            <w:gridSpan w:val="2"/>
            <w:noWrap w:val="0"/>
            <w:vAlign w:val="center"/>
          </w:tcPr>
          <w:p w14:paraId="4EC5FA12">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2300mm×2400mm</w:t>
            </w:r>
          </w:p>
        </w:tc>
      </w:tr>
      <w:tr w14:paraId="0B8F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47C47555">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门洞尺寸(mm)(宽×高)</w:t>
            </w:r>
          </w:p>
        </w:tc>
        <w:tc>
          <w:tcPr>
            <w:tcW w:w="1500" w:type="dxa"/>
            <w:noWrap w:val="0"/>
            <w:vAlign w:val="center"/>
          </w:tcPr>
          <w:p w14:paraId="19ED6E36">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1200mm×2200mm</w:t>
            </w:r>
          </w:p>
        </w:tc>
        <w:tc>
          <w:tcPr>
            <w:tcW w:w="1467" w:type="dxa"/>
            <w:noWrap w:val="0"/>
            <w:vAlign w:val="center"/>
          </w:tcPr>
          <w:p w14:paraId="7171D4DE">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1200mm×2200mm</w:t>
            </w:r>
          </w:p>
        </w:tc>
        <w:tc>
          <w:tcPr>
            <w:tcW w:w="1453" w:type="dxa"/>
            <w:noWrap w:val="0"/>
            <w:vAlign w:val="center"/>
          </w:tcPr>
          <w:p w14:paraId="05922786">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1200mm×2200mm</w:t>
            </w:r>
          </w:p>
        </w:tc>
        <w:tc>
          <w:tcPr>
            <w:tcW w:w="1458" w:type="dxa"/>
            <w:noWrap w:val="0"/>
            <w:vAlign w:val="center"/>
          </w:tcPr>
          <w:p w14:paraId="1B3D807F">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1100mm×2200mm</w:t>
            </w:r>
          </w:p>
        </w:tc>
        <w:tc>
          <w:tcPr>
            <w:tcW w:w="1453" w:type="dxa"/>
            <w:gridSpan w:val="2"/>
            <w:noWrap w:val="0"/>
            <w:vAlign w:val="center"/>
          </w:tcPr>
          <w:p w14:paraId="34CF5929">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1100mm×2200mm</w:t>
            </w:r>
          </w:p>
        </w:tc>
      </w:tr>
      <w:tr w14:paraId="6384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58D7BCA8">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净门尺寸(mm)(宽×高)</w:t>
            </w:r>
          </w:p>
        </w:tc>
        <w:tc>
          <w:tcPr>
            <w:tcW w:w="1500" w:type="dxa"/>
            <w:noWrap w:val="0"/>
            <w:vAlign w:val="center"/>
          </w:tcPr>
          <w:p w14:paraId="21EF82A9">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1000mm×2100mm</w:t>
            </w:r>
          </w:p>
        </w:tc>
        <w:tc>
          <w:tcPr>
            <w:tcW w:w="1467" w:type="dxa"/>
            <w:noWrap w:val="0"/>
            <w:vAlign w:val="center"/>
          </w:tcPr>
          <w:p w14:paraId="746BA01E">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1000mm×2100mm</w:t>
            </w:r>
          </w:p>
        </w:tc>
        <w:tc>
          <w:tcPr>
            <w:tcW w:w="1453" w:type="dxa"/>
            <w:noWrap w:val="0"/>
            <w:vAlign w:val="center"/>
          </w:tcPr>
          <w:p w14:paraId="36524109">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1000mm×2100mm</w:t>
            </w:r>
          </w:p>
        </w:tc>
        <w:tc>
          <w:tcPr>
            <w:tcW w:w="1458" w:type="dxa"/>
            <w:noWrap w:val="0"/>
            <w:vAlign w:val="center"/>
          </w:tcPr>
          <w:p w14:paraId="0B2B9BD4">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900mm×2100mm</w:t>
            </w:r>
          </w:p>
        </w:tc>
        <w:tc>
          <w:tcPr>
            <w:tcW w:w="1453" w:type="dxa"/>
            <w:gridSpan w:val="2"/>
            <w:noWrap w:val="0"/>
            <w:vAlign w:val="center"/>
          </w:tcPr>
          <w:p w14:paraId="415B9240">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900mm×2100mm</w:t>
            </w:r>
          </w:p>
        </w:tc>
      </w:tr>
      <w:tr w14:paraId="4D25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1C58C97C">
            <w:pPr>
              <w:pStyle w:val="297"/>
              <w:spacing w:before="83" w:line="221" w:lineRule="auto"/>
              <w:ind w:left="0" w:leftChars="0"/>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机房位置</w:t>
            </w:r>
          </w:p>
        </w:tc>
        <w:tc>
          <w:tcPr>
            <w:tcW w:w="1500" w:type="dxa"/>
            <w:noWrap w:val="0"/>
            <w:vAlign w:val="center"/>
          </w:tcPr>
          <w:p w14:paraId="48C68F37">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有机房电梯井道顶部</w:t>
            </w:r>
          </w:p>
        </w:tc>
        <w:tc>
          <w:tcPr>
            <w:tcW w:w="1467" w:type="dxa"/>
            <w:noWrap w:val="0"/>
            <w:vAlign w:val="center"/>
          </w:tcPr>
          <w:p w14:paraId="2EC1709D">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有机房电梯井道顶部</w:t>
            </w:r>
          </w:p>
        </w:tc>
        <w:tc>
          <w:tcPr>
            <w:tcW w:w="1453" w:type="dxa"/>
            <w:noWrap w:val="0"/>
            <w:vAlign w:val="center"/>
          </w:tcPr>
          <w:p w14:paraId="36C23D6D">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有机房电梯井道顶部</w:t>
            </w:r>
          </w:p>
        </w:tc>
        <w:tc>
          <w:tcPr>
            <w:tcW w:w="1458" w:type="dxa"/>
            <w:noWrap w:val="0"/>
            <w:vAlign w:val="center"/>
          </w:tcPr>
          <w:p w14:paraId="7EDF74A5">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无机房电梯井道顶部</w:t>
            </w:r>
          </w:p>
        </w:tc>
        <w:tc>
          <w:tcPr>
            <w:tcW w:w="1453" w:type="dxa"/>
            <w:gridSpan w:val="2"/>
            <w:noWrap w:val="0"/>
            <w:vAlign w:val="center"/>
          </w:tcPr>
          <w:p w14:paraId="789D5BCE">
            <w:pPr>
              <w:pStyle w:val="297"/>
              <w:spacing w:before="83" w:line="221" w:lineRule="auto"/>
              <w:jc w:val="center"/>
              <w:rPr>
                <w:rFonts w:hint="eastAsia" w:ascii="宋体" w:hAnsi="宋体" w:eastAsia="宋体" w:cs="宋体"/>
                <w:spacing w:val="-2"/>
                <w:kern w:val="2"/>
                <w:sz w:val="21"/>
                <w:szCs w:val="21"/>
                <w:lang w:val="en-US" w:eastAsia="zh-CN" w:bidi="ar-SA"/>
              </w:rPr>
            </w:pPr>
            <w:r>
              <w:rPr>
                <w:rFonts w:hint="default" w:ascii="宋体" w:hAnsi="宋体" w:eastAsia="宋体" w:cs="宋体"/>
                <w:spacing w:val="-2"/>
                <w:sz w:val="21"/>
                <w:szCs w:val="21"/>
                <w:lang w:val="en-US" w:eastAsia="zh-CN"/>
              </w:rPr>
              <w:t>无机房电梯井道顶部</w:t>
            </w:r>
          </w:p>
        </w:tc>
      </w:tr>
      <w:tr w14:paraId="2937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79CDC952">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电源</w:t>
            </w:r>
          </w:p>
        </w:tc>
        <w:tc>
          <w:tcPr>
            <w:tcW w:w="1500" w:type="dxa"/>
            <w:noWrap w:val="0"/>
            <w:vAlign w:val="center"/>
          </w:tcPr>
          <w:p w14:paraId="267B8226">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动力电源：三相四线制交流380伏50Hz。</w:t>
            </w:r>
          </w:p>
          <w:p w14:paraId="77B22FB3">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照明电源：单相交流220伏50Hz。</w:t>
            </w:r>
          </w:p>
        </w:tc>
        <w:tc>
          <w:tcPr>
            <w:tcW w:w="1467" w:type="dxa"/>
            <w:noWrap w:val="0"/>
            <w:vAlign w:val="center"/>
          </w:tcPr>
          <w:p w14:paraId="0154F47C">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动力电源：三相四线制交流380伏50Hz。</w:t>
            </w:r>
          </w:p>
          <w:p w14:paraId="4D06B81E">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照明电源：单相交流220伏50Hz。</w:t>
            </w:r>
          </w:p>
        </w:tc>
        <w:tc>
          <w:tcPr>
            <w:tcW w:w="1453" w:type="dxa"/>
            <w:noWrap w:val="0"/>
            <w:vAlign w:val="center"/>
          </w:tcPr>
          <w:p w14:paraId="095F6176">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动力电源：三相四线制交流380伏50Hz。</w:t>
            </w:r>
          </w:p>
          <w:p w14:paraId="58AA1771">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照明电源：单相交流220伏50Hz。</w:t>
            </w:r>
          </w:p>
        </w:tc>
        <w:tc>
          <w:tcPr>
            <w:tcW w:w="1458" w:type="dxa"/>
            <w:noWrap w:val="0"/>
            <w:vAlign w:val="center"/>
          </w:tcPr>
          <w:p w14:paraId="035C35A8">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动力电源：三相四线制交流380伏50Hz。</w:t>
            </w:r>
          </w:p>
          <w:p w14:paraId="7851E838">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照明电源：单相交流220伏50Hz。</w:t>
            </w:r>
          </w:p>
        </w:tc>
        <w:tc>
          <w:tcPr>
            <w:tcW w:w="1453" w:type="dxa"/>
            <w:gridSpan w:val="2"/>
            <w:noWrap w:val="0"/>
            <w:vAlign w:val="center"/>
          </w:tcPr>
          <w:p w14:paraId="657BE59D">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动力电源：三相四线制交流380伏50Hz。</w:t>
            </w:r>
          </w:p>
          <w:p w14:paraId="10EC5DE9">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照明电源：单相交流220伏50Hz。</w:t>
            </w:r>
          </w:p>
        </w:tc>
      </w:tr>
      <w:tr w14:paraId="11A0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26DE002B">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控制</w:t>
            </w:r>
            <w:r>
              <w:rPr>
                <w:rFonts w:hint="eastAsia" w:cs="宋体"/>
                <w:spacing w:val="-2"/>
                <w:kern w:val="2"/>
                <w:sz w:val="21"/>
                <w:szCs w:val="21"/>
                <w:lang w:val="en-US" w:eastAsia="zh-CN" w:bidi="ar-SA"/>
              </w:rPr>
              <w:t>与</w:t>
            </w:r>
            <w:r>
              <w:rPr>
                <w:rFonts w:hint="eastAsia" w:ascii="宋体" w:hAnsi="宋体" w:eastAsia="宋体" w:cs="宋体"/>
                <w:spacing w:val="-2"/>
                <w:kern w:val="2"/>
                <w:sz w:val="21"/>
                <w:szCs w:val="21"/>
                <w:lang w:val="en-US" w:eastAsia="zh-CN" w:bidi="ar-SA"/>
              </w:rPr>
              <w:t>驱动系统</w:t>
            </w:r>
          </w:p>
        </w:tc>
        <w:tc>
          <w:tcPr>
            <w:tcW w:w="1500" w:type="dxa"/>
            <w:noWrap w:val="0"/>
            <w:vAlign w:val="center"/>
          </w:tcPr>
          <w:p w14:paraId="545AE6E7">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一个以上32位CPU的全电脑智能化网络控制</w:t>
            </w:r>
            <w:r>
              <w:rPr>
                <w:rFonts w:hint="eastAsia" w:cs="宋体"/>
                <w:spacing w:val="-2"/>
                <w:sz w:val="21"/>
                <w:szCs w:val="21"/>
                <w:lang w:val="en-US" w:eastAsia="zh-CN"/>
              </w:rPr>
              <w:t>，</w:t>
            </w:r>
            <w:r>
              <w:rPr>
                <w:rFonts w:hint="eastAsia" w:ascii="宋体" w:hAnsi="宋体" w:eastAsia="宋体" w:cs="宋体"/>
                <w:spacing w:val="-2"/>
                <w:sz w:val="21"/>
                <w:szCs w:val="21"/>
                <w:lang w:val="en-US" w:eastAsia="zh-CN"/>
              </w:rPr>
              <w:t>微机控制交流变频调压调速</w:t>
            </w:r>
          </w:p>
          <w:p w14:paraId="5EB1E187">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（进口部件）</w:t>
            </w:r>
          </w:p>
        </w:tc>
        <w:tc>
          <w:tcPr>
            <w:tcW w:w="1467" w:type="dxa"/>
            <w:noWrap w:val="0"/>
            <w:vAlign w:val="center"/>
          </w:tcPr>
          <w:p w14:paraId="161E3CA2">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一个以上32位CPU的全电脑智能化网络控制</w:t>
            </w:r>
            <w:r>
              <w:rPr>
                <w:rFonts w:hint="eastAsia" w:cs="宋体"/>
                <w:spacing w:val="-2"/>
                <w:sz w:val="21"/>
                <w:szCs w:val="21"/>
                <w:lang w:val="en-US" w:eastAsia="zh-CN"/>
              </w:rPr>
              <w:t>，</w:t>
            </w:r>
            <w:r>
              <w:rPr>
                <w:rFonts w:hint="eastAsia" w:ascii="宋体" w:hAnsi="宋体" w:eastAsia="宋体" w:cs="宋体"/>
                <w:spacing w:val="-2"/>
                <w:sz w:val="21"/>
                <w:szCs w:val="21"/>
                <w:lang w:val="en-US" w:eastAsia="zh-CN"/>
              </w:rPr>
              <w:t>微机控制交流变频调压调速</w:t>
            </w:r>
          </w:p>
          <w:p w14:paraId="5116CD85">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（进口部件）</w:t>
            </w:r>
          </w:p>
        </w:tc>
        <w:tc>
          <w:tcPr>
            <w:tcW w:w="1453" w:type="dxa"/>
            <w:noWrap w:val="0"/>
            <w:vAlign w:val="center"/>
          </w:tcPr>
          <w:p w14:paraId="5C5B3DF1">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一个以上32位CPU的全电脑智能化网络控制</w:t>
            </w:r>
            <w:r>
              <w:rPr>
                <w:rFonts w:hint="eastAsia" w:cs="宋体"/>
                <w:spacing w:val="-2"/>
                <w:sz w:val="21"/>
                <w:szCs w:val="21"/>
                <w:lang w:val="en-US" w:eastAsia="zh-CN"/>
              </w:rPr>
              <w:t>，</w:t>
            </w:r>
            <w:r>
              <w:rPr>
                <w:rFonts w:hint="eastAsia" w:ascii="宋体" w:hAnsi="宋体" w:eastAsia="宋体" w:cs="宋体"/>
                <w:spacing w:val="-2"/>
                <w:sz w:val="21"/>
                <w:szCs w:val="21"/>
                <w:lang w:val="en-US" w:eastAsia="zh-CN"/>
              </w:rPr>
              <w:t>微机控制交流变频调压调速</w:t>
            </w:r>
          </w:p>
          <w:p w14:paraId="0C5D1670">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（进口部件）</w:t>
            </w:r>
          </w:p>
        </w:tc>
        <w:tc>
          <w:tcPr>
            <w:tcW w:w="1458" w:type="dxa"/>
            <w:noWrap w:val="0"/>
            <w:vAlign w:val="center"/>
          </w:tcPr>
          <w:p w14:paraId="1A0CE3CF">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一个以上32位CPU的全电脑智能化网络控制</w:t>
            </w:r>
            <w:r>
              <w:rPr>
                <w:rFonts w:hint="eastAsia" w:cs="宋体"/>
                <w:spacing w:val="-2"/>
                <w:sz w:val="21"/>
                <w:szCs w:val="21"/>
                <w:lang w:val="en-US" w:eastAsia="zh-CN"/>
              </w:rPr>
              <w:t>，</w:t>
            </w:r>
            <w:r>
              <w:rPr>
                <w:rFonts w:hint="eastAsia" w:ascii="宋体" w:hAnsi="宋体" w:eastAsia="宋体" w:cs="宋体"/>
                <w:spacing w:val="-2"/>
                <w:sz w:val="21"/>
                <w:szCs w:val="21"/>
                <w:lang w:val="en-US" w:eastAsia="zh-CN"/>
              </w:rPr>
              <w:t>微机控制交流变频调压调速</w:t>
            </w:r>
          </w:p>
          <w:p w14:paraId="524A8923">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（进口部件）</w:t>
            </w:r>
          </w:p>
        </w:tc>
        <w:tc>
          <w:tcPr>
            <w:tcW w:w="1453" w:type="dxa"/>
            <w:gridSpan w:val="2"/>
            <w:noWrap w:val="0"/>
            <w:vAlign w:val="center"/>
          </w:tcPr>
          <w:p w14:paraId="033D0C68">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一个以上32位CPU的全电脑智能化网络控制</w:t>
            </w:r>
            <w:r>
              <w:rPr>
                <w:rFonts w:hint="eastAsia" w:cs="宋体"/>
                <w:spacing w:val="-2"/>
                <w:sz w:val="21"/>
                <w:szCs w:val="21"/>
                <w:lang w:val="en-US" w:eastAsia="zh-CN"/>
              </w:rPr>
              <w:t>，</w:t>
            </w:r>
            <w:r>
              <w:rPr>
                <w:rFonts w:hint="eastAsia" w:ascii="宋体" w:hAnsi="宋体" w:eastAsia="宋体" w:cs="宋体"/>
                <w:spacing w:val="-2"/>
                <w:sz w:val="21"/>
                <w:szCs w:val="21"/>
                <w:lang w:val="en-US" w:eastAsia="zh-CN"/>
              </w:rPr>
              <w:t>微机控制交流变频调压调速</w:t>
            </w:r>
          </w:p>
          <w:p w14:paraId="681AD7AE">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（进口部件）</w:t>
            </w:r>
          </w:p>
        </w:tc>
      </w:tr>
      <w:tr w14:paraId="6766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2B3A2A43">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曳引机</w:t>
            </w:r>
          </w:p>
        </w:tc>
        <w:tc>
          <w:tcPr>
            <w:tcW w:w="1500" w:type="dxa"/>
            <w:noWrap w:val="0"/>
            <w:vAlign w:val="center"/>
          </w:tcPr>
          <w:p w14:paraId="5DBF8A1D">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永磁同步无齿轮曳引机（需为进口部件）</w:t>
            </w:r>
          </w:p>
        </w:tc>
        <w:tc>
          <w:tcPr>
            <w:tcW w:w="1467" w:type="dxa"/>
            <w:noWrap w:val="0"/>
            <w:vAlign w:val="center"/>
          </w:tcPr>
          <w:p w14:paraId="0D4C4233">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永磁同步无齿轮曳引机（需为进口部件）</w:t>
            </w:r>
          </w:p>
        </w:tc>
        <w:tc>
          <w:tcPr>
            <w:tcW w:w="1453" w:type="dxa"/>
            <w:noWrap w:val="0"/>
            <w:vAlign w:val="center"/>
          </w:tcPr>
          <w:p w14:paraId="19B11C86">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永磁同步无齿轮曳引机（需为进口部件）</w:t>
            </w:r>
          </w:p>
        </w:tc>
        <w:tc>
          <w:tcPr>
            <w:tcW w:w="1463" w:type="dxa"/>
            <w:gridSpan w:val="2"/>
            <w:noWrap w:val="0"/>
            <w:vAlign w:val="center"/>
          </w:tcPr>
          <w:p w14:paraId="6623F092">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永磁同步无齿轮曳引机（需为进口部件）</w:t>
            </w:r>
          </w:p>
        </w:tc>
        <w:tc>
          <w:tcPr>
            <w:tcW w:w="1448" w:type="dxa"/>
            <w:noWrap w:val="0"/>
            <w:vAlign w:val="center"/>
          </w:tcPr>
          <w:p w14:paraId="6126FE49">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永磁同步无齿轮曳引机（需为进口部件）</w:t>
            </w:r>
          </w:p>
        </w:tc>
      </w:tr>
      <w:tr w14:paraId="4F31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0FC13FD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控制方式</w:t>
            </w:r>
          </w:p>
        </w:tc>
        <w:tc>
          <w:tcPr>
            <w:tcW w:w="1500" w:type="dxa"/>
            <w:noWrap w:val="0"/>
            <w:vAlign w:val="center"/>
          </w:tcPr>
          <w:p w14:paraId="1F0E9483">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7-9号梯高级智能群控</w:t>
            </w:r>
          </w:p>
        </w:tc>
        <w:tc>
          <w:tcPr>
            <w:tcW w:w="1467" w:type="dxa"/>
            <w:noWrap w:val="0"/>
            <w:vAlign w:val="center"/>
          </w:tcPr>
          <w:p w14:paraId="3C55CC68">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7-9号梯高级智能群控</w:t>
            </w:r>
          </w:p>
        </w:tc>
        <w:tc>
          <w:tcPr>
            <w:tcW w:w="1453" w:type="dxa"/>
            <w:noWrap w:val="0"/>
            <w:vAlign w:val="center"/>
          </w:tcPr>
          <w:p w14:paraId="3F611ED6">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7-9号梯高级智能群控</w:t>
            </w:r>
          </w:p>
        </w:tc>
        <w:tc>
          <w:tcPr>
            <w:tcW w:w="1458" w:type="dxa"/>
            <w:noWrap w:val="0"/>
            <w:vAlign w:val="center"/>
          </w:tcPr>
          <w:p w14:paraId="4BE64A8B">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10、11号梯并联</w:t>
            </w:r>
          </w:p>
        </w:tc>
        <w:tc>
          <w:tcPr>
            <w:tcW w:w="1453" w:type="dxa"/>
            <w:gridSpan w:val="2"/>
            <w:noWrap w:val="0"/>
            <w:vAlign w:val="center"/>
          </w:tcPr>
          <w:p w14:paraId="3B0AC9E1">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10、11号梯并联</w:t>
            </w:r>
          </w:p>
        </w:tc>
      </w:tr>
      <w:tr w14:paraId="7CA0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6FD516F6">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门机系统</w:t>
            </w:r>
          </w:p>
        </w:tc>
        <w:tc>
          <w:tcPr>
            <w:tcW w:w="1500" w:type="dxa"/>
            <w:noWrap w:val="0"/>
            <w:vAlign w:val="center"/>
          </w:tcPr>
          <w:p w14:paraId="0098ECAE">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变频无连杆门机（进口部件）</w:t>
            </w:r>
          </w:p>
        </w:tc>
        <w:tc>
          <w:tcPr>
            <w:tcW w:w="1467" w:type="dxa"/>
            <w:noWrap w:val="0"/>
            <w:vAlign w:val="center"/>
          </w:tcPr>
          <w:p w14:paraId="4B936D0C">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变频无连杆门机（进口部件）</w:t>
            </w:r>
          </w:p>
        </w:tc>
        <w:tc>
          <w:tcPr>
            <w:tcW w:w="1453" w:type="dxa"/>
            <w:noWrap w:val="0"/>
            <w:vAlign w:val="center"/>
          </w:tcPr>
          <w:p w14:paraId="125DBF5A">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变频无连杆门机（进口部件）</w:t>
            </w:r>
          </w:p>
        </w:tc>
        <w:tc>
          <w:tcPr>
            <w:tcW w:w="1463" w:type="dxa"/>
            <w:gridSpan w:val="2"/>
            <w:noWrap w:val="0"/>
            <w:vAlign w:val="center"/>
          </w:tcPr>
          <w:p w14:paraId="16E9690C">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变频无连杆门机（进口部件）</w:t>
            </w:r>
          </w:p>
        </w:tc>
        <w:tc>
          <w:tcPr>
            <w:tcW w:w="1448" w:type="dxa"/>
            <w:noWrap w:val="0"/>
            <w:vAlign w:val="center"/>
          </w:tcPr>
          <w:p w14:paraId="66026FDE">
            <w:pPr>
              <w:pStyle w:val="297"/>
              <w:spacing w:before="83" w:line="221" w:lineRule="auto"/>
              <w:jc w:val="center"/>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变频无连杆门机（进口部件）</w:t>
            </w:r>
          </w:p>
        </w:tc>
      </w:tr>
      <w:tr w14:paraId="160C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379F6694">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门保护系统</w:t>
            </w:r>
          </w:p>
        </w:tc>
        <w:tc>
          <w:tcPr>
            <w:tcW w:w="1500" w:type="dxa"/>
            <w:noWrap w:val="0"/>
            <w:vAlign w:val="center"/>
          </w:tcPr>
          <w:p w14:paraId="52419B65">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红外线光幕</w:t>
            </w:r>
          </w:p>
        </w:tc>
        <w:tc>
          <w:tcPr>
            <w:tcW w:w="1467" w:type="dxa"/>
            <w:noWrap w:val="0"/>
            <w:vAlign w:val="center"/>
          </w:tcPr>
          <w:p w14:paraId="0998ECE2">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红外线光幕</w:t>
            </w:r>
          </w:p>
        </w:tc>
        <w:tc>
          <w:tcPr>
            <w:tcW w:w="1453" w:type="dxa"/>
            <w:noWrap w:val="0"/>
            <w:vAlign w:val="center"/>
          </w:tcPr>
          <w:p w14:paraId="13046956">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红外线光幕</w:t>
            </w:r>
          </w:p>
        </w:tc>
        <w:tc>
          <w:tcPr>
            <w:tcW w:w="1458" w:type="dxa"/>
            <w:noWrap w:val="0"/>
            <w:vAlign w:val="center"/>
          </w:tcPr>
          <w:p w14:paraId="7CD0EA0F">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红外线光幕</w:t>
            </w:r>
          </w:p>
        </w:tc>
        <w:tc>
          <w:tcPr>
            <w:tcW w:w="1453" w:type="dxa"/>
            <w:gridSpan w:val="2"/>
            <w:noWrap w:val="0"/>
            <w:vAlign w:val="center"/>
          </w:tcPr>
          <w:p w14:paraId="7452AC69">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红外线光幕</w:t>
            </w:r>
          </w:p>
        </w:tc>
      </w:tr>
      <w:tr w14:paraId="01825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3653F04A">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开门方式</w:t>
            </w:r>
          </w:p>
        </w:tc>
        <w:tc>
          <w:tcPr>
            <w:tcW w:w="1500" w:type="dxa"/>
            <w:noWrap w:val="0"/>
            <w:vAlign w:val="center"/>
          </w:tcPr>
          <w:p w14:paraId="20CB734B">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中分双扇门</w:t>
            </w:r>
          </w:p>
        </w:tc>
        <w:tc>
          <w:tcPr>
            <w:tcW w:w="1467" w:type="dxa"/>
            <w:noWrap w:val="0"/>
            <w:vAlign w:val="center"/>
          </w:tcPr>
          <w:p w14:paraId="4E001D7B">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中分双扇门</w:t>
            </w:r>
          </w:p>
        </w:tc>
        <w:tc>
          <w:tcPr>
            <w:tcW w:w="1453" w:type="dxa"/>
            <w:noWrap w:val="0"/>
            <w:vAlign w:val="center"/>
          </w:tcPr>
          <w:p w14:paraId="78186D7B">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中分双扇门</w:t>
            </w:r>
          </w:p>
        </w:tc>
        <w:tc>
          <w:tcPr>
            <w:tcW w:w="1458" w:type="dxa"/>
            <w:noWrap w:val="0"/>
            <w:vAlign w:val="center"/>
          </w:tcPr>
          <w:p w14:paraId="23AD65D7">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中分双扇门</w:t>
            </w:r>
          </w:p>
        </w:tc>
        <w:tc>
          <w:tcPr>
            <w:tcW w:w="1453" w:type="dxa"/>
            <w:gridSpan w:val="2"/>
            <w:noWrap w:val="0"/>
            <w:vAlign w:val="center"/>
          </w:tcPr>
          <w:p w14:paraId="07E18682">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中分双扇门</w:t>
            </w:r>
          </w:p>
        </w:tc>
      </w:tr>
      <w:tr w14:paraId="4388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3D0201F3">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开门宽度尺寸</w:t>
            </w:r>
          </w:p>
        </w:tc>
        <w:tc>
          <w:tcPr>
            <w:tcW w:w="1500" w:type="dxa"/>
            <w:noWrap w:val="0"/>
            <w:vAlign w:val="center"/>
          </w:tcPr>
          <w:p w14:paraId="1F4DCEEF">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7-9号梯开门不小于1000mm</w:t>
            </w:r>
          </w:p>
        </w:tc>
        <w:tc>
          <w:tcPr>
            <w:tcW w:w="1467" w:type="dxa"/>
            <w:noWrap w:val="0"/>
            <w:vAlign w:val="center"/>
          </w:tcPr>
          <w:p w14:paraId="554343D9">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7-9号梯开门不小于1000mm</w:t>
            </w:r>
          </w:p>
        </w:tc>
        <w:tc>
          <w:tcPr>
            <w:tcW w:w="1453" w:type="dxa"/>
            <w:noWrap w:val="0"/>
            <w:vAlign w:val="center"/>
          </w:tcPr>
          <w:p w14:paraId="0ACB8D2B">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7-9号梯开门不小于1000mm</w:t>
            </w:r>
          </w:p>
        </w:tc>
        <w:tc>
          <w:tcPr>
            <w:tcW w:w="1458" w:type="dxa"/>
            <w:noWrap w:val="0"/>
            <w:vAlign w:val="center"/>
          </w:tcPr>
          <w:p w14:paraId="020E8C7D">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10、11号梯开门不小于900mm</w:t>
            </w:r>
          </w:p>
        </w:tc>
        <w:tc>
          <w:tcPr>
            <w:tcW w:w="1453" w:type="dxa"/>
            <w:gridSpan w:val="2"/>
            <w:noWrap w:val="0"/>
            <w:vAlign w:val="center"/>
          </w:tcPr>
          <w:p w14:paraId="3D95A7AD">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10、11号梯开门不小于900mm</w:t>
            </w:r>
          </w:p>
        </w:tc>
      </w:tr>
      <w:tr w14:paraId="0803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2D26BD23">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轿厢尺寸(mm)</w:t>
            </w:r>
          </w:p>
        </w:tc>
        <w:tc>
          <w:tcPr>
            <w:tcW w:w="1500" w:type="dxa"/>
            <w:noWrap w:val="0"/>
            <w:vAlign w:val="center"/>
          </w:tcPr>
          <w:p w14:paraId="2628D1DD">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投标人按载重量要求提供</w:t>
            </w:r>
          </w:p>
        </w:tc>
        <w:tc>
          <w:tcPr>
            <w:tcW w:w="1467" w:type="dxa"/>
            <w:noWrap w:val="0"/>
            <w:vAlign w:val="center"/>
          </w:tcPr>
          <w:p w14:paraId="74A3DBDB">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投标人按载重量要求提供</w:t>
            </w:r>
          </w:p>
        </w:tc>
        <w:tc>
          <w:tcPr>
            <w:tcW w:w="1453" w:type="dxa"/>
            <w:noWrap w:val="0"/>
            <w:vAlign w:val="center"/>
          </w:tcPr>
          <w:p w14:paraId="7F334061">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投标人按载重量要求提供</w:t>
            </w:r>
          </w:p>
        </w:tc>
        <w:tc>
          <w:tcPr>
            <w:tcW w:w="1458" w:type="dxa"/>
            <w:noWrap w:val="0"/>
            <w:vAlign w:val="center"/>
          </w:tcPr>
          <w:p w14:paraId="54490AC2">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投标人按载重量要求提供</w:t>
            </w:r>
          </w:p>
        </w:tc>
        <w:tc>
          <w:tcPr>
            <w:tcW w:w="1453" w:type="dxa"/>
            <w:gridSpan w:val="2"/>
            <w:noWrap w:val="0"/>
            <w:vAlign w:val="center"/>
          </w:tcPr>
          <w:p w14:paraId="490039FF">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sz w:val="21"/>
                <w:szCs w:val="21"/>
                <w:lang w:val="en-US" w:eastAsia="zh-CN"/>
              </w:rPr>
              <w:t>投标人按载重量要求提供</w:t>
            </w:r>
          </w:p>
        </w:tc>
      </w:tr>
      <w:tr w14:paraId="4E09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26151C3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轿厢吊顶及高度</w:t>
            </w:r>
          </w:p>
        </w:tc>
        <w:tc>
          <w:tcPr>
            <w:tcW w:w="1500" w:type="dxa"/>
            <w:noWrap w:val="0"/>
            <w:vAlign w:val="center"/>
          </w:tcPr>
          <w:p w14:paraId="001C06F5">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7-9号梯电梯吊顶装修后净高不少于2600mm。投标人提供5款吊顶供招标人选择。</w:t>
            </w:r>
          </w:p>
        </w:tc>
        <w:tc>
          <w:tcPr>
            <w:tcW w:w="1467" w:type="dxa"/>
            <w:noWrap w:val="0"/>
            <w:vAlign w:val="center"/>
          </w:tcPr>
          <w:p w14:paraId="3501EA2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7-9号梯电梯吊顶装修后净高不少于2600mm。投标人提供5款吊顶供招标人选择。</w:t>
            </w:r>
          </w:p>
        </w:tc>
        <w:tc>
          <w:tcPr>
            <w:tcW w:w="1453" w:type="dxa"/>
            <w:noWrap w:val="0"/>
            <w:vAlign w:val="center"/>
          </w:tcPr>
          <w:p w14:paraId="282D3BFE">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7-9号梯电梯吊顶装修后净高不少于2600mm。投标人提供5款吊顶供招标人选择。</w:t>
            </w:r>
          </w:p>
        </w:tc>
        <w:tc>
          <w:tcPr>
            <w:tcW w:w="1458" w:type="dxa"/>
            <w:noWrap w:val="0"/>
            <w:vAlign w:val="center"/>
          </w:tcPr>
          <w:p w14:paraId="137AB2B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10、11号梯吊顶装修后净高不少于2100mm。投标人提供5款吊顶供招标人选择。</w:t>
            </w:r>
          </w:p>
        </w:tc>
        <w:tc>
          <w:tcPr>
            <w:tcW w:w="1453" w:type="dxa"/>
            <w:gridSpan w:val="2"/>
            <w:noWrap w:val="0"/>
            <w:vAlign w:val="center"/>
          </w:tcPr>
          <w:p w14:paraId="3CFF0B05">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10、11号梯吊顶装修后净高不少于2100mm。投标人提供5款吊顶供招标人选择。</w:t>
            </w:r>
          </w:p>
        </w:tc>
      </w:tr>
      <w:tr w14:paraId="672A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331FFF1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轿厢侧壁</w:t>
            </w:r>
          </w:p>
        </w:tc>
        <w:tc>
          <w:tcPr>
            <w:tcW w:w="1500" w:type="dxa"/>
            <w:noWrap w:val="0"/>
            <w:vAlign w:val="center"/>
          </w:tcPr>
          <w:p w14:paraId="66E930C9">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c>
          <w:tcPr>
            <w:tcW w:w="1467" w:type="dxa"/>
            <w:noWrap w:val="0"/>
            <w:vAlign w:val="center"/>
          </w:tcPr>
          <w:p w14:paraId="4D39D3F6">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c>
          <w:tcPr>
            <w:tcW w:w="1453" w:type="dxa"/>
            <w:noWrap w:val="0"/>
            <w:vAlign w:val="center"/>
          </w:tcPr>
          <w:p w14:paraId="2D0DB11F">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c>
          <w:tcPr>
            <w:tcW w:w="1458" w:type="dxa"/>
            <w:noWrap w:val="0"/>
            <w:vAlign w:val="center"/>
          </w:tcPr>
          <w:p w14:paraId="2ED0E08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304发纹不锈钢+</w:t>
            </w:r>
            <w:r>
              <w:rPr>
                <w:rFonts w:hint="default" w:ascii="宋体" w:hAnsi="宋体" w:eastAsia="宋体" w:cs="宋体"/>
                <w:spacing w:val="-2"/>
                <w:kern w:val="2"/>
                <w:sz w:val="21"/>
                <w:szCs w:val="21"/>
                <w:lang w:val="en-US" w:eastAsia="zh-CN" w:bidi="ar-SA"/>
              </w:rPr>
              <w:t>PVB钢化夹胶玻璃</w:t>
            </w:r>
          </w:p>
        </w:tc>
        <w:tc>
          <w:tcPr>
            <w:tcW w:w="1453" w:type="dxa"/>
            <w:gridSpan w:val="2"/>
            <w:noWrap w:val="0"/>
            <w:vAlign w:val="center"/>
          </w:tcPr>
          <w:p w14:paraId="623AAED2">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304发纹不锈钢+</w:t>
            </w:r>
            <w:r>
              <w:rPr>
                <w:rFonts w:hint="default" w:ascii="宋体" w:hAnsi="宋体" w:eastAsia="宋体" w:cs="宋体"/>
                <w:spacing w:val="-2"/>
                <w:kern w:val="2"/>
                <w:sz w:val="21"/>
                <w:szCs w:val="21"/>
                <w:lang w:val="en-US" w:eastAsia="zh-CN" w:bidi="ar-SA"/>
              </w:rPr>
              <w:t>PVB钢化夹胶玻璃</w:t>
            </w:r>
          </w:p>
        </w:tc>
      </w:tr>
      <w:tr w14:paraId="7F88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0D7120FD">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轿厢背壁</w:t>
            </w:r>
          </w:p>
        </w:tc>
        <w:tc>
          <w:tcPr>
            <w:tcW w:w="1500" w:type="dxa"/>
            <w:noWrap w:val="0"/>
            <w:vAlign w:val="center"/>
          </w:tcPr>
          <w:p w14:paraId="05D650BC">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c>
          <w:tcPr>
            <w:tcW w:w="1467" w:type="dxa"/>
            <w:noWrap w:val="0"/>
            <w:vAlign w:val="center"/>
          </w:tcPr>
          <w:p w14:paraId="1A51ACC7">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c>
          <w:tcPr>
            <w:tcW w:w="1453" w:type="dxa"/>
            <w:noWrap w:val="0"/>
            <w:vAlign w:val="center"/>
          </w:tcPr>
          <w:p w14:paraId="2C53F67C">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c>
          <w:tcPr>
            <w:tcW w:w="1458" w:type="dxa"/>
            <w:noWrap w:val="0"/>
            <w:vAlign w:val="center"/>
          </w:tcPr>
          <w:p w14:paraId="55BDAABC">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default" w:ascii="宋体" w:hAnsi="宋体" w:eastAsia="宋体" w:cs="宋体"/>
                <w:spacing w:val="-2"/>
                <w:kern w:val="2"/>
                <w:sz w:val="21"/>
                <w:szCs w:val="21"/>
                <w:lang w:val="en-US" w:eastAsia="zh-CN" w:bidi="ar-SA"/>
              </w:rPr>
              <w:t>10-11号梯：PVB钢化夹胶玻璃</w:t>
            </w:r>
            <w:r>
              <w:rPr>
                <w:rFonts w:hint="eastAsia" w:cs="宋体"/>
                <w:spacing w:val="-2"/>
                <w:kern w:val="2"/>
                <w:sz w:val="21"/>
                <w:szCs w:val="21"/>
                <w:lang w:val="en-US" w:eastAsia="zh-CN" w:bidi="ar-SA"/>
              </w:rPr>
              <w:t>（圆弧</w:t>
            </w:r>
            <w:r>
              <w:rPr>
                <w:rFonts w:hint="default" w:ascii="宋体" w:hAnsi="宋体" w:eastAsia="宋体" w:cs="宋体"/>
                <w:spacing w:val="-2"/>
                <w:kern w:val="2"/>
                <w:sz w:val="21"/>
                <w:szCs w:val="21"/>
                <w:lang w:val="en-US" w:eastAsia="zh-CN" w:bidi="ar-SA"/>
              </w:rPr>
              <w:t>玻璃</w:t>
            </w:r>
            <w:r>
              <w:rPr>
                <w:rFonts w:hint="eastAsia" w:cs="宋体"/>
                <w:spacing w:val="-2"/>
                <w:kern w:val="2"/>
                <w:sz w:val="21"/>
                <w:szCs w:val="21"/>
                <w:lang w:val="en-US" w:eastAsia="zh-CN" w:bidi="ar-SA"/>
              </w:rPr>
              <w:t>）</w:t>
            </w:r>
          </w:p>
        </w:tc>
        <w:tc>
          <w:tcPr>
            <w:tcW w:w="1453" w:type="dxa"/>
            <w:gridSpan w:val="2"/>
            <w:noWrap w:val="0"/>
            <w:vAlign w:val="center"/>
          </w:tcPr>
          <w:p w14:paraId="77AEAA59">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default" w:ascii="宋体" w:hAnsi="宋体" w:eastAsia="宋体" w:cs="宋体"/>
                <w:spacing w:val="-2"/>
                <w:kern w:val="2"/>
                <w:sz w:val="21"/>
                <w:szCs w:val="21"/>
                <w:lang w:val="en-US" w:eastAsia="zh-CN" w:bidi="ar-SA"/>
              </w:rPr>
              <w:t>10-11号梯：PVB钢化夹胶玻璃</w:t>
            </w:r>
            <w:r>
              <w:rPr>
                <w:rFonts w:hint="eastAsia" w:cs="宋体"/>
                <w:spacing w:val="-2"/>
                <w:kern w:val="2"/>
                <w:sz w:val="21"/>
                <w:szCs w:val="21"/>
                <w:lang w:val="en-US" w:eastAsia="zh-CN" w:bidi="ar-SA"/>
              </w:rPr>
              <w:t>（圆弧</w:t>
            </w:r>
            <w:r>
              <w:rPr>
                <w:rFonts w:hint="default" w:ascii="宋体" w:hAnsi="宋体" w:eastAsia="宋体" w:cs="宋体"/>
                <w:spacing w:val="-2"/>
                <w:kern w:val="2"/>
                <w:sz w:val="21"/>
                <w:szCs w:val="21"/>
                <w:lang w:val="en-US" w:eastAsia="zh-CN" w:bidi="ar-SA"/>
              </w:rPr>
              <w:t>玻璃</w:t>
            </w:r>
            <w:r>
              <w:rPr>
                <w:rFonts w:hint="eastAsia" w:cs="宋体"/>
                <w:spacing w:val="-2"/>
                <w:kern w:val="2"/>
                <w:sz w:val="21"/>
                <w:szCs w:val="21"/>
                <w:lang w:val="en-US" w:eastAsia="zh-CN" w:bidi="ar-SA"/>
              </w:rPr>
              <w:t>）</w:t>
            </w:r>
          </w:p>
        </w:tc>
      </w:tr>
      <w:tr w14:paraId="11C2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4C9C8FD3">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轿厢门</w:t>
            </w:r>
          </w:p>
        </w:tc>
        <w:tc>
          <w:tcPr>
            <w:tcW w:w="1500" w:type="dxa"/>
            <w:noWrap w:val="0"/>
            <w:vAlign w:val="center"/>
          </w:tcPr>
          <w:p w14:paraId="5FABE878">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c>
          <w:tcPr>
            <w:tcW w:w="1467" w:type="dxa"/>
            <w:noWrap w:val="0"/>
            <w:vAlign w:val="center"/>
          </w:tcPr>
          <w:p w14:paraId="28C271E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c>
          <w:tcPr>
            <w:tcW w:w="1453" w:type="dxa"/>
            <w:noWrap w:val="0"/>
            <w:vAlign w:val="center"/>
          </w:tcPr>
          <w:p w14:paraId="3800448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c>
          <w:tcPr>
            <w:tcW w:w="1458" w:type="dxa"/>
            <w:noWrap w:val="0"/>
            <w:vAlign w:val="center"/>
          </w:tcPr>
          <w:p w14:paraId="63B1814A">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c>
          <w:tcPr>
            <w:tcW w:w="1453" w:type="dxa"/>
            <w:gridSpan w:val="2"/>
            <w:noWrap w:val="0"/>
            <w:vAlign w:val="center"/>
          </w:tcPr>
          <w:p w14:paraId="4E762D60">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发纹不锈钢材质(304)，</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1.2mm</w:t>
            </w:r>
          </w:p>
        </w:tc>
      </w:tr>
      <w:tr w14:paraId="0C59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4361166B">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轿厢天花</w:t>
            </w:r>
          </w:p>
        </w:tc>
        <w:tc>
          <w:tcPr>
            <w:tcW w:w="1500" w:type="dxa"/>
            <w:noWrap w:val="0"/>
            <w:vAlign w:val="center"/>
          </w:tcPr>
          <w:p w14:paraId="40E67AC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由投标人提供5款豪华装修效果图供招标人选择</w:t>
            </w:r>
          </w:p>
        </w:tc>
        <w:tc>
          <w:tcPr>
            <w:tcW w:w="1467" w:type="dxa"/>
            <w:noWrap w:val="0"/>
            <w:vAlign w:val="center"/>
          </w:tcPr>
          <w:p w14:paraId="721307BE">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由投标人提供5款豪华装修效果图供招标人选择</w:t>
            </w:r>
          </w:p>
        </w:tc>
        <w:tc>
          <w:tcPr>
            <w:tcW w:w="1453" w:type="dxa"/>
            <w:noWrap w:val="0"/>
            <w:vAlign w:val="center"/>
          </w:tcPr>
          <w:p w14:paraId="2DC65BD6">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由投标人提供5款豪华装修效果图供招标人选择</w:t>
            </w:r>
          </w:p>
        </w:tc>
        <w:tc>
          <w:tcPr>
            <w:tcW w:w="1458" w:type="dxa"/>
            <w:noWrap w:val="0"/>
            <w:vAlign w:val="center"/>
          </w:tcPr>
          <w:p w14:paraId="72BC8EB3">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由投标人提供5款豪华装修效果图供招标人选择</w:t>
            </w:r>
          </w:p>
        </w:tc>
        <w:tc>
          <w:tcPr>
            <w:tcW w:w="1453" w:type="dxa"/>
            <w:gridSpan w:val="2"/>
            <w:noWrap w:val="0"/>
            <w:vAlign w:val="center"/>
          </w:tcPr>
          <w:p w14:paraId="574A250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由投标人提供5款豪华装修效果图供招标人选择</w:t>
            </w:r>
          </w:p>
        </w:tc>
      </w:tr>
      <w:tr w14:paraId="6804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680E1081">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轿厢地板</w:t>
            </w:r>
          </w:p>
        </w:tc>
        <w:tc>
          <w:tcPr>
            <w:tcW w:w="1500" w:type="dxa"/>
            <w:noWrap w:val="0"/>
            <w:vAlign w:val="center"/>
          </w:tcPr>
          <w:p w14:paraId="7E7F036B">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天然大理石拼花地板，</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18mm</w:t>
            </w:r>
          </w:p>
        </w:tc>
        <w:tc>
          <w:tcPr>
            <w:tcW w:w="1467" w:type="dxa"/>
            <w:noWrap w:val="0"/>
            <w:vAlign w:val="center"/>
          </w:tcPr>
          <w:p w14:paraId="151735CD">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天然大理石拼花地板，</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18mm</w:t>
            </w:r>
          </w:p>
        </w:tc>
        <w:tc>
          <w:tcPr>
            <w:tcW w:w="1453" w:type="dxa"/>
            <w:noWrap w:val="0"/>
            <w:vAlign w:val="center"/>
          </w:tcPr>
          <w:p w14:paraId="1CF1E23E">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天然大理石拼花地板，</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18mm</w:t>
            </w:r>
          </w:p>
        </w:tc>
        <w:tc>
          <w:tcPr>
            <w:tcW w:w="1458" w:type="dxa"/>
            <w:noWrap w:val="0"/>
            <w:vAlign w:val="center"/>
          </w:tcPr>
          <w:p w14:paraId="1FD3D137">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天然大理石拼花地板，</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18mm</w:t>
            </w:r>
          </w:p>
        </w:tc>
        <w:tc>
          <w:tcPr>
            <w:tcW w:w="1453" w:type="dxa"/>
            <w:gridSpan w:val="2"/>
            <w:noWrap w:val="0"/>
            <w:vAlign w:val="center"/>
          </w:tcPr>
          <w:p w14:paraId="41E496BB">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天然大理石拼花地板，</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18mm</w:t>
            </w:r>
          </w:p>
        </w:tc>
      </w:tr>
      <w:tr w14:paraId="7EBB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262AF2EB">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轿厢踏板</w:t>
            </w:r>
          </w:p>
        </w:tc>
        <w:tc>
          <w:tcPr>
            <w:tcW w:w="1500" w:type="dxa"/>
            <w:noWrap w:val="0"/>
            <w:vAlign w:val="center"/>
          </w:tcPr>
          <w:p w14:paraId="37ACDC9A">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硬质铝，</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3mm</w:t>
            </w:r>
          </w:p>
        </w:tc>
        <w:tc>
          <w:tcPr>
            <w:tcW w:w="1467" w:type="dxa"/>
            <w:noWrap w:val="0"/>
            <w:vAlign w:val="center"/>
          </w:tcPr>
          <w:p w14:paraId="3030F806">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硬质铝，</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3mm</w:t>
            </w:r>
          </w:p>
        </w:tc>
        <w:tc>
          <w:tcPr>
            <w:tcW w:w="1453" w:type="dxa"/>
            <w:noWrap w:val="0"/>
            <w:vAlign w:val="center"/>
          </w:tcPr>
          <w:p w14:paraId="3DD597BD">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硬质铝，</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3mm</w:t>
            </w:r>
          </w:p>
        </w:tc>
        <w:tc>
          <w:tcPr>
            <w:tcW w:w="1458" w:type="dxa"/>
            <w:noWrap w:val="0"/>
            <w:vAlign w:val="center"/>
          </w:tcPr>
          <w:p w14:paraId="3D08CBE9">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硬质铝，</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3mm</w:t>
            </w:r>
          </w:p>
        </w:tc>
        <w:tc>
          <w:tcPr>
            <w:tcW w:w="1453" w:type="dxa"/>
            <w:gridSpan w:val="2"/>
            <w:noWrap w:val="0"/>
            <w:vAlign w:val="center"/>
          </w:tcPr>
          <w:p w14:paraId="1052CABD">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硬质铝，</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3mm</w:t>
            </w:r>
          </w:p>
        </w:tc>
      </w:tr>
      <w:tr w14:paraId="10E7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2D72AB14">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厅门踏板</w:t>
            </w:r>
          </w:p>
        </w:tc>
        <w:tc>
          <w:tcPr>
            <w:tcW w:w="1500" w:type="dxa"/>
            <w:noWrap w:val="0"/>
            <w:vAlign w:val="center"/>
          </w:tcPr>
          <w:p w14:paraId="3159C04F">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硬质铝，</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3mm</w:t>
            </w:r>
          </w:p>
        </w:tc>
        <w:tc>
          <w:tcPr>
            <w:tcW w:w="1467" w:type="dxa"/>
            <w:noWrap w:val="0"/>
            <w:vAlign w:val="center"/>
          </w:tcPr>
          <w:p w14:paraId="41D49840">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硬质铝，</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3mm</w:t>
            </w:r>
          </w:p>
        </w:tc>
        <w:tc>
          <w:tcPr>
            <w:tcW w:w="1453" w:type="dxa"/>
            <w:noWrap w:val="0"/>
            <w:vAlign w:val="center"/>
          </w:tcPr>
          <w:p w14:paraId="63C0EF83">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硬质铝，</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3mm</w:t>
            </w:r>
          </w:p>
        </w:tc>
        <w:tc>
          <w:tcPr>
            <w:tcW w:w="1458" w:type="dxa"/>
            <w:noWrap w:val="0"/>
            <w:vAlign w:val="center"/>
          </w:tcPr>
          <w:p w14:paraId="540FB9C9">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硬质铝，</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3mm</w:t>
            </w:r>
          </w:p>
        </w:tc>
        <w:tc>
          <w:tcPr>
            <w:tcW w:w="1453" w:type="dxa"/>
            <w:gridSpan w:val="2"/>
            <w:noWrap w:val="0"/>
            <w:vAlign w:val="center"/>
          </w:tcPr>
          <w:p w14:paraId="6E1940CE">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硬质铝，</w:t>
            </w:r>
            <w:r>
              <w:rPr>
                <w:rFonts w:hint="eastAsia" w:cs="宋体"/>
                <w:spacing w:val="-2"/>
                <w:kern w:val="2"/>
                <w:sz w:val="21"/>
                <w:szCs w:val="21"/>
                <w:lang w:val="en-US" w:eastAsia="zh-CN" w:bidi="ar-SA"/>
              </w:rPr>
              <w:t>厚度大于等于</w:t>
            </w:r>
            <w:r>
              <w:rPr>
                <w:rFonts w:hint="eastAsia" w:ascii="宋体" w:hAnsi="宋体" w:eastAsia="宋体" w:cs="宋体"/>
                <w:spacing w:val="-2"/>
                <w:kern w:val="2"/>
                <w:sz w:val="21"/>
                <w:szCs w:val="21"/>
                <w:lang w:val="en-US" w:eastAsia="zh-CN" w:bidi="ar-SA"/>
              </w:rPr>
              <w:t>3mm</w:t>
            </w:r>
          </w:p>
        </w:tc>
      </w:tr>
      <w:tr w14:paraId="0C6A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43678F7E">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讯号装置轿内操纵箱</w:t>
            </w:r>
          </w:p>
        </w:tc>
        <w:tc>
          <w:tcPr>
            <w:tcW w:w="1500" w:type="dxa"/>
            <w:noWrap w:val="0"/>
            <w:vAlign w:val="center"/>
          </w:tcPr>
          <w:p w14:paraId="39080DB2">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default" w:ascii="宋体" w:hAnsi="宋体" w:eastAsia="宋体" w:cs="宋体"/>
                <w:spacing w:val="-2"/>
                <w:kern w:val="2"/>
                <w:sz w:val="21"/>
                <w:szCs w:val="21"/>
                <w:lang w:val="en-US" w:eastAsia="zh-CN" w:bidi="ar-SA"/>
              </w:rPr>
              <w:t>7-9号梯：</w:t>
            </w:r>
            <w:r>
              <w:rPr>
                <w:rFonts w:hint="eastAsia" w:ascii="宋体" w:hAnsi="宋体" w:eastAsia="宋体" w:cs="宋体"/>
                <w:spacing w:val="-2"/>
                <w:kern w:val="2"/>
                <w:sz w:val="21"/>
                <w:szCs w:val="21"/>
                <w:lang w:val="en-US" w:eastAsia="zh-CN" w:bidi="ar-SA"/>
              </w:rPr>
              <w:t>电梯轿厢内配置主、副一体式操纵箱，采用轻触或触摸按钮。主操纵箱和副操纵箱配置不少于10寸多媒体显示器。(由投标人提供5种款式供招标人选择)</w:t>
            </w:r>
          </w:p>
        </w:tc>
        <w:tc>
          <w:tcPr>
            <w:tcW w:w="1467" w:type="dxa"/>
            <w:noWrap w:val="0"/>
            <w:vAlign w:val="center"/>
          </w:tcPr>
          <w:p w14:paraId="27E9832B">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default" w:ascii="宋体" w:hAnsi="宋体" w:eastAsia="宋体" w:cs="宋体"/>
                <w:spacing w:val="-2"/>
                <w:kern w:val="2"/>
                <w:sz w:val="21"/>
                <w:szCs w:val="21"/>
                <w:lang w:val="en-US" w:eastAsia="zh-CN" w:bidi="ar-SA"/>
              </w:rPr>
              <w:t>7-9号梯：</w:t>
            </w:r>
            <w:r>
              <w:rPr>
                <w:rFonts w:hint="eastAsia" w:ascii="宋体" w:hAnsi="宋体" w:eastAsia="宋体" w:cs="宋体"/>
                <w:spacing w:val="-2"/>
                <w:kern w:val="2"/>
                <w:sz w:val="21"/>
                <w:szCs w:val="21"/>
                <w:lang w:val="en-US" w:eastAsia="zh-CN" w:bidi="ar-SA"/>
              </w:rPr>
              <w:t>电梯轿厢内配置主、副一体式操纵箱，采用轻触或触摸按钮。主操纵箱和副操纵箱配置不少于10寸多媒体显示器。(由投标人提供5种款式供招标人选择)</w:t>
            </w:r>
          </w:p>
        </w:tc>
        <w:tc>
          <w:tcPr>
            <w:tcW w:w="1453" w:type="dxa"/>
            <w:noWrap w:val="0"/>
            <w:vAlign w:val="center"/>
          </w:tcPr>
          <w:p w14:paraId="2F0B8434">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default" w:ascii="宋体" w:hAnsi="宋体" w:eastAsia="宋体" w:cs="宋体"/>
                <w:spacing w:val="-2"/>
                <w:kern w:val="2"/>
                <w:sz w:val="21"/>
                <w:szCs w:val="21"/>
                <w:lang w:val="en-US" w:eastAsia="zh-CN" w:bidi="ar-SA"/>
              </w:rPr>
              <w:t>7-9号梯：</w:t>
            </w:r>
            <w:r>
              <w:rPr>
                <w:rFonts w:hint="eastAsia" w:ascii="宋体" w:hAnsi="宋体" w:eastAsia="宋体" w:cs="宋体"/>
                <w:spacing w:val="-2"/>
                <w:kern w:val="2"/>
                <w:sz w:val="21"/>
                <w:szCs w:val="21"/>
                <w:lang w:val="en-US" w:eastAsia="zh-CN" w:bidi="ar-SA"/>
              </w:rPr>
              <w:t>电梯轿厢内配置主、副一体式操纵箱，采用轻触或触摸按钮。主操纵箱和副操纵箱配置不少于10寸多媒体显示器。(由投标人提供5种款式供招标人选择)</w:t>
            </w:r>
          </w:p>
        </w:tc>
        <w:tc>
          <w:tcPr>
            <w:tcW w:w="1458" w:type="dxa"/>
            <w:noWrap w:val="0"/>
            <w:vAlign w:val="center"/>
          </w:tcPr>
          <w:p w14:paraId="43C5D279">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default" w:ascii="宋体" w:hAnsi="宋体" w:eastAsia="宋体" w:cs="宋体"/>
                <w:spacing w:val="-2"/>
                <w:kern w:val="2"/>
                <w:sz w:val="21"/>
                <w:szCs w:val="21"/>
                <w:lang w:val="en-US" w:eastAsia="zh-CN" w:bidi="ar-SA"/>
              </w:rPr>
              <w:t>10-11号梯：</w:t>
            </w:r>
            <w:r>
              <w:rPr>
                <w:rFonts w:hint="eastAsia" w:ascii="宋体" w:hAnsi="宋体" w:eastAsia="宋体" w:cs="宋体"/>
                <w:spacing w:val="-2"/>
                <w:kern w:val="2"/>
                <w:sz w:val="21"/>
                <w:szCs w:val="21"/>
                <w:lang w:val="en-US" w:eastAsia="zh-CN" w:bidi="ar-SA"/>
              </w:rPr>
              <w:t>电梯轿厢内配置主一体式操纵箱，采用轻触或触摸按钮，配置不少于10寸多媒体显示器。(由投标人提供5种款式供招标人选择)</w:t>
            </w:r>
          </w:p>
        </w:tc>
        <w:tc>
          <w:tcPr>
            <w:tcW w:w="1453" w:type="dxa"/>
            <w:gridSpan w:val="2"/>
            <w:noWrap w:val="0"/>
            <w:vAlign w:val="center"/>
          </w:tcPr>
          <w:p w14:paraId="5E043B6B">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default" w:ascii="宋体" w:hAnsi="宋体" w:eastAsia="宋体" w:cs="宋体"/>
                <w:spacing w:val="-2"/>
                <w:kern w:val="2"/>
                <w:sz w:val="21"/>
                <w:szCs w:val="21"/>
                <w:lang w:val="en-US" w:eastAsia="zh-CN" w:bidi="ar-SA"/>
              </w:rPr>
              <w:t>10-11号梯：</w:t>
            </w:r>
            <w:r>
              <w:rPr>
                <w:rFonts w:hint="eastAsia" w:ascii="宋体" w:hAnsi="宋体" w:eastAsia="宋体" w:cs="宋体"/>
                <w:spacing w:val="-2"/>
                <w:kern w:val="2"/>
                <w:sz w:val="21"/>
                <w:szCs w:val="21"/>
                <w:lang w:val="en-US" w:eastAsia="zh-CN" w:bidi="ar-SA"/>
              </w:rPr>
              <w:t>电梯轿厢内配置主一体式操纵箱，采用轻触或触摸按钮，配置不少于10寸多媒体显示器。(由投标人提供5种款式供招标人选择)</w:t>
            </w:r>
          </w:p>
        </w:tc>
      </w:tr>
      <w:tr w14:paraId="3F5B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6C574875">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讯号装置厅外召唤显示器操控箱</w:t>
            </w:r>
          </w:p>
        </w:tc>
        <w:tc>
          <w:tcPr>
            <w:tcW w:w="1500" w:type="dxa"/>
            <w:noWrap w:val="0"/>
            <w:vAlign w:val="center"/>
          </w:tcPr>
          <w:p w14:paraId="771FD79B">
            <w:pPr>
              <w:pStyle w:val="297"/>
              <w:spacing w:before="83" w:line="221" w:lineRule="auto"/>
              <w:ind w:left="0" w:leftChars="0"/>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各层配置不少于4寸带运行方向TFT或LCD显示器的厅外召唤箱轻触或触摸按钮。(由投标人提供5种款式供招标人选择）</w:t>
            </w:r>
          </w:p>
        </w:tc>
        <w:tc>
          <w:tcPr>
            <w:tcW w:w="1467" w:type="dxa"/>
            <w:noWrap w:val="0"/>
            <w:vAlign w:val="center"/>
          </w:tcPr>
          <w:p w14:paraId="4EFEE16E">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kern w:val="2"/>
                <w:sz w:val="21"/>
                <w:szCs w:val="21"/>
                <w:lang w:val="en-US" w:eastAsia="zh-CN" w:bidi="ar-SA"/>
              </w:rPr>
              <w:t>各层配置不少于4寸带运行方向TFT或LCD显示器的厅外召唤箱轻触或触摸按钮。(由投标人提供5种款式供招标人选择）</w:t>
            </w:r>
          </w:p>
        </w:tc>
        <w:tc>
          <w:tcPr>
            <w:tcW w:w="1453" w:type="dxa"/>
            <w:noWrap w:val="0"/>
            <w:vAlign w:val="center"/>
          </w:tcPr>
          <w:p w14:paraId="3CC65943">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kern w:val="2"/>
                <w:sz w:val="21"/>
                <w:szCs w:val="21"/>
                <w:lang w:val="en-US" w:eastAsia="zh-CN" w:bidi="ar-SA"/>
              </w:rPr>
              <w:t>各层配置不少于4寸带运行方向TFT或LCD显示器的厅外召唤箱轻触或触摸按钮。(由投标人提供5种款式供招标人选择）</w:t>
            </w:r>
          </w:p>
        </w:tc>
        <w:tc>
          <w:tcPr>
            <w:tcW w:w="1458" w:type="dxa"/>
            <w:noWrap w:val="0"/>
            <w:vAlign w:val="center"/>
          </w:tcPr>
          <w:p w14:paraId="660FC1F7">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kern w:val="2"/>
                <w:sz w:val="21"/>
                <w:szCs w:val="21"/>
                <w:lang w:val="en-US" w:eastAsia="zh-CN" w:bidi="ar-SA"/>
              </w:rPr>
              <w:t>各层配置不少于4寸带运行方向TFT或LCD显示器的厅外召唤箱轻触或触摸按钮。(由投标人提供5种款式供招标人选择）</w:t>
            </w:r>
          </w:p>
        </w:tc>
        <w:tc>
          <w:tcPr>
            <w:tcW w:w="1453" w:type="dxa"/>
            <w:gridSpan w:val="2"/>
            <w:noWrap w:val="0"/>
            <w:vAlign w:val="center"/>
          </w:tcPr>
          <w:p w14:paraId="466EAA36">
            <w:pPr>
              <w:pStyle w:val="297"/>
              <w:spacing w:before="83" w:line="221" w:lineRule="auto"/>
              <w:jc w:val="center"/>
              <w:rPr>
                <w:rFonts w:hint="default" w:ascii="宋体" w:hAnsi="宋体" w:eastAsia="宋体" w:cs="宋体"/>
                <w:spacing w:val="-2"/>
                <w:sz w:val="21"/>
                <w:szCs w:val="21"/>
                <w:lang w:val="en-US" w:eastAsia="zh-CN"/>
              </w:rPr>
            </w:pPr>
            <w:r>
              <w:rPr>
                <w:rFonts w:hint="eastAsia" w:ascii="宋体" w:hAnsi="宋体" w:eastAsia="宋体" w:cs="宋体"/>
                <w:spacing w:val="-2"/>
                <w:kern w:val="2"/>
                <w:sz w:val="21"/>
                <w:szCs w:val="21"/>
                <w:lang w:val="en-US" w:eastAsia="zh-CN" w:bidi="ar-SA"/>
              </w:rPr>
              <w:t>各层配置不少于4寸带运行方向TFT或LCD显示器的厅外召唤箱轻触或触摸按钮。(由投标人提供5种款式供招标人选择）</w:t>
            </w:r>
          </w:p>
        </w:tc>
      </w:tr>
      <w:tr w14:paraId="498E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69A1BDFF">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轿厢通风</w:t>
            </w:r>
          </w:p>
        </w:tc>
        <w:tc>
          <w:tcPr>
            <w:tcW w:w="1500" w:type="dxa"/>
            <w:noWrap w:val="0"/>
            <w:vAlign w:val="center"/>
          </w:tcPr>
          <w:p w14:paraId="6FBEDE74">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天花板设风扇通风、空调出风口并配装电梯专用空调</w:t>
            </w:r>
          </w:p>
        </w:tc>
        <w:tc>
          <w:tcPr>
            <w:tcW w:w="1467" w:type="dxa"/>
            <w:noWrap w:val="0"/>
            <w:vAlign w:val="center"/>
          </w:tcPr>
          <w:p w14:paraId="6492E607">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天花板设风扇通风、空调出风口并配装电梯专用空调</w:t>
            </w:r>
          </w:p>
        </w:tc>
        <w:tc>
          <w:tcPr>
            <w:tcW w:w="1453" w:type="dxa"/>
            <w:noWrap w:val="0"/>
            <w:vAlign w:val="center"/>
          </w:tcPr>
          <w:p w14:paraId="3A61C5C2">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天花板设风扇通风、空调出风口并配装电梯专用空调</w:t>
            </w:r>
          </w:p>
        </w:tc>
        <w:tc>
          <w:tcPr>
            <w:tcW w:w="1458" w:type="dxa"/>
            <w:noWrap w:val="0"/>
            <w:vAlign w:val="center"/>
          </w:tcPr>
          <w:p w14:paraId="7F2FDFF5">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天花板设风扇通风、空调出风口并配装电梯专用空调</w:t>
            </w:r>
          </w:p>
        </w:tc>
        <w:tc>
          <w:tcPr>
            <w:tcW w:w="1453" w:type="dxa"/>
            <w:gridSpan w:val="2"/>
            <w:noWrap w:val="0"/>
            <w:vAlign w:val="center"/>
          </w:tcPr>
          <w:p w14:paraId="3AD5BC9C">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天花板设风扇通风、空调出风口并配装电梯专用空调</w:t>
            </w:r>
          </w:p>
        </w:tc>
      </w:tr>
      <w:tr w14:paraId="723E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52EB920E">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轿厢照明</w:t>
            </w:r>
          </w:p>
        </w:tc>
        <w:tc>
          <w:tcPr>
            <w:tcW w:w="1500" w:type="dxa"/>
            <w:noWrap w:val="0"/>
            <w:vAlign w:val="center"/>
          </w:tcPr>
          <w:p w14:paraId="6F88AEFB">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由投标人合理配置</w:t>
            </w:r>
          </w:p>
        </w:tc>
        <w:tc>
          <w:tcPr>
            <w:tcW w:w="1467" w:type="dxa"/>
            <w:noWrap w:val="0"/>
            <w:vAlign w:val="center"/>
          </w:tcPr>
          <w:p w14:paraId="11451902">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由投标人合理配置</w:t>
            </w:r>
          </w:p>
        </w:tc>
        <w:tc>
          <w:tcPr>
            <w:tcW w:w="1453" w:type="dxa"/>
            <w:noWrap w:val="0"/>
            <w:vAlign w:val="center"/>
          </w:tcPr>
          <w:p w14:paraId="627B493A">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由投标人合理配置</w:t>
            </w:r>
          </w:p>
        </w:tc>
        <w:tc>
          <w:tcPr>
            <w:tcW w:w="1458" w:type="dxa"/>
            <w:noWrap w:val="0"/>
            <w:vAlign w:val="center"/>
          </w:tcPr>
          <w:p w14:paraId="6FE43A4A">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由投标人合理配置</w:t>
            </w:r>
          </w:p>
        </w:tc>
        <w:tc>
          <w:tcPr>
            <w:tcW w:w="1453" w:type="dxa"/>
            <w:gridSpan w:val="2"/>
            <w:noWrap w:val="0"/>
            <w:vAlign w:val="center"/>
          </w:tcPr>
          <w:p w14:paraId="4EDFEB23">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由投标人合理配置</w:t>
            </w:r>
          </w:p>
        </w:tc>
      </w:tr>
      <w:tr w14:paraId="780B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7B575D3E">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曳引部件</w:t>
            </w:r>
          </w:p>
        </w:tc>
        <w:tc>
          <w:tcPr>
            <w:tcW w:w="1500" w:type="dxa"/>
            <w:noWrap w:val="0"/>
            <w:vAlign w:val="center"/>
          </w:tcPr>
          <w:p w14:paraId="03C5D4E5">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采用曳引钢丝绳或曳引钢带</w:t>
            </w:r>
          </w:p>
        </w:tc>
        <w:tc>
          <w:tcPr>
            <w:tcW w:w="1467" w:type="dxa"/>
            <w:noWrap w:val="0"/>
            <w:vAlign w:val="center"/>
          </w:tcPr>
          <w:p w14:paraId="6DC6F5A7">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采用曳引钢丝绳或曳引钢带</w:t>
            </w:r>
          </w:p>
        </w:tc>
        <w:tc>
          <w:tcPr>
            <w:tcW w:w="1453" w:type="dxa"/>
            <w:noWrap w:val="0"/>
            <w:vAlign w:val="center"/>
          </w:tcPr>
          <w:p w14:paraId="53667453">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采用曳引钢丝绳或曳引钢带</w:t>
            </w:r>
          </w:p>
        </w:tc>
        <w:tc>
          <w:tcPr>
            <w:tcW w:w="1458" w:type="dxa"/>
            <w:noWrap w:val="0"/>
            <w:vAlign w:val="center"/>
          </w:tcPr>
          <w:p w14:paraId="44CAB6DF">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采用曳引钢丝绳或曳引钢带</w:t>
            </w:r>
          </w:p>
        </w:tc>
        <w:tc>
          <w:tcPr>
            <w:tcW w:w="1453" w:type="dxa"/>
            <w:gridSpan w:val="2"/>
            <w:noWrap w:val="0"/>
            <w:vAlign w:val="center"/>
          </w:tcPr>
          <w:p w14:paraId="5C56D173">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采用曳引钢丝绳或曳引钢带</w:t>
            </w:r>
          </w:p>
        </w:tc>
      </w:tr>
      <w:tr w14:paraId="01ED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5C765B3A">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安全钳</w:t>
            </w:r>
          </w:p>
        </w:tc>
        <w:tc>
          <w:tcPr>
            <w:tcW w:w="1500" w:type="dxa"/>
            <w:noWrap w:val="0"/>
            <w:vAlign w:val="center"/>
          </w:tcPr>
          <w:p w14:paraId="6F395A6D">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原装品牌成熟配置（进口部件）</w:t>
            </w:r>
          </w:p>
        </w:tc>
        <w:tc>
          <w:tcPr>
            <w:tcW w:w="1467" w:type="dxa"/>
            <w:noWrap w:val="0"/>
            <w:vAlign w:val="center"/>
          </w:tcPr>
          <w:p w14:paraId="0B0C6BDF">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原装品牌成熟配置（进口部件）</w:t>
            </w:r>
          </w:p>
        </w:tc>
        <w:tc>
          <w:tcPr>
            <w:tcW w:w="1453" w:type="dxa"/>
            <w:noWrap w:val="0"/>
            <w:vAlign w:val="center"/>
          </w:tcPr>
          <w:p w14:paraId="01E9FED0">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原装品牌成熟配置（进口部件）</w:t>
            </w:r>
          </w:p>
        </w:tc>
        <w:tc>
          <w:tcPr>
            <w:tcW w:w="1458" w:type="dxa"/>
            <w:noWrap w:val="0"/>
            <w:vAlign w:val="center"/>
          </w:tcPr>
          <w:p w14:paraId="3FDDD7C3">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原装品牌成熟配置（进口部件）</w:t>
            </w:r>
          </w:p>
        </w:tc>
        <w:tc>
          <w:tcPr>
            <w:tcW w:w="1453" w:type="dxa"/>
            <w:gridSpan w:val="2"/>
            <w:noWrap w:val="0"/>
            <w:vAlign w:val="center"/>
          </w:tcPr>
          <w:p w14:paraId="2D81CCA6">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原装品牌成熟配置（进口部件）</w:t>
            </w:r>
          </w:p>
        </w:tc>
      </w:tr>
      <w:tr w14:paraId="0E6D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01698ED4">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限速器</w:t>
            </w:r>
          </w:p>
        </w:tc>
        <w:tc>
          <w:tcPr>
            <w:tcW w:w="1500" w:type="dxa"/>
            <w:noWrap w:val="0"/>
            <w:vAlign w:val="center"/>
          </w:tcPr>
          <w:p w14:paraId="1ECB5E8C">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原装品牌成熟配置（进口部件</w:t>
            </w:r>
            <w:r>
              <w:rPr>
                <w:rFonts w:hint="eastAsia" w:cs="宋体"/>
                <w:spacing w:val="-2"/>
                <w:kern w:val="2"/>
                <w:sz w:val="21"/>
                <w:szCs w:val="21"/>
                <w:lang w:val="en-US" w:eastAsia="zh-CN" w:bidi="ar-SA"/>
              </w:rPr>
              <w:t>）</w:t>
            </w:r>
          </w:p>
        </w:tc>
        <w:tc>
          <w:tcPr>
            <w:tcW w:w="1467" w:type="dxa"/>
            <w:noWrap w:val="0"/>
            <w:vAlign w:val="center"/>
          </w:tcPr>
          <w:p w14:paraId="1072D3FC">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原装品牌成熟配置（进口部件）</w:t>
            </w:r>
          </w:p>
        </w:tc>
        <w:tc>
          <w:tcPr>
            <w:tcW w:w="1453" w:type="dxa"/>
            <w:noWrap w:val="0"/>
            <w:vAlign w:val="center"/>
          </w:tcPr>
          <w:p w14:paraId="7F86B7B6">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原装品牌成熟配置（进口部件）</w:t>
            </w:r>
          </w:p>
        </w:tc>
        <w:tc>
          <w:tcPr>
            <w:tcW w:w="1458" w:type="dxa"/>
            <w:noWrap w:val="0"/>
            <w:vAlign w:val="center"/>
          </w:tcPr>
          <w:p w14:paraId="60D2713B">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原装品牌成熟配置（进口部件）</w:t>
            </w:r>
          </w:p>
        </w:tc>
        <w:tc>
          <w:tcPr>
            <w:tcW w:w="1453" w:type="dxa"/>
            <w:gridSpan w:val="2"/>
            <w:noWrap w:val="0"/>
            <w:vAlign w:val="center"/>
          </w:tcPr>
          <w:p w14:paraId="4172106B">
            <w:pPr>
              <w:pStyle w:val="297"/>
              <w:spacing w:before="83" w:line="221" w:lineRule="auto"/>
              <w:jc w:val="center"/>
              <w:rPr>
                <w:rFonts w:hint="default" w:ascii="宋体" w:hAnsi="宋体" w:eastAsia="宋体" w:cs="宋体"/>
                <w:spacing w:val="-2"/>
                <w:kern w:val="2"/>
                <w:sz w:val="21"/>
                <w:szCs w:val="21"/>
                <w:lang w:val="en-US" w:eastAsia="zh-CN" w:bidi="ar-SA"/>
              </w:rPr>
            </w:pPr>
            <w:r>
              <w:rPr>
                <w:rFonts w:hint="eastAsia" w:ascii="宋体" w:hAnsi="宋体" w:eastAsia="宋体" w:cs="宋体"/>
                <w:spacing w:val="-2"/>
                <w:kern w:val="2"/>
                <w:sz w:val="21"/>
                <w:szCs w:val="21"/>
                <w:lang w:val="en-US" w:eastAsia="zh-CN" w:bidi="ar-SA"/>
              </w:rPr>
              <w:t>原装品牌成熟配置（进口部件）</w:t>
            </w:r>
          </w:p>
        </w:tc>
      </w:tr>
      <w:tr w14:paraId="0FAC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dxa"/>
            <w:noWrap w:val="0"/>
            <w:vAlign w:val="center"/>
          </w:tcPr>
          <w:p w14:paraId="608543ED">
            <w:pPr>
              <w:pStyle w:val="297"/>
              <w:spacing w:before="83" w:line="221" w:lineRule="auto"/>
              <w:jc w:val="center"/>
              <w:rPr>
                <w:rFonts w:hint="eastAsia" w:ascii="宋体" w:hAnsi="宋体" w:eastAsia="宋体" w:cs="宋体"/>
                <w:spacing w:val="-2"/>
                <w:kern w:val="2"/>
                <w:sz w:val="21"/>
                <w:szCs w:val="21"/>
                <w:lang w:val="en-US" w:eastAsia="zh-CN" w:bidi="ar-SA"/>
              </w:rPr>
            </w:pPr>
            <w:r>
              <w:rPr>
                <w:rFonts w:hint="eastAsia" w:ascii="宋体" w:hAnsi="宋体" w:eastAsia="宋体" w:cs="宋体"/>
                <w:color w:val="auto"/>
                <w:sz w:val="21"/>
                <w:szCs w:val="21"/>
                <w:highlight w:val="none"/>
                <w:lang w:val="en-US" w:eastAsia="zh-CN"/>
              </w:rPr>
              <w:t>电梯功能及配置要求</w:t>
            </w:r>
          </w:p>
        </w:tc>
        <w:tc>
          <w:tcPr>
            <w:tcW w:w="7331" w:type="dxa"/>
            <w:gridSpan w:val="6"/>
            <w:noWrap w:val="0"/>
            <w:vAlign w:val="center"/>
          </w:tcPr>
          <w:p w14:paraId="302F0E3E">
            <w:pPr>
              <w:numPr>
                <w:ilvl w:val="0"/>
                <w:numId w:val="7"/>
              </w:numPr>
              <w:spacing w:line="400" w:lineRule="exact"/>
              <w:ind w:leftChars="0"/>
              <w:rPr>
                <w:rFonts w:hint="eastAsia"/>
                <w:szCs w:val="22"/>
              </w:rPr>
            </w:pPr>
            <w:r>
              <w:rPr>
                <w:rFonts w:hint="eastAsia"/>
                <w:szCs w:val="22"/>
              </w:rPr>
              <w:t>由投标人根据电梯厂家标配功能配置</w:t>
            </w:r>
            <w:r>
              <w:rPr>
                <w:rFonts w:hint="eastAsia"/>
                <w:szCs w:val="22"/>
                <w:lang w:eastAsia="zh-CN"/>
              </w:rPr>
              <w:t>（</w:t>
            </w:r>
            <w:r>
              <w:rPr>
                <w:rFonts w:hint="eastAsia"/>
                <w:szCs w:val="22"/>
                <w:lang w:val="en-US" w:eastAsia="zh-CN"/>
              </w:rPr>
              <w:t>标准功能</w:t>
            </w:r>
            <w:r>
              <w:rPr>
                <w:rFonts w:hint="eastAsia"/>
                <w:szCs w:val="22"/>
                <w:lang w:eastAsia="zh-CN"/>
              </w:rPr>
              <w:t>）</w:t>
            </w:r>
            <w:r>
              <w:rPr>
                <w:rFonts w:hint="eastAsia"/>
                <w:szCs w:val="22"/>
              </w:rPr>
              <w:t>。</w:t>
            </w:r>
          </w:p>
          <w:p w14:paraId="0E4F96BA">
            <w:pPr>
              <w:keepNext w:val="0"/>
              <w:keepLines w:val="0"/>
              <w:widowControl/>
              <w:numPr>
                <w:ilvl w:val="0"/>
                <w:numId w:val="8"/>
              </w:numPr>
              <w:suppressLineNumbers w:val="0"/>
              <w:spacing w:line="400" w:lineRule="exact"/>
              <w:jc w:val="left"/>
              <w:rPr>
                <w:rFonts w:hint="eastAsia"/>
                <w:szCs w:val="22"/>
              </w:rPr>
            </w:pPr>
            <w:r>
              <w:rPr>
                <w:rFonts w:hint="eastAsia"/>
                <w:szCs w:val="22"/>
                <w:lang w:val="en-US" w:eastAsia="zh-CN"/>
              </w:rPr>
              <w:t>满员自动通过</w:t>
            </w:r>
          </w:p>
          <w:p w14:paraId="5EA3B07F">
            <w:pPr>
              <w:keepNext w:val="0"/>
              <w:keepLines w:val="0"/>
              <w:widowControl/>
              <w:numPr>
                <w:ilvl w:val="0"/>
                <w:numId w:val="8"/>
              </w:numPr>
              <w:suppressLineNumbers w:val="0"/>
              <w:spacing w:line="400" w:lineRule="exact"/>
              <w:jc w:val="left"/>
              <w:rPr>
                <w:rFonts w:hint="eastAsia"/>
                <w:szCs w:val="22"/>
              </w:rPr>
            </w:pPr>
            <w:r>
              <w:rPr>
                <w:rFonts w:hint="eastAsia"/>
                <w:szCs w:val="22"/>
                <w:lang w:val="en-US" w:eastAsia="zh-CN"/>
              </w:rPr>
              <w:t>轿内反向指令消除</w:t>
            </w:r>
          </w:p>
          <w:p w14:paraId="7EBFB6E5">
            <w:pPr>
              <w:keepNext w:val="0"/>
              <w:keepLines w:val="0"/>
              <w:widowControl/>
              <w:numPr>
                <w:ilvl w:val="0"/>
                <w:numId w:val="8"/>
              </w:numPr>
              <w:suppressLineNumbers w:val="0"/>
              <w:spacing w:line="400" w:lineRule="exact"/>
              <w:jc w:val="left"/>
              <w:rPr>
                <w:rFonts w:hint="eastAsia"/>
                <w:szCs w:val="22"/>
              </w:rPr>
            </w:pPr>
            <w:r>
              <w:rPr>
                <w:rFonts w:hint="eastAsia"/>
                <w:szCs w:val="22"/>
                <w:lang w:val="en-US" w:eastAsia="zh-CN"/>
              </w:rPr>
              <w:t>次层停靠</w:t>
            </w:r>
          </w:p>
          <w:p w14:paraId="77C51853">
            <w:pPr>
              <w:keepNext w:val="0"/>
              <w:keepLines w:val="0"/>
              <w:widowControl/>
              <w:numPr>
                <w:ilvl w:val="0"/>
                <w:numId w:val="8"/>
              </w:numPr>
              <w:suppressLineNumbers w:val="0"/>
              <w:spacing w:line="400" w:lineRule="exact"/>
              <w:jc w:val="left"/>
              <w:rPr>
                <w:szCs w:val="22"/>
              </w:rPr>
            </w:pPr>
            <w:r>
              <w:rPr>
                <w:rFonts w:hint="eastAsia"/>
                <w:szCs w:val="22"/>
                <w:lang w:val="en-US" w:eastAsia="zh-CN"/>
              </w:rPr>
              <w:t>超载报警</w:t>
            </w:r>
          </w:p>
          <w:p w14:paraId="69B6BBD2">
            <w:pPr>
              <w:keepNext w:val="0"/>
              <w:keepLines w:val="0"/>
              <w:widowControl/>
              <w:numPr>
                <w:ilvl w:val="0"/>
                <w:numId w:val="8"/>
              </w:numPr>
              <w:suppressLineNumbers w:val="0"/>
              <w:spacing w:line="400" w:lineRule="exact"/>
              <w:jc w:val="left"/>
              <w:rPr>
                <w:rFonts w:hint="eastAsia"/>
                <w:szCs w:val="22"/>
              </w:rPr>
            </w:pPr>
            <w:r>
              <w:rPr>
                <w:rFonts w:hint="eastAsia"/>
                <w:szCs w:val="22"/>
                <w:lang w:val="en-US" w:eastAsia="zh-CN"/>
              </w:rPr>
              <w:t>本层再开门</w:t>
            </w:r>
          </w:p>
          <w:p w14:paraId="34DC5748">
            <w:pPr>
              <w:keepNext w:val="0"/>
              <w:keepLines w:val="0"/>
              <w:widowControl/>
              <w:numPr>
                <w:ilvl w:val="0"/>
                <w:numId w:val="8"/>
              </w:numPr>
              <w:suppressLineNumbers w:val="0"/>
              <w:spacing w:line="400" w:lineRule="exact"/>
              <w:jc w:val="left"/>
              <w:rPr>
                <w:rFonts w:hint="eastAsia"/>
                <w:szCs w:val="22"/>
              </w:rPr>
            </w:pPr>
            <w:r>
              <w:rPr>
                <w:rFonts w:hint="eastAsia"/>
                <w:szCs w:val="22"/>
                <w:lang w:val="en-US" w:eastAsia="zh-CN"/>
              </w:rPr>
              <w:t>重复关门</w:t>
            </w:r>
          </w:p>
          <w:p w14:paraId="59493B5C">
            <w:pPr>
              <w:keepNext w:val="0"/>
              <w:keepLines w:val="0"/>
              <w:widowControl/>
              <w:numPr>
                <w:ilvl w:val="0"/>
                <w:numId w:val="8"/>
              </w:numPr>
              <w:suppressLineNumbers w:val="0"/>
              <w:spacing w:line="400" w:lineRule="exact"/>
              <w:jc w:val="left"/>
              <w:rPr>
                <w:rFonts w:hint="eastAsia"/>
                <w:szCs w:val="22"/>
              </w:rPr>
            </w:pPr>
            <w:r>
              <w:rPr>
                <w:rFonts w:hint="eastAsia"/>
                <w:szCs w:val="22"/>
                <w:lang w:val="en-US" w:eastAsia="zh-CN"/>
              </w:rPr>
              <w:t>强制关门</w:t>
            </w:r>
          </w:p>
          <w:p w14:paraId="4D297856">
            <w:pPr>
              <w:keepNext w:val="0"/>
              <w:keepLines w:val="0"/>
              <w:widowControl/>
              <w:numPr>
                <w:ilvl w:val="0"/>
                <w:numId w:val="8"/>
              </w:numPr>
              <w:suppressLineNumbers w:val="0"/>
              <w:spacing w:line="400" w:lineRule="exact"/>
              <w:jc w:val="left"/>
              <w:rPr>
                <w:rFonts w:hint="eastAsia"/>
                <w:szCs w:val="22"/>
              </w:rPr>
            </w:pPr>
            <w:r>
              <w:rPr>
                <w:rFonts w:hint="eastAsia"/>
                <w:szCs w:val="22"/>
                <w:lang w:val="en-US" w:eastAsia="zh-CN"/>
              </w:rPr>
              <w:t>门负载检测</w:t>
            </w:r>
          </w:p>
          <w:p w14:paraId="26F0C14B">
            <w:pPr>
              <w:keepNext w:val="0"/>
              <w:keepLines w:val="0"/>
              <w:widowControl/>
              <w:numPr>
                <w:ilvl w:val="0"/>
                <w:numId w:val="8"/>
              </w:numPr>
              <w:suppressLineNumbers w:val="0"/>
              <w:spacing w:line="400" w:lineRule="exact"/>
              <w:jc w:val="left"/>
              <w:rPr>
                <w:rFonts w:hint="eastAsia"/>
                <w:szCs w:val="22"/>
              </w:rPr>
            </w:pPr>
            <w:r>
              <w:rPr>
                <w:rFonts w:hint="eastAsia"/>
                <w:szCs w:val="22"/>
                <w:lang w:val="en-US" w:eastAsia="zh-CN"/>
              </w:rPr>
              <w:t>门速自适应控制</w:t>
            </w:r>
          </w:p>
          <w:p w14:paraId="0BDA6C72">
            <w:pPr>
              <w:widowControl/>
              <w:numPr>
                <w:ilvl w:val="0"/>
                <w:numId w:val="8"/>
              </w:numPr>
              <w:spacing w:line="400" w:lineRule="exact"/>
              <w:ind w:leftChars="0"/>
              <w:jc w:val="left"/>
              <w:rPr>
                <w:rFonts w:hint="eastAsia"/>
                <w:szCs w:val="22"/>
                <w:lang w:val="en-US" w:eastAsia="zh-CN"/>
              </w:rPr>
            </w:pPr>
            <w:r>
              <w:rPr>
                <w:rFonts w:hint="eastAsia"/>
                <w:szCs w:val="22"/>
                <w:lang w:val="en-US" w:eastAsia="zh-CN"/>
              </w:rPr>
              <w:t>轿厢应急照明</w:t>
            </w:r>
          </w:p>
          <w:p w14:paraId="107C5EF7">
            <w:pPr>
              <w:numPr>
                <w:ilvl w:val="0"/>
                <w:numId w:val="7"/>
              </w:numPr>
              <w:spacing w:line="440" w:lineRule="exact"/>
              <w:ind w:left="0" w:leftChars="0" w:firstLine="0" w:firstLineChars="0"/>
              <w:rPr>
                <w:rFonts w:hint="eastAsia"/>
                <w:szCs w:val="22"/>
              </w:rPr>
            </w:pPr>
            <w:r>
              <w:rPr>
                <w:rFonts w:hint="eastAsia"/>
                <w:szCs w:val="22"/>
              </w:rPr>
              <w:t>选配功能（已选功能）：</w:t>
            </w:r>
          </w:p>
          <w:p w14:paraId="52A4D524">
            <w:pPr>
              <w:numPr>
                <w:ilvl w:val="0"/>
                <w:numId w:val="9"/>
              </w:numPr>
              <w:tabs>
                <w:tab w:val="left" w:pos="420"/>
              </w:tabs>
              <w:spacing w:line="440" w:lineRule="exact"/>
              <w:ind w:left="425" w:leftChars="0" w:hanging="425" w:firstLineChars="0"/>
              <w:rPr>
                <w:rFonts w:hint="eastAsia"/>
                <w:szCs w:val="22"/>
              </w:rPr>
            </w:pPr>
            <w:r>
              <w:rPr>
                <w:rFonts w:hint="eastAsia"/>
                <w:szCs w:val="22"/>
                <w:lang w:val="en-US" w:eastAsia="zh-CN"/>
              </w:rPr>
              <w:t>滚动导靴（7至9号梯使用）。</w:t>
            </w:r>
          </w:p>
          <w:p w14:paraId="067D89C9">
            <w:pPr>
              <w:numPr>
                <w:ilvl w:val="0"/>
                <w:numId w:val="9"/>
              </w:numPr>
              <w:tabs>
                <w:tab w:val="left" w:pos="420"/>
              </w:tabs>
              <w:spacing w:line="440" w:lineRule="exact"/>
              <w:ind w:left="425" w:leftChars="0" w:hanging="425" w:firstLineChars="0"/>
              <w:rPr>
                <w:rFonts w:hint="eastAsia"/>
                <w:szCs w:val="22"/>
              </w:rPr>
            </w:pPr>
            <w:r>
              <w:rPr>
                <w:rFonts w:hint="eastAsia"/>
                <w:szCs w:val="22"/>
              </w:rPr>
              <w:t>停电自动平层。</w:t>
            </w:r>
          </w:p>
          <w:p w14:paraId="14BF8A0E">
            <w:pPr>
              <w:numPr>
                <w:ilvl w:val="0"/>
                <w:numId w:val="9"/>
              </w:numPr>
              <w:tabs>
                <w:tab w:val="left" w:pos="420"/>
              </w:tabs>
              <w:spacing w:line="440" w:lineRule="exact"/>
              <w:ind w:left="425" w:leftChars="0" w:hanging="425" w:firstLineChars="0"/>
              <w:rPr>
                <w:rFonts w:hint="eastAsia"/>
                <w:szCs w:val="22"/>
              </w:rPr>
            </w:pPr>
            <w:r>
              <w:rPr>
                <w:rFonts w:hint="eastAsia"/>
                <w:szCs w:val="22"/>
              </w:rPr>
              <w:t>上电再平层。</w:t>
            </w:r>
          </w:p>
          <w:p w14:paraId="658F6BB9">
            <w:pPr>
              <w:numPr>
                <w:ilvl w:val="0"/>
                <w:numId w:val="9"/>
              </w:numPr>
              <w:tabs>
                <w:tab w:val="left" w:pos="420"/>
              </w:tabs>
              <w:spacing w:line="440" w:lineRule="exact"/>
              <w:ind w:left="425" w:leftChars="0" w:hanging="425" w:firstLineChars="0"/>
              <w:rPr>
                <w:rFonts w:hint="eastAsia"/>
                <w:szCs w:val="22"/>
              </w:rPr>
            </w:pPr>
            <w:r>
              <w:rPr>
                <w:rFonts w:hint="eastAsia"/>
                <w:szCs w:val="22"/>
                <w:lang w:val="en-US" w:eastAsia="zh-CN"/>
              </w:rPr>
              <w:t>五</w:t>
            </w:r>
            <w:r>
              <w:rPr>
                <w:rFonts w:hint="eastAsia"/>
                <w:szCs w:val="22"/>
              </w:rPr>
              <w:t>方对讲通话。</w:t>
            </w:r>
          </w:p>
          <w:p w14:paraId="710DC13A">
            <w:pPr>
              <w:numPr>
                <w:ilvl w:val="0"/>
                <w:numId w:val="9"/>
              </w:numPr>
              <w:tabs>
                <w:tab w:val="left" w:pos="420"/>
              </w:tabs>
              <w:spacing w:line="440" w:lineRule="exact"/>
              <w:ind w:left="425" w:leftChars="0" w:hanging="425" w:firstLineChars="0"/>
              <w:rPr>
                <w:rFonts w:hint="eastAsia"/>
                <w:szCs w:val="22"/>
              </w:rPr>
            </w:pPr>
            <w:r>
              <w:rPr>
                <w:rFonts w:hint="eastAsia"/>
                <w:szCs w:val="22"/>
              </w:rPr>
              <w:t>错误指令消除。</w:t>
            </w:r>
          </w:p>
          <w:p w14:paraId="270BB89E">
            <w:pPr>
              <w:numPr>
                <w:ilvl w:val="0"/>
                <w:numId w:val="9"/>
              </w:numPr>
              <w:tabs>
                <w:tab w:val="left" w:pos="420"/>
              </w:tabs>
              <w:spacing w:line="440" w:lineRule="exact"/>
              <w:ind w:left="425" w:leftChars="0" w:hanging="425" w:firstLineChars="0"/>
              <w:rPr>
                <w:rFonts w:hint="eastAsia"/>
                <w:szCs w:val="22"/>
              </w:rPr>
            </w:pPr>
            <w:r>
              <w:rPr>
                <w:rFonts w:hint="eastAsia"/>
                <w:szCs w:val="22"/>
              </w:rPr>
              <w:t>轿厢沿电梯井道敷设闭路电视监控电缆到电梯机房</w:t>
            </w:r>
            <w:r>
              <w:rPr>
                <w:rFonts w:hint="eastAsia"/>
                <w:szCs w:val="22"/>
                <w:lang w:eastAsia="zh-CN"/>
              </w:rPr>
              <w:t>（</w:t>
            </w:r>
            <w:r>
              <w:rPr>
                <w:rFonts w:hint="eastAsia"/>
                <w:szCs w:val="22"/>
                <w:lang w:val="en-US" w:eastAsia="zh-CN"/>
              </w:rPr>
              <w:t>1+2）</w:t>
            </w:r>
            <w:r>
              <w:rPr>
                <w:rFonts w:hint="eastAsia"/>
                <w:szCs w:val="22"/>
              </w:rPr>
              <w:t>。</w:t>
            </w:r>
          </w:p>
          <w:p w14:paraId="549E0177">
            <w:pPr>
              <w:numPr>
                <w:ilvl w:val="0"/>
                <w:numId w:val="9"/>
              </w:numPr>
              <w:tabs>
                <w:tab w:val="left" w:pos="420"/>
              </w:tabs>
              <w:spacing w:line="440" w:lineRule="exact"/>
              <w:ind w:left="425" w:leftChars="0" w:hanging="425" w:firstLineChars="0"/>
              <w:rPr>
                <w:rFonts w:hint="eastAsia"/>
                <w:szCs w:val="22"/>
              </w:rPr>
            </w:pPr>
            <w:r>
              <w:rPr>
                <w:rFonts w:hint="eastAsia"/>
                <w:szCs w:val="22"/>
              </w:rPr>
              <w:t>BA接口</w:t>
            </w:r>
            <w:r>
              <w:rPr>
                <w:rFonts w:hint="eastAsia"/>
                <w:szCs w:val="22"/>
                <w:lang w:eastAsia="zh-CN"/>
              </w:rPr>
              <w:t>（</w:t>
            </w:r>
            <w:r>
              <w:rPr>
                <w:rFonts w:hint="eastAsia"/>
                <w:szCs w:val="22"/>
              </w:rPr>
              <w:t>电梯运行状态监控系统接口集成</w:t>
            </w:r>
            <w:r>
              <w:rPr>
                <w:rFonts w:hint="eastAsia"/>
                <w:szCs w:val="22"/>
                <w:lang w:eastAsia="zh-CN"/>
              </w:rPr>
              <w:t>）</w:t>
            </w:r>
            <w:r>
              <w:rPr>
                <w:rFonts w:hint="eastAsia"/>
                <w:szCs w:val="22"/>
              </w:rPr>
              <w:t>。</w:t>
            </w:r>
          </w:p>
          <w:p w14:paraId="049F194D">
            <w:pPr>
              <w:numPr>
                <w:ilvl w:val="0"/>
                <w:numId w:val="9"/>
              </w:numPr>
              <w:tabs>
                <w:tab w:val="left" w:pos="420"/>
              </w:tabs>
              <w:spacing w:line="440" w:lineRule="exact"/>
              <w:ind w:left="425" w:leftChars="0" w:hanging="425" w:firstLineChars="0"/>
              <w:rPr>
                <w:rFonts w:hint="eastAsia"/>
                <w:szCs w:val="22"/>
              </w:rPr>
            </w:pPr>
            <w:r>
              <w:rPr>
                <w:rFonts w:hint="eastAsia"/>
                <w:szCs w:val="22"/>
              </w:rPr>
              <w:t>满载直驶运行。</w:t>
            </w:r>
          </w:p>
          <w:p w14:paraId="38C72D5C">
            <w:pPr>
              <w:numPr>
                <w:ilvl w:val="0"/>
                <w:numId w:val="9"/>
              </w:numPr>
              <w:tabs>
                <w:tab w:val="left" w:pos="420"/>
              </w:tabs>
              <w:spacing w:line="440" w:lineRule="exact"/>
              <w:ind w:left="425" w:leftChars="0" w:hanging="425" w:firstLineChars="0"/>
              <w:rPr>
                <w:rFonts w:hint="eastAsia"/>
                <w:szCs w:val="22"/>
              </w:rPr>
            </w:pPr>
            <w:r>
              <w:rPr>
                <w:rFonts w:hint="eastAsia"/>
                <w:szCs w:val="22"/>
              </w:rPr>
              <w:t>轿内照明、通风自动控制。</w:t>
            </w:r>
          </w:p>
          <w:p w14:paraId="311743F6">
            <w:pPr>
              <w:numPr>
                <w:ilvl w:val="0"/>
                <w:numId w:val="9"/>
              </w:numPr>
              <w:tabs>
                <w:tab w:val="left" w:pos="420"/>
              </w:tabs>
              <w:spacing w:line="440" w:lineRule="exact"/>
              <w:ind w:left="425" w:leftChars="0" w:hanging="425" w:firstLineChars="0"/>
              <w:rPr>
                <w:rFonts w:hint="eastAsia"/>
                <w:szCs w:val="22"/>
              </w:rPr>
            </w:pPr>
            <w:r>
              <w:rPr>
                <w:rFonts w:hint="eastAsia"/>
                <w:szCs w:val="22"/>
              </w:rPr>
              <w:t>停电应急照明。</w:t>
            </w:r>
          </w:p>
          <w:p w14:paraId="1AACE137">
            <w:pPr>
              <w:numPr>
                <w:ilvl w:val="0"/>
                <w:numId w:val="9"/>
              </w:numPr>
              <w:tabs>
                <w:tab w:val="left" w:pos="420"/>
              </w:tabs>
              <w:spacing w:line="440" w:lineRule="exact"/>
              <w:ind w:left="425" w:leftChars="0" w:hanging="425" w:firstLineChars="0"/>
              <w:rPr>
                <w:rFonts w:hint="eastAsia"/>
                <w:szCs w:val="22"/>
              </w:rPr>
            </w:pPr>
            <w:r>
              <w:rPr>
                <w:rFonts w:hint="eastAsia"/>
                <w:szCs w:val="22"/>
              </w:rPr>
              <w:t>独立运行。</w:t>
            </w:r>
          </w:p>
          <w:p w14:paraId="66A2CFB0">
            <w:pPr>
              <w:numPr>
                <w:ilvl w:val="0"/>
                <w:numId w:val="9"/>
              </w:numPr>
              <w:tabs>
                <w:tab w:val="left" w:pos="420"/>
              </w:tabs>
              <w:spacing w:line="440" w:lineRule="exact"/>
              <w:ind w:left="425" w:leftChars="0" w:hanging="425" w:firstLineChars="0"/>
              <w:rPr>
                <w:rFonts w:hint="eastAsia"/>
                <w:szCs w:val="22"/>
              </w:rPr>
            </w:pPr>
            <w:r>
              <w:rPr>
                <w:rFonts w:hint="eastAsia"/>
                <w:szCs w:val="22"/>
              </w:rPr>
              <w:t>驻停梯。</w:t>
            </w:r>
          </w:p>
          <w:p w14:paraId="0FB28379">
            <w:pPr>
              <w:numPr>
                <w:ilvl w:val="0"/>
                <w:numId w:val="9"/>
              </w:numPr>
              <w:tabs>
                <w:tab w:val="left" w:pos="420"/>
              </w:tabs>
              <w:spacing w:line="440" w:lineRule="exact"/>
              <w:ind w:left="425" w:leftChars="0" w:hanging="425" w:firstLineChars="0"/>
              <w:rPr>
                <w:rFonts w:hint="eastAsia"/>
                <w:szCs w:val="22"/>
              </w:rPr>
            </w:pPr>
            <w:r>
              <w:rPr>
                <w:rFonts w:hint="eastAsia"/>
                <w:szCs w:val="22"/>
              </w:rPr>
              <w:t>轿厢到站</w:t>
            </w:r>
            <w:r>
              <w:rPr>
                <w:rFonts w:hint="eastAsia"/>
                <w:szCs w:val="22"/>
                <w:lang w:eastAsia="zh-CN"/>
              </w:rPr>
              <w:t>语音</w:t>
            </w:r>
            <w:r>
              <w:rPr>
                <w:rFonts w:hint="eastAsia"/>
                <w:szCs w:val="22"/>
              </w:rPr>
              <w:t>。</w:t>
            </w:r>
          </w:p>
          <w:p w14:paraId="4C0F77E6">
            <w:pPr>
              <w:numPr>
                <w:ilvl w:val="0"/>
                <w:numId w:val="9"/>
              </w:numPr>
              <w:tabs>
                <w:tab w:val="left" w:pos="420"/>
              </w:tabs>
              <w:spacing w:line="440" w:lineRule="exact"/>
              <w:ind w:left="425" w:leftChars="0" w:hanging="425" w:firstLineChars="0"/>
              <w:rPr>
                <w:rFonts w:hint="eastAsia"/>
                <w:szCs w:val="22"/>
              </w:rPr>
            </w:pPr>
            <w:r>
              <w:rPr>
                <w:rFonts w:hint="eastAsia"/>
                <w:szCs w:val="22"/>
                <w:lang w:val="en-US" w:eastAsia="zh-CN"/>
              </w:rPr>
              <w:t>消防员操作功能</w:t>
            </w:r>
            <w:r>
              <w:rPr>
                <w:rFonts w:hint="eastAsia"/>
                <w:szCs w:val="22"/>
              </w:rPr>
              <w:t>(仅配消防梯)。</w:t>
            </w:r>
          </w:p>
          <w:p w14:paraId="7BFE23A2">
            <w:pPr>
              <w:numPr>
                <w:ilvl w:val="0"/>
                <w:numId w:val="9"/>
              </w:numPr>
              <w:tabs>
                <w:tab w:val="left" w:pos="420"/>
              </w:tabs>
              <w:spacing w:line="440" w:lineRule="exact"/>
              <w:ind w:left="425" w:leftChars="0" w:hanging="425" w:firstLineChars="0"/>
              <w:rPr>
                <w:rFonts w:hint="eastAsia"/>
                <w:szCs w:val="22"/>
                <w:lang w:val="en-US" w:eastAsia="zh-CN"/>
              </w:rPr>
            </w:pPr>
            <w:r>
              <w:rPr>
                <w:rFonts w:hint="eastAsia"/>
                <w:szCs w:val="22"/>
              </w:rPr>
              <w:t>故障自动检测记录。</w:t>
            </w:r>
          </w:p>
          <w:p w14:paraId="421B2591">
            <w:pPr>
              <w:numPr>
                <w:ilvl w:val="0"/>
                <w:numId w:val="9"/>
              </w:numPr>
              <w:tabs>
                <w:tab w:val="left" w:pos="420"/>
              </w:tabs>
              <w:spacing w:line="440" w:lineRule="exact"/>
              <w:ind w:left="425" w:leftChars="0" w:hanging="425" w:firstLineChars="0"/>
              <w:rPr>
                <w:rFonts w:hint="eastAsia"/>
                <w:szCs w:val="22"/>
              </w:rPr>
            </w:pPr>
            <w:r>
              <w:rPr>
                <w:rFonts w:hint="eastAsia"/>
                <w:szCs w:val="22"/>
                <w:lang w:val="en-US" w:eastAsia="zh-CN"/>
              </w:rPr>
              <w:t>电梯专用空调。</w:t>
            </w:r>
          </w:p>
          <w:p w14:paraId="40090759">
            <w:pPr>
              <w:numPr>
                <w:ilvl w:val="0"/>
                <w:numId w:val="9"/>
              </w:numPr>
              <w:tabs>
                <w:tab w:val="left" w:pos="420"/>
              </w:tabs>
              <w:spacing w:line="440" w:lineRule="exact"/>
              <w:ind w:left="425" w:leftChars="0" w:hanging="425" w:firstLineChars="0"/>
              <w:rPr>
                <w:rFonts w:hint="eastAsia"/>
                <w:szCs w:val="22"/>
              </w:rPr>
            </w:pPr>
            <w:r>
              <w:rPr>
                <w:rFonts w:hint="eastAsia"/>
                <w:szCs w:val="22"/>
              </w:rPr>
              <w:t>楼层及轿厢人数监测</w:t>
            </w:r>
            <w:r>
              <w:rPr>
                <w:rFonts w:hint="eastAsia"/>
                <w:szCs w:val="22"/>
                <w:lang w:eastAsia="zh-CN"/>
              </w:rPr>
              <w:t>。</w:t>
            </w:r>
          </w:p>
          <w:p w14:paraId="1D43E011">
            <w:pPr>
              <w:numPr>
                <w:ilvl w:val="0"/>
                <w:numId w:val="9"/>
              </w:numPr>
              <w:tabs>
                <w:tab w:val="left" w:pos="420"/>
              </w:tabs>
              <w:spacing w:line="440" w:lineRule="exact"/>
              <w:ind w:left="425" w:leftChars="0" w:hanging="425" w:firstLineChars="0"/>
              <w:rPr>
                <w:rFonts w:hint="eastAsia"/>
                <w:szCs w:val="22"/>
                <w:lang w:eastAsia="zh-CN"/>
              </w:rPr>
            </w:pPr>
            <w:r>
              <w:rPr>
                <w:rFonts w:hint="eastAsia"/>
                <w:szCs w:val="22"/>
              </w:rPr>
              <w:t>拥挤楼层服务</w:t>
            </w:r>
            <w:r>
              <w:rPr>
                <w:rFonts w:hint="eastAsia"/>
                <w:szCs w:val="22"/>
                <w:lang w:eastAsia="zh-CN"/>
              </w:rPr>
              <w:t>。</w:t>
            </w:r>
          </w:p>
          <w:p w14:paraId="27107FE3">
            <w:pPr>
              <w:numPr>
                <w:ilvl w:val="0"/>
                <w:numId w:val="9"/>
              </w:numPr>
              <w:tabs>
                <w:tab w:val="left" w:pos="420"/>
              </w:tabs>
              <w:spacing w:line="440" w:lineRule="exact"/>
              <w:ind w:left="425" w:leftChars="0" w:hanging="425" w:firstLineChars="0"/>
              <w:rPr>
                <w:rFonts w:hint="eastAsia"/>
                <w:szCs w:val="22"/>
                <w:lang w:eastAsia="zh-CN"/>
              </w:rPr>
            </w:pPr>
            <w:r>
              <w:rPr>
                <w:rFonts w:hint="eastAsia"/>
                <w:szCs w:val="22"/>
              </w:rPr>
              <w:t>特殊层优先服务</w:t>
            </w:r>
            <w:r>
              <w:rPr>
                <w:rFonts w:hint="eastAsia"/>
                <w:szCs w:val="22"/>
                <w:lang w:eastAsia="zh-CN"/>
              </w:rPr>
              <w:t>。</w:t>
            </w:r>
          </w:p>
          <w:p w14:paraId="2C248413">
            <w:pPr>
              <w:numPr>
                <w:ilvl w:val="0"/>
                <w:numId w:val="9"/>
              </w:numPr>
              <w:tabs>
                <w:tab w:val="left" w:pos="420"/>
              </w:tabs>
              <w:spacing w:line="440" w:lineRule="exact"/>
              <w:ind w:left="425" w:hanging="425"/>
              <w:rPr>
                <w:rFonts w:hint="eastAsia"/>
                <w:szCs w:val="22"/>
                <w:lang w:val="en-US" w:eastAsia="zh-CN"/>
              </w:rPr>
            </w:pPr>
            <w:r>
              <w:rPr>
                <w:rFonts w:hint="eastAsia"/>
                <w:szCs w:val="22"/>
              </w:rPr>
              <w:t>高峰分区服务</w:t>
            </w:r>
            <w:r>
              <w:rPr>
                <w:rFonts w:hint="eastAsia"/>
                <w:szCs w:val="22"/>
                <w:lang w:eastAsia="zh-CN"/>
              </w:rPr>
              <w:t>。</w:t>
            </w:r>
          </w:p>
          <w:p w14:paraId="0234F93A">
            <w:pPr>
              <w:numPr>
                <w:ilvl w:val="0"/>
                <w:numId w:val="9"/>
              </w:numPr>
              <w:tabs>
                <w:tab w:val="left" w:pos="420"/>
              </w:tabs>
              <w:spacing w:line="440" w:lineRule="exact"/>
              <w:ind w:left="425" w:hanging="425"/>
              <w:rPr>
                <w:rFonts w:hint="eastAsia"/>
                <w:szCs w:val="22"/>
                <w:lang w:val="en-US" w:eastAsia="zh-CN"/>
              </w:rPr>
            </w:pPr>
            <w:r>
              <w:rPr>
                <w:rFonts w:hint="eastAsia"/>
                <w:szCs w:val="22"/>
              </w:rPr>
              <w:t>满载</w:t>
            </w:r>
            <w:r>
              <w:rPr>
                <w:rFonts w:hint="eastAsia"/>
                <w:szCs w:val="22"/>
                <w:lang w:val="en-US" w:eastAsia="zh-CN"/>
              </w:rPr>
              <w:t>显示</w:t>
            </w:r>
          </w:p>
          <w:p w14:paraId="745C373C">
            <w:pPr>
              <w:numPr>
                <w:ilvl w:val="0"/>
                <w:numId w:val="9"/>
              </w:numPr>
              <w:tabs>
                <w:tab w:val="left" w:pos="420"/>
              </w:tabs>
              <w:spacing w:line="440" w:lineRule="exact"/>
              <w:ind w:left="425" w:leftChars="0" w:hanging="425" w:firstLineChars="0"/>
              <w:rPr>
                <w:rFonts w:hint="default"/>
                <w:szCs w:val="22"/>
                <w:lang w:val="en-US" w:eastAsia="zh-CN"/>
              </w:rPr>
            </w:pPr>
            <w:r>
              <w:rPr>
                <w:rFonts w:hint="eastAsia" w:cs="Times New Roman"/>
                <w:kern w:val="2"/>
                <w:sz w:val="21"/>
                <w:szCs w:val="20"/>
                <w:lang w:val="en-US" w:eastAsia="zh-CN"/>
              </w:rPr>
              <w:t>对重安全钳（10、11号梯</w:t>
            </w:r>
            <w:r>
              <w:rPr>
                <w:rFonts w:hint="eastAsia"/>
                <w:szCs w:val="22"/>
                <w:lang w:val="en-US" w:eastAsia="zh-CN"/>
              </w:rPr>
              <w:t>使用</w:t>
            </w:r>
            <w:r>
              <w:rPr>
                <w:rFonts w:hint="eastAsia" w:cs="Times New Roman"/>
                <w:kern w:val="2"/>
                <w:sz w:val="21"/>
                <w:szCs w:val="20"/>
                <w:lang w:val="en-US" w:eastAsia="zh-CN"/>
              </w:rPr>
              <w:t>）</w:t>
            </w:r>
          </w:p>
        </w:tc>
      </w:tr>
    </w:tbl>
    <w:p w14:paraId="528E6300">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注：（1）表中涉及具体产品规格，供投标人选型参考，投标人可选择其它性能参数不低于上述要求的产品投标，并注明主要参数、品牌产地及每项单价，若采购进口部件需提供进口报关单。</w:t>
      </w:r>
    </w:p>
    <w:p w14:paraId="08E95CF6">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（2）电梯井道结构为混凝土结构，井道基本参数</w:t>
      </w:r>
      <w:r>
        <w:rPr>
          <w:rFonts w:hint="eastAsia" w:ascii="宋体" w:hAnsi="宋体" w:cs="宋体"/>
          <w:color w:val="auto"/>
          <w:sz w:val="21"/>
          <w:szCs w:val="21"/>
          <w:highlight w:val="none"/>
          <w:lang w:val="en-US" w:eastAsia="zh-CN"/>
        </w:rPr>
        <w:t>详见附件</w:t>
      </w:r>
      <w:r>
        <w:rPr>
          <w:rFonts w:hint="eastAsia" w:ascii="宋体" w:hAnsi="宋体" w:eastAsia="宋体" w:cs="宋体"/>
          <w:color w:val="auto"/>
          <w:sz w:val="21"/>
          <w:szCs w:val="21"/>
          <w:highlight w:val="none"/>
          <w:lang w:val="en-US" w:eastAsia="zh-CN"/>
        </w:rPr>
        <w:t>，所列出参数供参考，投标人可到现场复核。</w:t>
      </w:r>
    </w:p>
    <w:p w14:paraId="296985D5">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（3）投标人所投的产品应全面符合GB7588—2003《电梯制造与安装安全规范》及中国电梯的相关标准。</w:t>
      </w:r>
    </w:p>
    <w:p w14:paraId="64016AC0">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（4）投标人所投的产品</w:t>
      </w:r>
      <w:r>
        <w:rPr>
          <w:rFonts w:hint="eastAsia" w:ascii="宋体" w:hAnsi="宋体" w:cs="宋体"/>
          <w:color w:val="auto"/>
          <w:sz w:val="21"/>
          <w:szCs w:val="21"/>
          <w:highlight w:val="none"/>
          <w:lang w:val="en-US" w:eastAsia="zh-CN"/>
        </w:rPr>
        <w:t>可</w:t>
      </w:r>
      <w:r>
        <w:rPr>
          <w:rFonts w:hint="eastAsia" w:ascii="宋体" w:hAnsi="宋体" w:eastAsia="宋体" w:cs="宋体"/>
          <w:color w:val="auto"/>
          <w:sz w:val="21"/>
          <w:szCs w:val="21"/>
          <w:highlight w:val="none"/>
          <w:lang w:val="en-US" w:eastAsia="zh-CN"/>
        </w:rPr>
        <w:t>参照</w:t>
      </w:r>
      <w:r>
        <w:rPr>
          <w:rFonts w:hint="eastAsia" w:ascii="宋体" w:hAnsi="宋体" w:cs="宋体"/>
          <w:color w:val="auto"/>
          <w:sz w:val="21"/>
          <w:szCs w:val="21"/>
          <w:highlight w:val="none"/>
          <w:lang w:val="en-US" w:eastAsia="zh-CN"/>
        </w:rPr>
        <w:t>选用</w:t>
      </w:r>
      <w:r>
        <w:rPr>
          <w:rFonts w:ascii="宋体" w:hAnsi="宋体" w:eastAsia="宋体" w:cs="宋体"/>
          <w:spacing w:val="-2"/>
          <w:sz w:val="21"/>
          <w:szCs w:val="21"/>
          <w:highlight w:val="none"/>
        </w:rPr>
        <w:t>三菱</w:t>
      </w:r>
      <w:r>
        <w:rPr>
          <w:rFonts w:hint="eastAsia" w:ascii="宋体" w:hAnsi="宋体" w:cs="宋体"/>
          <w:spacing w:val="-2"/>
          <w:sz w:val="21"/>
          <w:szCs w:val="21"/>
          <w:highlight w:val="none"/>
          <w:lang w:eastAsia="zh-CN"/>
        </w:rPr>
        <w:t>、</w:t>
      </w:r>
      <w:r>
        <w:rPr>
          <w:rFonts w:ascii="宋体" w:hAnsi="宋体" w:eastAsia="宋体" w:cs="宋体"/>
          <w:spacing w:val="-2"/>
          <w:sz w:val="21"/>
          <w:szCs w:val="21"/>
          <w:highlight w:val="none"/>
        </w:rPr>
        <w:t>日立、迅达、</w:t>
      </w:r>
      <w:r>
        <w:rPr>
          <w:rFonts w:hint="eastAsia" w:ascii="宋体" w:hAnsi="宋体" w:cs="宋体"/>
          <w:spacing w:val="-2"/>
          <w:sz w:val="21"/>
          <w:szCs w:val="21"/>
          <w:highlight w:val="none"/>
          <w:lang w:val="en-US" w:eastAsia="zh-CN"/>
        </w:rPr>
        <w:t>通力</w:t>
      </w:r>
      <w:r>
        <w:rPr>
          <w:rFonts w:hint="eastAsia" w:ascii="宋体" w:hAnsi="宋体" w:eastAsia="宋体" w:cs="宋体"/>
          <w:color w:val="auto"/>
          <w:sz w:val="21"/>
          <w:szCs w:val="21"/>
          <w:highlight w:val="none"/>
          <w:lang w:val="en-US" w:eastAsia="zh-CN"/>
        </w:rPr>
        <w:t>（不低于（或同等于）参考品牌）。</w:t>
      </w:r>
    </w:p>
    <w:p w14:paraId="697392F3">
      <w:pPr>
        <w:shd w:val="clear" w:color="auto" w:fill="FFFFFF"/>
        <w:tabs>
          <w:tab w:val="left" w:pos="2908"/>
        </w:tabs>
        <w:spacing w:line="360" w:lineRule="auto"/>
        <w:ind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施工</w:t>
      </w:r>
      <w:r>
        <w:rPr>
          <w:rFonts w:hint="eastAsia" w:ascii="宋体" w:hAnsi="宋体" w:eastAsia="宋体" w:cs="宋体"/>
          <w:b/>
          <w:bCs/>
          <w:color w:val="auto"/>
          <w:sz w:val="21"/>
          <w:szCs w:val="21"/>
          <w:highlight w:val="none"/>
          <w:lang w:eastAsia="zh-CN"/>
        </w:rPr>
        <w:t>要求</w:t>
      </w:r>
    </w:p>
    <w:p w14:paraId="5622B853">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1、项目工期：</w:t>
      </w:r>
      <w:r>
        <w:rPr>
          <w:rFonts w:ascii="宋体" w:hAnsi="宋体" w:eastAsia="宋体" w:cs="宋体"/>
          <w:spacing w:val="-2"/>
          <w:sz w:val="21"/>
          <w:szCs w:val="21"/>
          <w:highlight w:val="none"/>
        </w:rPr>
        <w:t>合同签订之日起计算，至验收合格之日止，总工期为</w:t>
      </w:r>
      <w:r>
        <w:rPr>
          <w:rFonts w:hint="eastAsia" w:ascii="宋体" w:hAnsi="宋体" w:cs="宋体"/>
          <w:spacing w:val="-2"/>
          <w:sz w:val="21"/>
          <w:szCs w:val="21"/>
          <w:highlight w:val="none"/>
          <w:u w:val="single"/>
          <w:lang w:val="en-US" w:eastAsia="zh-CN"/>
        </w:rPr>
        <w:t>180</w:t>
      </w:r>
      <w:r>
        <w:rPr>
          <w:rFonts w:hint="eastAsia" w:ascii="宋体" w:hAnsi="宋体" w:eastAsia="宋体" w:cs="宋体"/>
          <w:spacing w:val="-2"/>
          <w:sz w:val="21"/>
          <w:szCs w:val="21"/>
          <w:highlight w:val="none"/>
          <w:lang w:val="en-US" w:eastAsia="zh-CN"/>
        </w:rPr>
        <w:t>日历</w:t>
      </w:r>
      <w:r>
        <w:rPr>
          <w:rFonts w:ascii="宋体" w:hAnsi="宋体" w:eastAsia="宋体" w:cs="宋体"/>
          <w:spacing w:val="-42"/>
          <w:sz w:val="21"/>
          <w:szCs w:val="21"/>
          <w:highlight w:val="none"/>
        </w:rPr>
        <w:t xml:space="preserve"> </w:t>
      </w:r>
      <w:r>
        <w:rPr>
          <w:rFonts w:ascii="宋体" w:hAnsi="宋体" w:eastAsia="宋体" w:cs="宋体"/>
          <w:spacing w:val="-2"/>
          <w:sz w:val="21"/>
          <w:szCs w:val="21"/>
          <w:highlight w:val="none"/>
        </w:rPr>
        <w:t>天</w:t>
      </w:r>
      <w:r>
        <w:rPr>
          <w:rFonts w:hint="eastAsia" w:ascii="宋体" w:hAnsi="宋体" w:cs="宋体"/>
          <w:spacing w:val="-2"/>
          <w:sz w:val="21"/>
          <w:szCs w:val="21"/>
          <w:highlight w:val="none"/>
          <w:lang w:eastAsia="zh-CN"/>
        </w:rPr>
        <w:t>，</w:t>
      </w:r>
      <w:r>
        <w:rPr>
          <w:rFonts w:hint="eastAsia" w:ascii="宋体" w:hAnsi="宋体" w:cs="宋体"/>
          <w:spacing w:val="-2"/>
          <w:sz w:val="21"/>
          <w:szCs w:val="21"/>
          <w:highlight w:val="none"/>
          <w:lang w:val="en-US" w:eastAsia="zh-CN"/>
        </w:rPr>
        <w:t>具体时间以招标人要求为准</w:t>
      </w:r>
      <w:r>
        <w:rPr>
          <w:rFonts w:hint="eastAsia" w:ascii="宋体" w:hAnsi="宋体" w:eastAsia="宋体" w:cs="宋体"/>
          <w:spacing w:val="-2"/>
          <w:sz w:val="21"/>
          <w:szCs w:val="21"/>
          <w:highlight w:val="none"/>
          <w:lang w:eastAsia="zh-CN"/>
        </w:rPr>
        <w:t>（每台电梯的施工期不能够超过</w:t>
      </w:r>
      <w:r>
        <w:rPr>
          <w:rFonts w:hint="eastAsia" w:ascii="宋体" w:hAnsi="宋体" w:eastAsia="宋体" w:cs="宋体"/>
          <w:spacing w:val="-2"/>
          <w:sz w:val="21"/>
          <w:szCs w:val="21"/>
          <w:highlight w:val="none"/>
          <w:lang w:val="en-US" w:eastAsia="zh-CN"/>
        </w:rPr>
        <w:t>35</w:t>
      </w:r>
      <w:r>
        <w:rPr>
          <w:rFonts w:hint="eastAsia" w:ascii="宋体" w:hAnsi="宋体" w:eastAsia="宋体" w:cs="宋体"/>
          <w:spacing w:val="-2"/>
          <w:sz w:val="21"/>
          <w:szCs w:val="21"/>
          <w:lang w:eastAsia="zh-CN"/>
        </w:rPr>
        <w:t>天）</w:t>
      </w:r>
      <w:r>
        <w:rPr>
          <w:rFonts w:hint="eastAsia" w:ascii="宋体" w:hAnsi="宋体" w:eastAsia="宋体" w:cs="宋体"/>
          <w:color w:val="auto"/>
          <w:sz w:val="21"/>
          <w:szCs w:val="21"/>
          <w:highlight w:val="none"/>
          <w:lang w:val="zh-CN" w:eastAsia="zh-CN"/>
        </w:rPr>
        <w:t>。</w:t>
      </w:r>
    </w:p>
    <w:p w14:paraId="774B1913">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电梯安装、改造等一切土建项目内容，包括每层电梯厅门地砖、大理石、天花修复工程(必须与原地砖、大理石一致)、机房改造及每层厅门召唤箱、井道土建安装改造等。电梯内饰装修，经甲方确认的内饰方案。</w:t>
      </w:r>
    </w:p>
    <w:p w14:paraId="528184E0">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投标人应负责设计、货物供货、运输、保险、装卸、安装、调试、培训、检测(包括行政收费)、技术服务(包括技术资料、图纸的提供) 、质保期保障等的全部内容及费用，达到甲方要求移交使用为目的。</w:t>
      </w:r>
    </w:p>
    <w:p w14:paraId="0730BC82">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电梯拆除、安装施工要求：整个拆除、安装施工过程，不能影响甲方正常办公及其他电梯正常使用，并负责做好电梯施工的围蔽工作，噪音较大的项目，需要安排在非办公时间内进行。第一批次电梯经监督检验验收合格投入使用后，才能开始下一批次电梯的拆除、安装施工，每台电梯的施工期不能够超过35天。</w:t>
      </w:r>
    </w:p>
    <w:p w14:paraId="037E6F24">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新安装的7、8、9号电梯能分区域独立运行也能进行高级智能群控系统运行。在逐台电梯施工时，负责电梯线路改造，确保其他电梯不受影响。</w:t>
      </w:r>
    </w:p>
    <w:p w14:paraId="004746AF">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新安装的10、11号电梯能独立运行也能进行并联运行。电梯系统需保留有4层4站的程序，以便招标人按发展需要加装层站。</w:t>
      </w:r>
    </w:p>
    <w:p w14:paraId="72E62C78">
      <w:pPr>
        <w:shd w:val="clear" w:color="auto" w:fill="FFFFFF"/>
        <w:tabs>
          <w:tab w:val="left" w:pos="2908"/>
        </w:tabs>
        <w:spacing w:line="360" w:lineRule="auto"/>
        <w:ind w:right="0" w:firstLine="0" w:firstLineChars="0"/>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、安装、调试、验收</w:t>
      </w:r>
    </w:p>
    <w:p w14:paraId="29FE23B0">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本</w:t>
      </w:r>
      <w:r>
        <w:rPr>
          <w:rFonts w:hint="eastAsia" w:ascii="宋体" w:hAnsi="宋体" w:eastAsia="宋体" w:cs="宋体"/>
          <w:color w:val="auto"/>
          <w:sz w:val="21"/>
          <w:szCs w:val="21"/>
          <w:highlight w:val="none"/>
          <w:lang w:val="zh-CN" w:eastAsia="zh-CN"/>
        </w:rPr>
        <w:t>条款</w:t>
      </w:r>
      <w:r>
        <w:rPr>
          <w:rFonts w:hint="eastAsia" w:ascii="宋体" w:hAnsi="宋体" w:eastAsia="宋体" w:cs="宋体"/>
          <w:color w:val="auto"/>
          <w:sz w:val="21"/>
          <w:szCs w:val="21"/>
          <w:highlight w:val="none"/>
          <w:lang w:val="zh-CN"/>
        </w:rPr>
        <w:t>作为</w:t>
      </w:r>
      <w:r>
        <w:rPr>
          <w:rFonts w:hint="eastAsia" w:ascii="宋体" w:hAnsi="宋体" w:eastAsia="宋体" w:cs="宋体"/>
          <w:color w:val="auto"/>
          <w:sz w:val="21"/>
          <w:szCs w:val="21"/>
          <w:highlight w:val="none"/>
          <w:lang w:val="zh-CN" w:eastAsia="zh-CN"/>
        </w:rPr>
        <w:t>中标人</w:t>
      </w:r>
      <w:r>
        <w:rPr>
          <w:rFonts w:hint="eastAsia" w:ascii="宋体" w:hAnsi="宋体" w:eastAsia="宋体" w:cs="宋体"/>
          <w:color w:val="auto"/>
          <w:sz w:val="21"/>
          <w:szCs w:val="21"/>
          <w:highlight w:val="none"/>
          <w:lang w:val="zh-CN"/>
        </w:rPr>
        <w:t>执行电梯安装调试、保养服务过程条款中的一部分，电梯供货合同包含电梯设备的安装调试、维护保养服务条款等。</w:t>
      </w:r>
    </w:p>
    <w:p w14:paraId="5B1D6043">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电梯安装调试需由中标</w:t>
      </w:r>
      <w:r>
        <w:rPr>
          <w:rFonts w:hint="eastAsia" w:ascii="宋体" w:hAnsi="宋体" w:eastAsia="宋体" w:cs="宋体"/>
          <w:color w:val="auto"/>
          <w:sz w:val="21"/>
          <w:szCs w:val="21"/>
          <w:highlight w:val="none"/>
          <w:lang w:val="zh-CN" w:eastAsia="zh-CN"/>
        </w:rPr>
        <w:t>人的</w:t>
      </w:r>
      <w:r>
        <w:rPr>
          <w:rFonts w:hint="eastAsia" w:ascii="宋体" w:hAnsi="宋体" w:eastAsia="宋体" w:cs="宋体"/>
          <w:color w:val="auto"/>
          <w:sz w:val="21"/>
          <w:szCs w:val="21"/>
          <w:highlight w:val="none"/>
          <w:lang w:val="zh-CN"/>
        </w:rPr>
        <w:t>专业人员负责，保养维修服务可由</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或其特约维保单位负责，但必须保证安装工艺达到电梯运行合格的要求。整梯运行质量由</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负责。</w:t>
      </w:r>
    </w:p>
    <w:p w14:paraId="046110C6">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应设有现场安装电梯负责人及工程师，负责工程质量及施工过程的全部安全责任，保证施工过程不出现人身安全事故、火灾事故和施工机械质量造成的电梯设备损坏事故。电梯安装人员要遵守甲方的管理制度，接受甲方的监督、管理和指导。</w:t>
      </w:r>
    </w:p>
    <w:p w14:paraId="70E36B4D">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在电梯施工前，</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应向甲方递交安装人员名单并提供相应的上岗证，严禁使用未成年工和不适应现场安全施工要求的老弱病残人员进行施工。</w:t>
      </w:r>
    </w:p>
    <w:p w14:paraId="403DFA8D">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电梯进场安装所需的现场工作条件及施工中需甲方配合承担的项目，由投标人在投标时提出，签署合同时作为条款之一予以明确。</w:t>
      </w:r>
    </w:p>
    <w:p w14:paraId="2D62E9F5">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应对每台电梯的安装现场进行检查，确认土建结构是否符合安装要求。非因甲方责任，不得收电梯安装整改费。</w:t>
      </w:r>
    </w:p>
    <w:p w14:paraId="1EAEC3E7">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安装开始前，</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应约甲方共同检查安装现场是否已具备进场条件（包括临时用电用水和临时用房的搭建地点）。在确定施工条件已具备后5天内</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与甲方确定开始施工日期并进场施工。中标</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负责向当地</w:t>
      </w:r>
      <w:r>
        <w:rPr>
          <w:rFonts w:hint="eastAsia" w:ascii="宋体" w:hAnsi="宋体" w:eastAsia="宋体" w:cs="宋体"/>
          <w:color w:val="auto"/>
          <w:sz w:val="21"/>
          <w:szCs w:val="21"/>
          <w:highlight w:val="none"/>
          <w:lang w:val="zh-CN" w:eastAsia="zh-CN"/>
        </w:rPr>
        <w:t>市场监督</w:t>
      </w:r>
      <w:r>
        <w:rPr>
          <w:rFonts w:hint="eastAsia" w:ascii="宋体" w:hAnsi="宋体" w:eastAsia="宋体" w:cs="宋体"/>
          <w:color w:val="auto"/>
          <w:sz w:val="21"/>
          <w:szCs w:val="21"/>
          <w:highlight w:val="none"/>
          <w:lang w:val="zh-CN"/>
        </w:rPr>
        <w:t>部门</w:t>
      </w:r>
      <w:r>
        <w:rPr>
          <w:rFonts w:hint="eastAsia" w:ascii="宋体" w:hAnsi="宋体" w:eastAsia="宋体" w:cs="宋体"/>
          <w:color w:val="auto"/>
          <w:sz w:val="21"/>
          <w:szCs w:val="21"/>
          <w:highlight w:val="none"/>
          <w:lang w:val="zh-CN" w:eastAsia="zh-CN"/>
        </w:rPr>
        <w:t>、特种设备检测院申请</w:t>
      </w:r>
      <w:r>
        <w:rPr>
          <w:rFonts w:hint="eastAsia" w:ascii="宋体" w:hAnsi="宋体" w:eastAsia="宋体" w:cs="宋体"/>
          <w:color w:val="auto"/>
          <w:sz w:val="21"/>
          <w:szCs w:val="21"/>
          <w:highlight w:val="none"/>
          <w:lang w:val="zh-CN"/>
        </w:rPr>
        <w:t>报装、报验手续，并承担所有有关费用。</w:t>
      </w:r>
    </w:p>
    <w:p w14:paraId="5F3E3EBB">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装卸施工所需的机械工具、设备、材料由</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自备及自费运到施工工地，并由</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自行保管，按甲方指定位置存放。</w:t>
      </w:r>
    </w:p>
    <w:p w14:paraId="2697BDFF">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在施工过程中，电梯设备的保管由</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负责，直至安装调试完毕，并在双方签署的电梯验收合格证明书后才移交给甲方。</w:t>
      </w:r>
    </w:p>
    <w:p w14:paraId="73409402">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安装调试须由</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整机制造厂的专职工程师主持完成，调试应通知甲方相关人技术员参加，应准备调试记录卡并于事前10天交一份给甲方。</w:t>
      </w:r>
    </w:p>
    <w:p w14:paraId="49311074">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施工工程由</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负责并实行“三包”：包质量、包工期、包施工安全(电梯井道、门洞的安全措施，含施工人员及其他人员的安全)。甲方只提供临时水电。</w:t>
      </w:r>
    </w:p>
    <w:p w14:paraId="113E4223">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电梯安装调试合格后，</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应及时向当地政府有关部门(技术监督局检测站和建委质监站)申请验收。验收费用由</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负责。</w:t>
      </w:r>
    </w:p>
    <w:p w14:paraId="1AC8007B">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lang w:val="zh-CN"/>
        </w:rPr>
        <w:t>电梯的验收标准按招标文件中技术要求、</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的技术规范、国家的电梯技术规范以及甲、乙双方确认的电梯工程图纸进行初步验收合格后，经当地电梯安全使用管理部门(技术监督局检测站和质监站)签署安装验收合格证及电梯使用证，最后双方签署电梯验收合格证明书。</w:t>
      </w:r>
    </w:p>
    <w:p w14:paraId="76ED6922">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lang w:val="zh-CN"/>
        </w:rPr>
        <w:t>所有验收文件、测试报告和资料，</w:t>
      </w:r>
      <w:r>
        <w:rPr>
          <w:rFonts w:hint="eastAsia" w:ascii="宋体" w:hAnsi="宋体" w:eastAsia="宋体" w:cs="宋体"/>
          <w:color w:val="auto"/>
          <w:sz w:val="21"/>
          <w:szCs w:val="21"/>
          <w:highlight w:val="none"/>
          <w:lang w:val="zh-CN" w:eastAsia="zh-CN"/>
        </w:rPr>
        <w:t>投标人</w:t>
      </w:r>
      <w:r>
        <w:rPr>
          <w:rFonts w:hint="eastAsia" w:ascii="宋体" w:hAnsi="宋体" w:eastAsia="宋体" w:cs="宋体"/>
          <w:color w:val="auto"/>
          <w:sz w:val="21"/>
          <w:szCs w:val="21"/>
          <w:highlight w:val="none"/>
          <w:lang w:val="zh-CN"/>
        </w:rPr>
        <w:t>要提交四套(一正三副)给甲方，以作设备留档备案。</w:t>
      </w:r>
    </w:p>
    <w:p w14:paraId="51A1AFC6">
      <w:pPr>
        <w:shd w:val="clear" w:color="auto" w:fill="FFFFFF"/>
        <w:tabs>
          <w:tab w:val="left" w:pos="2908"/>
        </w:tabs>
        <w:spacing w:line="360" w:lineRule="auto"/>
        <w:ind w:right="0" w:firstLine="0" w:firstLine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、质量、售后服务保证</w:t>
      </w:r>
    </w:p>
    <w:p w14:paraId="21E18151">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质保期年限时间从双方签署电梯验收合格证明书或质保合同之日起计算。质保期内投标人免费提供设备不少于24个月的日常维修及保养服务。</w:t>
      </w:r>
    </w:p>
    <w:p w14:paraId="20370588">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投标人必须有可靠的售后服务保障包括但不限于在广州市有固定的维修服务点，提供技术支持及常用的备品备件。</w:t>
      </w:r>
    </w:p>
    <w:p w14:paraId="593DE89F">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投标人设有24小时服务热线，保证在接到报障电话后1小时之内到达故障现场，且在4小时内解决问题，在广东省内设有零部件后备仓库；质保期满后，如甲方要求，投标人应继续负责维修服务，并给予价格优惠。</w:t>
      </w:r>
    </w:p>
    <w:p w14:paraId="31B52947">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投标人须提供主要零部件的生产厂家、品牌、规格、原产地证明、出厂检验报告。甲方发现不符合要求的，投标人应无偿更换并负违约责任。</w:t>
      </w:r>
    </w:p>
    <w:p w14:paraId="49430F59">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质保期间更换的零部件，该部分零部件应重新计算质保期。</w:t>
      </w:r>
    </w:p>
    <w:p w14:paraId="7C3A893D">
      <w:pPr>
        <w:shd w:val="clear" w:color="auto" w:fill="FFFFFF"/>
        <w:tabs>
          <w:tab w:val="left" w:pos="2908"/>
        </w:tabs>
        <w:spacing w:line="360" w:lineRule="auto"/>
        <w:ind w:right="0" w:firstLine="0" w:firstLineChars="0"/>
        <w:jc w:val="left"/>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付款方式</w:t>
      </w:r>
    </w:p>
    <w:p w14:paraId="70CF7D6B">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1、本项目费用按分批付款方式（批次安排详见招标合同第6.5.3、6.5.4款）。</w:t>
      </w:r>
    </w:p>
    <w:p w14:paraId="5AB74CEA">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2、本合同经双方签字并加盖公章后即生效。合同签订之日起10个工作日内</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合同总金额</w:t>
      </w:r>
      <w:r>
        <w:rPr>
          <w:rFonts w:hint="eastAsia" w:ascii="宋体" w:hAnsi="宋体" w:eastAsia="宋体" w:cs="宋体"/>
          <w:color w:val="auto"/>
          <w:sz w:val="21"/>
          <w:szCs w:val="21"/>
          <w:highlight w:val="none"/>
          <w:lang w:val="en-US" w:eastAsia="zh-CN"/>
        </w:rPr>
        <w:t>的30%，即人民币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元作为预付款支付给</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w:t>
      </w:r>
    </w:p>
    <w:p w14:paraId="525A4326">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3、双方约定款到发货，</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收到</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请款函7个工作日内按下列付款方式，分批次将5台电梯余下</w:t>
      </w:r>
      <w:r>
        <w:rPr>
          <w:rFonts w:hint="eastAsia" w:ascii="宋体" w:hAnsi="宋体" w:cs="宋体"/>
          <w:color w:val="auto"/>
          <w:sz w:val="21"/>
          <w:szCs w:val="21"/>
          <w:highlight w:val="none"/>
          <w:lang w:val="en-US" w:eastAsia="zh-CN"/>
        </w:rPr>
        <w:t>合同总金额</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67</w:t>
      </w:r>
      <w:r>
        <w:rPr>
          <w:rFonts w:hint="eastAsia" w:ascii="宋体" w:hAnsi="宋体" w:eastAsia="宋体" w:cs="宋体"/>
          <w:color w:val="auto"/>
          <w:sz w:val="21"/>
          <w:szCs w:val="21"/>
          <w:highlight w:val="none"/>
          <w:lang w:val="en-US" w:eastAsia="zh-CN"/>
        </w:rPr>
        <w:t>%支付给</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w:t>
      </w:r>
    </w:p>
    <w:p w14:paraId="1CC7BC7A">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（1）第一批次</w:t>
      </w:r>
      <w:r>
        <w:rPr>
          <w:rFonts w:hint="eastAsia" w:ascii="宋体" w:hAnsi="宋体" w:cs="宋体"/>
          <w:color w:val="auto"/>
          <w:sz w:val="21"/>
          <w:szCs w:val="21"/>
          <w:highlight w:val="none"/>
          <w:lang w:val="en-US" w:eastAsia="zh-CN"/>
        </w:rPr>
        <w:t>合同总金额</w:t>
      </w:r>
      <w:r>
        <w:rPr>
          <w:rFonts w:hint="eastAsia" w:ascii="宋体" w:hAnsi="宋体" w:eastAsia="宋体" w:cs="宋体"/>
          <w:color w:val="auto"/>
          <w:sz w:val="21"/>
          <w:szCs w:val="21"/>
          <w:highlight w:val="none"/>
          <w:lang w:val="en-US" w:eastAsia="zh-CN"/>
        </w:rPr>
        <w:t>：即人民币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w:t>
      </w:r>
    </w:p>
    <w:p w14:paraId="4A797B5A">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（2）第二批次</w:t>
      </w:r>
      <w:r>
        <w:rPr>
          <w:rFonts w:hint="eastAsia" w:ascii="宋体" w:hAnsi="宋体" w:cs="宋体"/>
          <w:color w:val="auto"/>
          <w:sz w:val="21"/>
          <w:szCs w:val="21"/>
          <w:highlight w:val="none"/>
          <w:lang w:val="en-US" w:eastAsia="zh-CN"/>
        </w:rPr>
        <w:t>合同总金额</w:t>
      </w:r>
      <w:r>
        <w:rPr>
          <w:rFonts w:hint="eastAsia" w:ascii="宋体" w:hAnsi="宋体" w:eastAsia="宋体" w:cs="宋体"/>
          <w:color w:val="auto"/>
          <w:sz w:val="21"/>
          <w:szCs w:val="21"/>
          <w:highlight w:val="none"/>
          <w:lang w:val="en-US" w:eastAsia="zh-CN"/>
        </w:rPr>
        <w:t>：即人民币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w:t>
      </w:r>
    </w:p>
    <w:p w14:paraId="54459C7C">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（3）第三批次</w:t>
      </w:r>
      <w:r>
        <w:rPr>
          <w:rFonts w:hint="eastAsia" w:ascii="宋体" w:hAnsi="宋体" w:cs="宋体"/>
          <w:color w:val="auto"/>
          <w:sz w:val="21"/>
          <w:szCs w:val="21"/>
          <w:highlight w:val="none"/>
          <w:lang w:val="en-US" w:eastAsia="zh-CN"/>
        </w:rPr>
        <w:t>合同总金额</w:t>
      </w:r>
      <w:r>
        <w:rPr>
          <w:rFonts w:hint="eastAsia" w:ascii="宋体" w:hAnsi="宋体" w:eastAsia="宋体" w:cs="宋体"/>
          <w:color w:val="auto"/>
          <w:sz w:val="21"/>
          <w:szCs w:val="21"/>
          <w:highlight w:val="none"/>
          <w:lang w:val="en-US" w:eastAsia="zh-CN"/>
        </w:rPr>
        <w:t>：即人民币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w:t>
      </w:r>
    </w:p>
    <w:p w14:paraId="4D812177">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、按本项目合同总金额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元的3%计算质保金，即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元，在第5台电梯的安全使用登记证签发之日起满2年后10个工作日内</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向</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无息支付。</w:t>
      </w:r>
    </w:p>
    <w:p w14:paraId="6573128C">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收到</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en-US" w:eastAsia="zh-CN"/>
        </w:rPr>
        <w:t>预付款时，提供相应的为期6个月的银行履约保函，保函金额为合同价的10%。</w:t>
      </w:r>
    </w:p>
    <w:p w14:paraId="4823B299">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、中标人应按招标人要求在招标人支付每期货款前向招标人提供增值税专用发票，否则招标人付款期限相应顺延并且中标人应当继续按期履行合同。</w:t>
      </w:r>
    </w:p>
    <w:p w14:paraId="7463B9F2">
      <w:pPr>
        <w:shd w:val="clear" w:color="auto" w:fill="FFFFFF"/>
        <w:tabs>
          <w:tab w:val="left" w:pos="2908"/>
        </w:tabs>
        <w:spacing w:line="360" w:lineRule="auto"/>
        <w:ind w:right="0" w:firstLine="0" w:firstLineChars="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七、其他要求</w:t>
      </w:r>
    </w:p>
    <w:p w14:paraId="59E5D1A7">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电梯机房电源箱、电梯井道的永久照明安装工程，由中标投标人全部负责，费用含在投标总价内，井道状况参见图纸及现场。</w:t>
      </w:r>
    </w:p>
    <w:p w14:paraId="1FB52CB2">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投标人可根据采购人使用要求、井道尺寸及其它要求，选择与招标电梯相对应的型号进行投标，并列明该型号响应的技术参数。</w:t>
      </w:r>
    </w:p>
    <w:p w14:paraId="65E36F99">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投标人提供的电梯产品必须是该品牌的最先进的产品，已大批量生产并经广泛使用考验，投标人须列明产品的型号、产地。</w:t>
      </w:r>
    </w:p>
    <w:p w14:paraId="198CB42C">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投标人必须提供所投标电梯的鉴定检测报告(如整梯检测报告、限速器、安全钳的鉴定检测报告、门机系统的鉴定检测报告、缓冲器的鉴定检测报告等)。</w:t>
      </w:r>
    </w:p>
    <w:p w14:paraId="56D6C143">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投标人除提供本次要求的电梯功能配置外，可根据</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lang w:val="zh-CN" w:eastAsia="zh-CN"/>
        </w:rPr>
        <w:t>的电梯技术参数表需要另外推荐可选择的电梯功能配置。</w:t>
      </w:r>
    </w:p>
    <w:p w14:paraId="22101EAA">
      <w:pPr>
        <w:spacing w:line="360" w:lineRule="auto"/>
        <w:ind w:firstLine="482" w:firstLineChars="200"/>
        <w:jc w:val="left"/>
        <w:rPr>
          <w:rFonts w:hint="eastAsia" w:ascii="宋体" w:hAnsi="宋体" w:eastAsia="宋体" w:cs="宋体"/>
          <w:b/>
          <w:color w:val="auto"/>
          <w:kern w:val="0"/>
          <w:sz w:val="48"/>
          <w:szCs w:val="48"/>
          <w:highlight w:val="none"/>
          <w:shd w:val="clear" w:color="auto" w:fill="F8FCFF"/>
        </w:rPr>
      </w:pPr>
      <w:r>
        <w:rPr>
          <w:rFonts w:hint="eastAsia" w:ascii="宋体" w:hAnsi="宋体" w:eastAsia="宋体" w:cs="宋体"/>
          <w:b/>
          <w:bCs/>
          <w:color w:val="auto"/>
          <w:sz w:val="24"/>
          <w:szCs w:val="24"/>
          <w:highlight w:val="none"/>
        </w:rPr>
        <w:t>（合同条款仅供参考，合同具体细则最终以招标人与中标人协定为准， 但不得对招标文件、投标文件作实质性修改）</w:t>
      </w:r>
    </w:p>
    <w:p w14:paraId="54EA9866">
      <w:pPr>
        <w:pStyle w:val="51"/>
        <w:ind w:firstLine="482"/>
        <w:rPr>
          <w:rFonts w:hint="eastAsia" w:ascii="宋体" w:hAnsi="宋体" w:eastAsia="宋体" w:cs="宋体"/>
          <w:b/>
          <w:color w:val="auto"/>
          <w:kern w:val="0"/>
          <w:sz w:val="48"/>
          <w:szCs w:val="48"/>
          <w:highlight w:val="none"/>
          <w:shd w:val="clear" w:color="auto" w:fill="F8FCFF"/>
        </w:rPr>
      </w:pPr>
    </w:p>
    <w:p w14:paraId="20C7C7F7">
      <w:pPr>
        <w:pStyle w:val="51"/>
        <w:ind w:firstLine="482"/>
        <w:rPr>
          <w:rFonts w:hint="eastAsia" w:ascii="宋体" w:hAnsi="宋体" w:eastAsia="宋体" w:cs="宋体"/>
          <w:b/>
          <w:color w:val="auto"/>
          <w:kern w:val="0"/>
          <w:sz w:val="48"/>
          <w:szCs w:val="48"/>
          <w:highlight w:val="none"/>
          <w:shd w:val="clear" w:color="auto" w:fill="F8FCFF"/>
        </w:rPr>
      </w:pPr>
    </w:p>
    <w:p w14:paraId="527866DB">
      <w:pPr>
        <w:pStyle w:val="51"/>
        <w:ind w:firstLine="482"/>
        <w:rPr>
          <w:rFonts w:hint="eastAsia" w:ascii="宋体" w:hAnsi="宋体" w:eastAsia="宋体" w:cs="宋体"/>
          <w:b/>
          <w:color w:val="auto"/>
          <w:kern w:val="0"/>
          <w:sz w:val="48"/>
          <w:szCs w:val="48"/>
          <w:highlight w:val="none"/>
          <w:shd w:val="clear" w:color="auto" w:fill="F8FCFF"/>
        </w:rPr>
      </w:pPr>
    </w:p>
    <w:p w14:paraId="0F2D6967">
      <w:pPr>
        <w:pStyle w:val="51"/>
        <w:ind w:firstLine="482"/>
        <w:rPr>
          <w:rFonts w:hint="eastAsia" w:ascii="宋体" w:hAnsi="宋体" w:eastAsia="宋体" w:cs="宋体"/>
          <w:b/>
          <w:color w:val="auto"/>
          <w:kern w:val="0"/>
          <w:sz w:val="48"/>
          <w:szCs w:val="48"/>
          <w:highlight w:val="none"/>
          <w:shd w:val="clear" w:color="auto" w:fill="F8FCFF"/>
        </w:rPr>
      </w:pPr>
    </w:p>
    <w:p w14:paraId="44A9B1A3">
      <w:pPr>
        <w:pStyle w:val="51"/>
        <w:ind w:firstLine="482"/>
        <w:rPr>
          <w:rFonts w:hint="eastAsia" w:ascii="宋体" w:hAnsi="宋体" w:eastAsia="宋体" w:cs="宋体"/>
          <w:b/>
          <w:color w:val="auto"/>
          <w:kern w:val="0"/>
          <w:sz w:val="48"/>
          <w:szCs w:val="48"/>
          <w:highlight w:val="none"/>
          <w:shd w:val="clear" w:color="auto" w:fill="F8FCFF"/>
        </w:rPr>
      </w:pPr>
    </w:p>
    <w:p w14:paraId="06EED99E">
      <w:pPr>
        <w:pStyle w:val="51"/>
        <w:ind w:firstLine="482"/>
        <w:rPr>
          <w:rFonts w:hint="eastAsia" w:ascii="宋体" w:hAnsi="宋体" w:eastAsia="宋体" w:cs="宋体"/>
          <w:b/>
          <w:color w:val="auto"/>
          <w:kern w:val="0"/>
          <w:sz w:val="48"/>
          <w:szCs w:val="48"/>
          <w:highlight w:val="none"/>
          <w:shd w:val="clear" w:color="auto" w:fill="F8FCFF"/>
        </w:rPr>
      </w:pPr>
    </w:p>
    <w:p w14:paraId="30DA8A5A">
      <w:pPr>
        <w:pStyle w:val="51"/>
        <w:ind w:firstLine="0" w:firstLineChars="0"/>
        <w:rPr>
          <w:rFonts w:hint="eastAsia" w:ascii="宋体" w:hAnsi="宋体" w:eastAsia="宋体" w:cs="宋体"/>
          <w:b/>
          <w:color w:val="auto"/>
          <w:kern w:val="0"/>
          <w:sz w:val="48"/>
          <w:szCs w:val="48"/>
          <w:highlight w:val="none"/>
          <w:shd w:val="clear" w:color="auto" w:fill="F8FCFF"/>
        </w:rPr>
      </w:pPr>
    </w:p>
    <w:p w14:paraId="2717BB5E">
      <w:pPr>
        <w:pStyle w:val="215"/>
        <w:jc w:val="center"/>
        <w:rPr>
          <w:rFonts w:hint="eastAsia" w:ascii="宋体" w:hAnsi="宋体" w:eastAsia="宋体" w:cs="宋体"/>
          <w:b/>
          <w:bCs/>
          <w:color w:val="auto"/>
          <w:sz w:val="36"/>
          <w:szCs w:val="36"/>
          <w:highlight w:val="none"/>
        </w:rPr>
      </w:pPr>
    </w:p>
    <w:p w14:paraId="79E18515">
      <w:pPr>
        <w:pStyle w:val="215"/>
        <w:jc w:val="center"/>
        <w:outlineLvl w:val="0"/>
        <w:rPr>
          <w:rFonts w:hint="eastAsia" w:ascii="宋体" w:hAnsi="宋体" w:eastAsia="宋体" w:cs="宋体"/>
          <w:b/>
          <w:bCs/>
          <w:color w:val="auto"/>
          <w:sz w:val="36"/>
          <w:szCs w:val="36"/>
          <w:highlight w:val="none"/>
        </w:rPr>
      </w:pPr>
      <w:bookmarkStart w:id="76" w:name="_Toc30591"/>
      <w:r>
        <w:rPr>
          <w:rFonts w:hint="eastAsia" w:ascii="宋体" w:hAnsi="宋体" w:eastAsia="宋体" w:cs="宋体"/>
          <w:b/>
          <w:bCs/>
          <w:color w:val="auto"/>
          <w:sz w:val="36"/>
          <w:szCs w:val="36"/>
          <w:highlight w:val="none"/>
        </w:rPr>
        <w:t>第四章  合同格式（参考）</w:t>
      </w:r>
      <w:bookmarkEnd w:id="76"/>
    </w:p>
    <w:p w14:paraId="42B96318">
      <w:pPr>
        <w:pStyle w:val="215"/>
        <w:rPr>
          <w:rFonts w:hint="eastAsia" w:ascii="宋体" w:hAnsi="宋体" w:eastAsia="宋体" w:cs="宋体"/>
          <w:color w:val="auto"/>
          <w:highlight w:val="none"/>
        </w:rPr>
      </w:pPr>
    </w:p>
    <w:p w14:paraId="676372FF">
      <w:pPr>
        <w:pStyle w:val="215"/>
        <w:rPr>
          <w:rFonts w:hint="eastAsia" w:ascii="宋体" w:hAnsi="宋体" w:eastAsia="宋体" w:cs="宋体"/>
          <w:color w:val="auto"/>
          <w:highlight w:val="none"/>
        </w:rPr>
      </w:pPr>
    </w:p>
    <w:p w14:paraId="28636438">
      <w:pPr>
        <w:pStyle w:val="215"/>
        <w:rPr>
          <w:rFonts w:hint="eastAsia" w:ascii="宋体" w:hAnsi="宋体" w:eastAsia="宋体" w:cs="宋体"/>
          <w:color w:val="auto"/>
          <w:highlight w:val="none"/>
        </w:rPr>
      </w:pPr>
    </w:p>
    <w:p w14:paraId="47563286">
      <w:pPr>
        <w:pStyle w:val="215"/>
        <w:rPr>
          <w:rFonts w:hint="eastAsia" w:ascii="宋体" w:hAnsi="宋体" w:eastAsia="宋体" w:cs="宋体"/>
          <w:color w:val="auto"/>
          <w:highlight w:val="none"/>
        </w:rPr>
      </w:pPr>
    </w:p>
    <w:p w14:paraId="5D9CCD77">
      <w:pPr>
        <w:pStyle w:val="215"/>
        <w:rPr>
          <w:rFonts w:hint="eastAsia" w:ascii="宋体" w:hAnsi="宋体" w:eastAsia="宋体" w:cs="宋体"/>
          <w:color w:val="auto"/>
          <w:highlight w:val="none"/>
        </w:rPr>
      </w:pPr>
    </w:p>
    <w:p w14:paraId="60F07B0E">
      <w:pPr>
        <w:pStyle w:val="215"/>
        <w:rPr>
          <w:rFonts w:hint="eastAsia" w:ascii="宋体" w:hAnsi="宋体" w:eastAsia="宋体" w:cs="宋体"/>
          <w:color w:val="auto"/>
          <w:highlight w:val="none"/>
        </w:rPr>
      </w:pPr>
    </w:p>
    <w:p w14:paraId="48421A91">
      <w:pPr>
        <w:pStyle w:val="215"/>
        <w:rPr>
          <w:rFonts w:hint="eastAsia" w:ascii="宋体" w:hAnsi="宋体" w:eastAsia="宋体" w:cs="宋体"/>
          <w:color w:val="auto"/>
          <w:highlight w:val="none"/>
        </w:rPr>
      </w:pPr>
    </w:p>
    <w:p w14:paraId="1F9F740B">
      <w:pPr>
        <w:pStyle w:val="215"/>
        <w:rPr>
          <w:rFonts w:hint="eastAsia" w:ascii="宋体" w:hAnsi="宋体" w:eastAsia="宋体" w:cs="宋体"/>
          <w:color w:val="auto"/>
          <w:highlight w:val="none"/>
        </w:rPr>
      </w:pPr>
    </w:p>
    <w:p w14:paraId="28FE6085">
      <w:pPr>
        <w:pStyle w:val="215"/>
        <w:rPr>
          <w:rFonts w:hint="eastAsia" w:ascii="宋体" w:hAnsi="宋体" w:eastAsia="宋体" w:cs="宋体"/>
          <w:color w:val="auto"/>
          <w:highlight w:val="none"/>
        </w:rPr>
      </w:pPr>
    </w:p>
    <w:p w14:paraId="4DED6319">
      <w:pPr>
        <w:pStyle w:val="215"/>
        <w:rPr>
          <w:rFonts w:hint="eastAsia" w:ascii="宋体" w:hAnsi="宋体" w:eastAsia="宋体" w:cs="宋体"/>
          <w:color w:val="auto"/>
          <w:highlight w:val="none"/>
        </w:rPr>
      </w:pPr>
    </w:p>
    <w:p w14:paraId="7C8080C7">
      <w:pPr>
        <w:pStyle w:val="215"/>
        <w:rPr>
          <w:rFonts w:hint="eastAsia" w:ascii="宋体" w:hAnsi="宋体" w:eastAsia="宋体" w:cs="宋体"/>
          <w:color w:val="auto"/>
          <w:highlight w:val="none"/>
        </w:rPr>
      </w:pPr>
    </w:p>
    <w:p w14:paraId="204F9182">
      <w:pPr>
        <w:pStyle w:val="215"/>
        <w:rPr>
          <w:rFonts w:hint="eastAsia" w:ascii="宋体" w:hAnsi="宋体" w:eastAsia="宋体" w:cs="宋体"/>
          <w:color w:val="auto"/>
          <w:highlight w:val="none"/>
        </w:rPr>
      </w:pPr>
    </w:p>
    <w:p w14:paraId="3B9D62B9">
      <w:pPr>
        <w:pStyle w:val="215"/>
        <w:rPr>
          <w:rFonts w:hint="eastAsia" w:ascii="宋体" w:hAnsi="宋体" w:eastAsia="宋体" w:cs="宋体"/>
          <w:color w:val="auto"/>
          <w:highlight w:val="none"/>
        </w:rPr>
      </w:pPr>
    </w:p>
    <w:p w14:paraId="428292AC">
      <w:pPr>
        <w:widowControl/>
        <w:tabs>
          <w:tab w:val="left" w:pos="3686"/>
          <w:tab w:val="left" w:pos="3828"/>
          <w:tab w:val="left" w:pos="3969"/>
        </w:tabs>
        <w:wordWrap w:val="0"/>
        <w:spacing w:line="360" w:lineRule="auto"/>
        <w:jc w:val="right"/>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color w:val="auto"/>
          <w:highlight w:val="none"/>
        </w:rPr>
        <w:br w:type="page"/>
      </w:r>
      <w:r>
        <w:rPr>
          <w:rFonts w:hint="eastAsia" w:asciiTheme="minorEastAsia" w:hAnsiTheme="minorEastAsia" w:eastAsiaTheme="minorEastAsia" w:cstheme="minorEastAsia"/>
          <w:color w:val="auto"/>
          <w:sz w:val="21"/>
          <w:szCs w:val="21"/>
          <w:highlight w:val="none"/>
          <w:lang w:val="en-US" w:eastAsia="zh-CN"/>
        </w:rPr>
        <w:t xml:space="preserve">合同编号           </w:t>
      </w:r>
    </w:p>
    <w:p w14:paraId="120306DE">
      <w:pPr>
        <w:pStyle w:val="298"/>
        <w:spacing w:line="600" w:lineRule="atLeast"/>
        <w:rPr>
          <w:rFonts w:hint="eastAsia" w:asciiTheme="minorEastAsia" w:hAnsiTheme="minorEastAsia" w:eastAsiaTheme="minorEastAsia" w:cstheme="minorEastAsia"/>
          <w:sz w:val="21"/>
          <w:szCs w:val="21"/>
        </w:rPr>
      </w:pPr>
    </w:p>
    <w:p w14:paraId="0D37AF8E">
      <w:pPr>
        <w:pStyle w:val="298"/>
        <w:spacing w:line="600" w:lineRule="atLeast"/>
        <w:rPr>
          <w:rFonts w:hint="eastAsia" w:asciiTheme="minorEastAsia" w:hAnsiTheme="minorEastAsia" w:eastAsiaTheme="minorEastAsia" w:cstheme="minorEastAsia"/>
          <w:sz w:val="21"/>
          <w:szCs w:val="21"/>
        </w:rPr>
      </w:pPr>
    </w:p>
    <w:p w14:paraId="5FEFF442">
      <w:pPr>
        <w:pStyle w:val="237"/>
        <w:jc w:val="center"/>
        <w:rPr>
          <w:rFonts w:hint="eastAsia" w:asciiTheme="minorEastAsia" w:hAnsiTheme="minorEastAsia" w:eastAsiaTheme="minorEastAsia" w:cstheme="minorEastAsia"/>
          <w:b w:val="0"/>
          <w:bCs w:val="0"/>
          <w:color w:val="auto"/>
          <w:sz w:val="44"/>
          <w:szCs w:val="44"/>
        </w:rPr>
      </w:pPr>
      <w:r>
        <w:rPr>
          <w:rFonts w:hint="eastAsia" w:asciiTheme="minorEastAsia" w:hAnsiTheme="minorEastAsia" w:eastAsiaTheme="minorEastAsia" w:cstheme="minorEastAsia"/>
          <w:b w:val="0"/>
          <w:bCs w:val="0"/>
          <w:color w:val="auto"/>
          <w:sz w:val="44"/>
          <w:szCs w:val="44"/>
        </w:rPr>
        <w:t>电梯</w:t>
      </w:r>
      <w:r>
        <w:rPr>
          <w:rFonts w:hint="eastAsia" w:asciiTheme="minorEastAsia" w:hAnsiTheme="minorEastAsia" w:eastAsiaTheme="minorEastAsia" w:cstheme="minorEastAsia"/>
          <w:b w:val="0"/>
          <w:bCs w:val="0"/>
          <w:color w:val="auto"/>
          <w:sz w:val="44"/>
          <w:szCs w:val="44"/>
          <w:lang w:val="en-US" w:eastAsia="zh-CN"/>
        </w:rPr>
        <w:t>采购及安装</w:t>
      </w:r>
      <w:r>
        <w:rPr>
          <w:rFonts w:hint="eastAsia" w:asciiTheme="minorEastAsia" w:hAnsiTheme="minorEastAsia" w:eastAsiaTheme="minorEastAsia" w:cstheme="minorEastAsia"/>
          <w:b w:val="0"/>
          <w:bCs w:val="0"/>
          <w:color w:val="auto"/>
          <w:sz w:val="44"/>
          <w:szCs w:val="44"/>
        </w:rPr>
        <w:t>合同</w:t>
      </w:r>
    </w:p>
    <w:p w14:paraId="39510C1D">
      <w:pPr>
        <w:pStyle w:val="298"/>
        <w:spacing w:line="600" w:lineRule="atLeast"/>
        <w:rPr>
          <w:rFonts w:hint="eastAsia" w:asciiTheme="minorEastAsia" w:hAnsiTheme="minorEastAsia" w:eastAsiaTheme="minorEastAsia" w:cstheme="minorEastAsia"/>
          <w:color w:val="auto"/>
          <w:sz w:val="44"/>
          <w:szCs w:val="44"/>
        </w:rPr>
      </w:pPr>
    </w:p>
    <w:p w14:paraId="158A31CB">
      <w:pPr>
        <w:pStyle w:val="298"/>
        <w:spacing w:line="600" w:lineRule="atLeast"/>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 xml:space="preserve"> </w:t>
      </w:r>
    </w:p>
    <w:p w14:paraId="2A49A103">
      <w:pPr>
        <w:pStyle w:val="298"/>
        <w:spacing w:line="600" w:lineRule="atLeast"/>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 xml:space="preserve">  </w:t>
      </w:r>
    </w:p>
    <w:p w14:paraId="6A07081D">
      <w:pPr>
        <w:pStyle w:val="298"/>
        <w:spacing w:line="600" w:lineRule="atLeast"/>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 xml:space="preserve"> </w:t>
      </w:r>
    </w:p>
    <w:p w14:paraId="36DF3AD8">
      <w:pPr>
        <w:pStyle w:val="237"/>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t xml:space="preserve">        </w:t>
      </w:r>
    </w:p>
    <w:p w14:paraId="6A897B37">
      <w:pPr>
        <w:pStyle w:val="237"/>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auto"/>
          <w:sz w:val="44"/>
          <w:szCs w:val="44"/>
          <w:highlight w:val="none"/>
        </w:rPr>
      </w:pPr>
    </w:p>
    <w:p w14:paraId="766A6D20">
      <w:pPr>
        <w:pStyle w:val="237"/>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auto"/>
          <w:sz w:val="44"/>
          <w:szCs w:val="44"/>
          <w:highlight w:val="none"/>
        </w:rPr>
      </w:pPr>
    </w:p>
    <w:p w14:paraId="435A8D03">
      <w:pPr>
        <w:pStyle w:val="237"/>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rPr>
        <w:t xml:space="preserve">甲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方：</w:t>
      </w:r>
      <w:r>
        <w:rPr>
          <w:rFonts w:hint="eastAsia" w:asciiTheme="minorEastAsia" w:hAnsiTheme="minorEastAsia" w:eastAsiaTheme="minorEastAsia" w:cstheme="minorEastAsia"/>
          <w:color w:val="auto"/>
          <w:sz w:val="24"/>
          <w:szCs w:val="24"/>
          <w:highlight w:val="none"/>
          <w:lang w:val="en-US" w:eastAsia="zh-CN"/>
        </w:rPr>
        <w:t>南方日报社</w:t>
      </w:r>
    </w:p>
    <w:p w14:paraId="58231FDC">
      <w:pPr>
        <w:pStyle w:val="237"/>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               乙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方：</w:t>
      </w:r>
    </w:p>
    <w:p w14:paraId="20FA4379">
      <w:pPr>
        <w:pStyle w:val="237"/>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 xml:space="preserve">               项目名称：</w:t>
      </w:r>
      <w:r>
        <w:rPr>
          <w:rFonts w:hint="eastAsia" w:asciiTheme="minorEastAsia" w:hAnsiTheme="minorEastAsia" w:eastAsiaTheme="minorEastAsia" w:cstheme="minorEastAsia"/>
          <w:color w:val="auto"/>
          <w:kern w:val="0"/>
          <w:sz w:val="24"/>
          <w:szCs w:val="24"/>
          <w:highlight w:val="none"/>
          <w:lang w:val="en-US" w:eastAsia="zh-CN"/>
        </w:rPr>
        <w:t>更换7至11号电梯</w:t>
      </w:r>
      <w:r>
        <w:rPr>
          <w:rFonts w:hint="eastAsia" w:asciiTheme="minorEastAsia" w:hAnsiTheme="minorEastAsia" w:eastAsiaTheme="minorEastAsia" w:cstheme="minorEastAsia"/>
          <w:color w:val="auto"/>
          <w:sz w:val="24"/>
          <w:szCs w:val="24"/>
          <w:highlight w:val="none"/>
          <w:lang w:val="en-US" w:eastAsia="zh-CN"/>
        </w:rPr>
        <w:t>项目</w:t>
      </w:r>
    </w:p>
    <w:p w14:paraId="3ACAD311">
      <w:pPr>
        <w:pStyle w:val="237"/>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签订日期：</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 xml:space="preserve">年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w:t>
      </w:r>
    </w:p>
    <w:p w14:paraId="526D379C">
      <w:pPr>
        <w:pStyle w:val="237"/>
        <w:jc w:val="left"/>
        <w:rPr>
          <w:rFonts w:hint="eastAsia" w:asciiTheme="minorEastAsia" w:hAnsiTheme="minorEastAsia" w:eastAsiaTheme="minorEastAsia" w:cstheme="minorEastAsia"/>
          <w:color w:val="auto"/>
          <w:sz w:val="44"/>
          <w:szCs w:val="44"/>
          <w:u w:val="single"/>
        </w:rPr>
      </w:pPr>
    </w:p>
    <w:p w14:paraId="690B3116">
      <w:pPr>
        <w:pStyle w:val="237"/>
        <w:spacing w:line="460" w:lineRule="atLeast"/>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 xml:space="preserve"> </w:t>
      </w:r>
      <w:bookmarkStart w:id="200" w:name="_GoBack"/>
      <w:bookmarkEnd w:id="200"/>
    </w:p>
    <w:p w14:paraId="3636F0E6">
      <w:pPr>
        <w:pStyle w:val="237"/>
        <w:spacing w:line="4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14:paraId="26EB45C1">
      <w:pPr>
        <w:pStyle w:val="237"/>
        <w:spacing w:line="460" w:lineRule="atLeas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14:paraId="1894243F">
      <w:pPr>
        <w:pStyle w:val="237"/>
        <w:spacing w:line="460" w:lineRule="atLeast"/>
        <w:rPr>
          <w:rFonts w:hint="eastAsia" w:asciiTheme="minorEastAsia" w:hAnsiTheme="minorEastAsia" w:eastAsiaTheme="minorEastAsia" w:cstheme="minorEastAsia"/>
          <w:color w:val="auto"/>
          <w:sz w:val="21"/>
          <w:szCs w:val="21"/>
        </w:rPr>
      </w:pPr>
    </w:p>
    <w:p w14:paraId="0B97C6BB">
      <w:pPr>
        <w:pStyle w:val="237"/>
        <w:spacing w:line="460" w:lineRule="atLeast"/>
        <w:rPr>
          <w:rFonts w:hint="eastAsia" w:asciiTheme="minorEastAsia" w:hAnsiTheme="minorEastAsia" w:eastAsiaTheme="minorEastAsia" w:cstheme="minorEastAsia"/>
          <w:color w:val="auto"/>
          <w:sz w:val="21"/>
          <w:szCs w:val="21"/>
        </w:rPr>
      </w:pPr>
    </w:p>
    <w:p w14:paraId="525B5A5F">
      <w:pPr>
        <w:pStyle w:val="237"/>
        <w:spacing w:line="460" w:lineRule="atLeast"/>
        <w:rPr>
          <w:rFonts w:hint="eastAsia" w:asciiTheme="minorEastAsia" w:hAnsiTheme="minorEastAsia" w:eastAsiaTheme="minorEastAsia" w:cstheme="minorEastAsia"/>
          <w:color w:val="auto"/>
          <w:sz w:val="21"/>
          <w:szCs w:val="21"/>
        </w:rPr>
      </w:pPr>
    </w:p>
    <w:p w14:paraId="3E9EF7CA">
      <w:pPr>
        <w:pStyle w:val="237"/>
        <w:keepNext w:val="0"/>
        <w:keepLines w:val="0"/>
        <w:pageBreakBefore w:val="0"/>
        <w:widowControl/>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Theme="minorEastAsia" w:hAnsiTheme="minorEastAsia" w:eastAsiaTheme="minorEastAsia" w:cstheme="minorEastAsia"/>
          <w:b/>
          <w:bCs/>
          <w:color w:val="auto"/>
          <w:sz w:val="21"/>
          <w:szCs w:val="21"/>
          <w:highlight w:val="none"/>
        </w:rPr>
        <w:sectPr>
          <w:headerReference r:id="rId8" w:type="default"/>
          <w:pgSz w:w="11906" w:h="16838"/>
          <w:pgMar w:top="1440" w:right="1800" w:bottom="1045" w:left="1800" w:header="851" w:footer="992" w:gutter="0"/>
          <w:pgNumType w:fmt="decimal"/>
          <w:cols w:space="425" w:num="1"/>
          <w:docGrid w:type="lines" w:linePitch="312" w:charSpace="0"/>
        </w:sectPr>
      </w:pPr>
    </w:p>
    <w:p w14:paraId="5D7213BE">
      <w:pPr>
        <w:pStyle w:val="237"/>
        <w:keepNext w:val="0"/>
        <w:keepLines w:val="0"/>
        <w:pageBreakBefore w:val="0"/>
        <w:widowControl/>
        <w:kinsoku/>
        <w:wordWrap/>
        <w:overflowPunct/>
        <w:topLinePunct w:val="0"/>
        <w:autoSpaceDE/>
        <w:autoSpaceDN/>
        <w:bidi w:val="0"/>
        <w:adjustRightInd/>
        <w:snapToGrid/>
        <w:spacing w:line="560" w:lineRule="exact"/>
        <w:ind w:left="0" w:leftChars="0" w:firstLine="422" w:firstLineChars="200"/>
        <w:jc w:val="left"/>
        <w:textAlignment w:val="auto"/>
        <w:rPr>
          <w:rFonts w:hint="eastAsia" w:asciiTheme="minorEastAsia" w:hAnsiTheme="minorEastAsia" w:eastAsiaTheme="minorEastAsia" w:cstheme="minorEastAsia"/>
          <w:b/>
          <w:bCs/>
          <w:color w:val="auto"/>
          <w:sz w:val="21"/>
          <w:szCs w:val="21"/>
          <w:highlight w:val="none"/>
          <w:u w:val="single"/>
          <w:lang w:val="en-US" w:eastAsia="zh-CN"/>
        </w:rPr>
      </w:pPr>
      <w:r>
        <w:rPr>
          <w:rFonts w:hint="eastAsia" w:asciiTheme="minorEastAsia" w:hAnsiTheme="minorEastAsia" w:eastAsiaTheme="minorEastAsia" w:cstheme="minorEastAsia"/>
          <w:b/>
          <w:bCs/>
          <w:color w:val="auto"/>
          <w:sz w:val="21"/>
          <w:szCs w:val="21"/>
          <w:highlight w:val="none"/>
        </w:rPr>
        <w:t>甲    方：</w:t>
      </w:r>
      <w:r>
        <w:rPr>
          <w:rFonts w:hint="eastAsia" w:asciiTheme="minorEastAsia" w:hAnsiTheme="minorEastAsia" w:eastAsiaTheme="minorEastAsia" w:cstheme="minorEastAsia"/>
          <w:b/>
          <w:bCs/>
          <w:color w:val="auto"/>
          <w:sz w:val="21"/>
          <w:szCs w:val="21"/>
          <w:highlight w:val="none"/>
          <w:u w:val="single"/>
          <w:lang w:eastAsia="zh-CN"/>
        </w:rPr>
        <w:t>南方日报社</w:t>
      </w:r>
      <w:r>
        <w:rPr>
          <w:rFonts w:hint="eastAsia" w:asciiTheme="minorEastAsia" w:hAnsiTheme="minorEastAsia" w:eastAsiaTheme="minorEastAsia" w:cstheme="minorEastAsia"/>
          <w:b/>
          <w:bCs/>
          <w:color w:val="auto"/>
          <w:sz w:val="21"/>
          <w:szCs w:val="21"/>
          <w:highlight w:val="none"/>
          <w:u w:val="single"/>
          <w:lang w:val="en-US" w:eastAsia="zh-CN"/>
        </w:rPr>
        <w:t xml:space="preserve">                </w:t>
      </w:r>
    </w:p>
    <w:p w14:paraId="26F3CA9F">
      <w:pPr>
        <w:pStyle w:val="237"/>
        <w:keepNext w:val="0"/>
        <w:keepLines w:val="0"/>
        <w:pageBreakBefore w:val="0"/>
        <w:widowControl/>
        <w:kinsoku/>
        <w:wordWrap/>
        <w:overflowPunct/>
        <w:topLinePunct w:val="0"/>
        <w:autoSpaceDE/>
        <w:autoSpaceDN/>
        <w:bidi w:val="0"/>
        <w:adjustRightInd/>
        <w:snapToGrid/>
        <w:spacing w:line="560" w:lineRule="exact"/>
        <w:ind w:left="0" w:leftChars="0" w:firstLine="422" w:firstLineChars="200"/>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eastAsia="zh-CN"/>
        </w:rPr>
        <w:t>甲方地址：</w:t>
      </w:r>
      <w:r>
        <w:rPr>
          <w:rFonts w:hint="eastAsia" w:asciiTheme="minorEastAsia" w:hAnsiTheme="minorEastAsia" w:eastAsiaTheme="minorEastAsia" w:cstheme="minorEastAsia"/>
          <w:b/>
          <w:bCs/>
          <w:color w:val="auto"/>
          <w:sz w:val="21"/>
          <w:szCs w:val="21"/>
          <w:u w:val="single"/>
          <w:lang w:eastAsia="zh-CN"/>
        </w:rPr>
        <w:t>广州市越秀区</w:t>
      </w:r>
      <w:r>
        <w:rPr>
          <w:rFonts w:hint="eastAsia" w:asciiTheme="minorEastAsia" w:hAnsiTheme="minorEastAsia" w:eastAsiaTheme="minorEastAsia" w:cstheme="minorEastAsia"/>
          <w:b/>
          <w:bCs/>
          <w:color w:val="auto"/>
          <w:sz w:val="21"/>
          <w:szCs w:val="21"/>
          <w:u w:val="single"/>
          <w:lang w:val="en-US" w:eastAsia="zh-CN"/>
        </w:rPr>
        <w:t>广州大道中289号</w:t>
      </w:r>
    </w:p>
    <w:p w14:paraId="07AB145A">
      <w:pPr>
        <w:pStyle w:val="237"/>
        <w:keepNext w:val="0"/>
        <w:keepLines w:val="0"/>
        <w:pageBreakBefore w:val="0"/>
        <w:widowControl/>
        <w:kinsoku/>
        <w:wordWrap/>
        <w:overflowPunct/>
        <w:topLinePunct w:val="0"/>
        <w:autoSpaceDE/>
        <w:autoSpaceDN/>
        <w:bidi w:val="0"/>
        <w:adjustRightInd/>
        <w:snapToGrid/>
        <w:spacing w:line="560" w:lineRule="exact"/>
        <w:ind w:left="0" w:leftChars="0" w:firstLine="422" w:firstLineChars="200"/>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rPr>
        <w:t>乙    方：</w:t>
      </w:r>
      <w:r>
        <w:rPr>
          <w:rFonts w:hint="eastAsia" w:asciiTheme="minorEastAsia" w:hAnsiTheme="minorEastAsia" w:eastAsiaTheme="minorEastAsia" w:cstheme="minorEastAsia"/>
          <w:b/>
          <w:bCs/>
          <w:color w:val="auto"/>
          <w:sz w:val="21"/>
          <w:szCs w:val="21"/>
          <w:u w:val="single"/>
          <w:lang w:val="en-US" w:eastAsia="zh-CN"/>
        </w:rPr>
        <w:t xml:space="preserve">                             </w:t>
      </w:r>
    </w:p>
    <w:p w14:paraId="70222B9D">
      <w:pPr>
        <w:pStyle w:val="298"/>
        <w:keepNext w:val="0"/>
        <w:keepLines w:val="0"/>
        <w:pageBreakBefore w:val="0"/>
        <w:widowControl/>
        <w:kinsoku/>
        <w:wordWrap/>
        <w:overflowPunct/>
        <w:topLinePunct w:val="0"/>
        <w:autoSpaceDE/>
        <w:autoSpaceDN/>
        <w:bidi w:val="0"/>
        <w:adjustRightInd/>
        <w:snapToGrid/>
        <w:spacing w:line="560" w:lineRule="exact"/>
        <w:ind w:left="0" w:leftChars="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乙方地址：</w:t>
      </w:r>
      <w:r>
        <w:rPr>
          <w:rFonts w:hint="eastAsia" w:asciiTheme="minorEastAsia" w:hAnsiTheme="minorEastAsia" w:eastAsiaTheme="minorEastAsia" w:cstheme="minorEastAsia"/>
          <w:b/>
          <w:bCs/>
          <w:color w:val="auto"/>
          <w:sz w:val="21"/>
          <w:szCs w:val="21"/>
          <w:u w:val="single"/>
          <w:lang w:val="en-US" w:eastAsia="zh-CN"/>
        </w:rPr>
        <w:t xml:space="preserve">                             </w:t>
      </w:r>
    </w:p>
    <w:p w14:paraId="730313AD">
      <w:pPr>
        <w:pStyle w:val="298"/>
        <w:keepNext w:val="0"/>
        <w:keepLines w:val="0"/>
        <w:pageBreakBefore w:val="0"/>
        <w:widowControl/>
        <w:kinsoku/>
        <w:wordWrap/>
        <w:overflowPunct/>
        <w:topLinePunct w:val="0"/>
        <w:autoSpaceDE/>
        <w:autoSpaceDN/>
        <w:bidi w:val="0"/>
        <w:adjustRightInd/>
        <w:snapToGrid/>
        <w:spacing w:line="560" w:lineRule="exact"/>
        <w:ind w:left="0" w:leftChars="0" w:firstLine="420" w:firstLineChars="200"/>
        <w:textAlignment w:val="auto"/>
        <w:rPr>
          <w:rFonts w:hint="eastAsia" w:asciiTheme="minorEastAsia" w:hAnsiTheme="minorEastAsia" w:eastAsiaTheme="minorEastAsia" w:cstheme="minorEastAsia"/>
          <w:color w:val="auto"/>
          <w:sz w:val="21"/>
          <w:szCs w:val="21"/>
        </w:rPr>
      </w:pPr>
    </w:p>
    <w:p w14:paraId="02AEA669">
      <w:pPr>
        <w:pStyle w:val="237"/>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依据《中华人民共和国民法典》以及有关法律、法规的规定，甲乙双方就</w:t>
      </w:r>
      <w:r>
        <w:rPr>
          <w:rFonts w:hint="eastAsia" w:asciiTheme="minorEastAsia" w:hAnsiTheme="minorEastAsia" w:eastAsiaTheme="minorEastAsia" w:cstheme="minorEastAsia"/>
          <w:color w:val="auto"/>
          <w:kern w:val="0"/>
          <w:sz w:val="21"/>
          <w:szCs w:val="21"/>
          <w:u w:val="single"/>
          <w:lang w:val="en-US" w:eastAsia="zh-CN"/>
        </w:rPr>
        <w:t>更换7至11号电梯</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项目友好协商一致，遵循公平、诚实和信用的原则，订立本合同。</w:t>
      </w:r>
    </w:p>
    <w:p w14:paraId="08F7297C">
      <w:pPr>
        <w:pStyle w:val="237"/>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第一条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rPr>
        <w:t>声明与保证</w:t>
      </w:r>
    </w:p>
    <w:p w14:paraId="1AE0C539">
      <w:pPr>
        <w:pStyle w:val="237"/>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乙方特此声明并保证如下：</w:t>
      </w:r>
    </w:p>
    <w:p w14:paraId="7573AB2D">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乙方对设备享有完整的所有权且有权对外出售，他人不会对设备主张任何权利，包括但不限于共有权、租赁权、抵押权、质押权等等，甲方对设备的使用不会引起第三方的侵权</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指控。</w:t>
      </w:r>
    </w:p>
    <w:p w14:paraId="048F87B3">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乙方向甲方出售设备（整机及配件）没有侵犯他人专有技术和/或专利和/或/著作权和/或商标权以及其它知识产权和/或其他财产权益。</w:t>
      </w:r>
    </w:p>
    <w:p w14:paraId="1E9388C5">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 乙方违反本条上述任一声明与保证，或甲方因使用或购买设备而遭到第三方提出非法利用或侵犯其专有技术和/或专利和/或其它知识产权</w:t>
      </w:r>
      <w:r>
        <w:rPr>
          <w:rFonts w:hint="eastAsia" w:asciiTheme="minorEastAsia" w:hAnsiTheme="minorEastAsia" w:eastAsiaTheme="minorEastAsia" w:cstheme="minorEastAsia"/>
          <w:color w:val="auto"/>
          <w:sz w:val="21"/>
          <w:szCs w:val="21"/>
          <w:lang w:eastAsia="zh-CN"/>
        </w:rPr>
        <w:t>等</w:t>
      </w:r>
      <w:r>
        <w:rPr>
          <w:rFonts w:hint="eastAsia" w:asciiTheme="minorEastAsia" w:hAnsiTheme="minorEastAsia" w:eastAsiaTheme="minorEastAsia" w:cstheme="minorEastAsia"/>
          <w:color w:val="auto"/>
          <w:sz w:val="21"/>
          <w:szCs w:val="21"/>
        </w:rPr>
        <w:t>指控的，乙方依法承担责任</w:t>
      </w:r>
      <w:r>
        <w:rPr>
          <w:rFonts w:hint="eastAsia" w:asciiTheme="minorEastAsia" w:hAnsiTheme="minorEastAsia" w:eastAsiaTheme="minorEastAsia" w:cstheme="minorEastAsia"/>
          <w:color w:val="auto"/>
          <w:sz w:val="21"/>
          <w:szCs w:val="21"/>
          <w:lang w:eastAsia="zh-CN"/>
        </w:rPr>
        <w:t>并赔偿由此给甲方造成的损失</w:t>
      </w:r>
      <w:r>
        <w:rPr>
          <w:rFonts w:hint="eastAsia" w:asciiTheme="minorEastAsia" w:hAnsiTheme="minorEastAsia" w:eastAsiaTheme="minorEastAsia" w:cstheme="minorEastAsia"/>
          <w:color w:val="auto"/>
          <w:sz w:val="21"/>
          <w:szCs w:val="21"/>
        </w:rPr>
        <w:t>。</w:t>
      </w:r>
    </w:p>
    <w:p w14:paraId="7C70446A">
      <w:pPr>
        <w:pStyle w:val="298"/>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第二条 </w:t>
      </w:r>
      <w:r>
        <w:rPr>
          <w:rFonts w:hint="eastAsia" w:asciiTheme="minorEastAsia" w:hAnsiTheme="minorEastAsia" w:eastAsiaTheme="minorEastAsia" w:cstheme="minorEastAsia"/>
          <w:b/>
          <w:bCs/>
          <w:color w:val="auto"/>
          <w:sz w:val="21"/>
          <w:szCs w:val="21"/>
          <w:lang w:eastAsia="zh-CN"/>
        </w:rPr>
        <w:t>产品</w:t>
      </w:r>
      <w:r>
        <w:rPr>
          <w:rFonts w:hint="eastAsia" w:asciiTheme="minorEastAsia" w:hAnsiTheme="minorEastAsia" w:eastAsiaTheme="minorEastAsia" w:cstheme="minorEastAsia"/>
          <w:b/>
          <w:bCs/>
          <w:color w:val="auto"/>
          <w:sz w:val="21"/>
          <w:szCs w:val="21"/>
        </w:rPr>
        <w:t>设备概况</w:t>
      </w:r>
    </w:p>
    <w:p w14:paraId="476396FC">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 乙方负责本项目的电梯的供应、运输及安装。电梯的供应包括为保证电梯安全稳定地操作运行需要的全部设备、材料和产品备件以及为电梯的装配、安装、调试、正常操作和维修所必须的全部工作内容以及设备资料。</w:t>
      </w:r>
    </w:p>
    <w:p w14:paraId="18BC7127">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Style w:val="121"/>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设备名称、型号、规格、数量、价格及技术要求详见附件，</w:t>
      </w:r>
      <w:r>
        <w:rPr>
          <w:rFonts w:hint="eastAsia" w:asciiTheme="minorEastAsia" w:hAnsiTheme="minorEastAsia" w:eastAsiaTheme="minorEastAsia" w:cstheme="minorEastAsia"/>
          <w:color w:val="auto"/>
          <w:sz w:val="21"/>
          <w:szCs w:val="21"/>
          <w:lang w:val="en-US" w:eastAsia="zh-CN"/>
        </w:rPr>
        <w:t>品牌</w:t>
      </w:r>
      <w:r>
        <w:rPr>
          <w:rFonts w:hint="eastAsia" w:asciiTheme="minorEastAsia" w:hAnsiTheme="minorEastAsia" w:eastAsiaTheme="minorEastAsia" w:cstheme="minorEastAsia"/>
          <w:color w:val="auto"/>
          <w:sz w:val="21"/>
          <w:szCs w:val="21"/>
        </w:rPr>
        <w:t>为</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w:t>
      </w:r>
    </w:p>
    <w:p w14:paraId="0AE05F3F">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具体如下表：</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444"/>
        <w:gridCol w:w="992"/>
      </w:tblGrid>
      <w:tr w14:paraId="63EF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DEF60FC">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b/>
                <w:bCs/>
                <w:color w:val="auto"/>
                <w:kern w:val="0"/>
                <w:sz w:val="21"/>
                <w:szCs w:val="21"/>
              </w:rPr>
              <w:t>合同编号</w:t>
            </w:r>
          </w:p>
        </w:tc>
        <w:tc>
          <w:tcPr>
            <w:tcW w:w="1217" w:type="dxa"/>
            <w:vAlign w:val="center"/>
          </w:tcPr>
          <w:p w14:paraId="4ACE43F8">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eastAsia="zh-CN"/>
              </w:rPr>
              <w:t>品牌</w:t>
            </w:r>
            <w:r>
              <w:rPr>
                <w:rFonts w:hint="eastAsia" w:asciiTheme="minorEastAsia" w:hAnsiTheme="minorEastAsia" w:eastAsiaTheme="minorEastAsia" w:cstheme="minorEastAsia"/>
                <w:b/>
                <w:bCs/>
                <w:color w:val="auto"/>
                <w:kern w:val="0"/>
                <w:sz w:val="21"/>
                <w:szCs w:val="21"/>
                <w:lang w:val="en-US" w:eastAsia="zh-CN"/>
              </w:rPr>
              <w:t>/</w:t>
            </w:r>
          </w:p>
          <w:p w14:paraId="1745FE5F">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b/>
                <w:bCs/>
                <w:color w:val="auto"/>
                <w:kern w:val="0"/>
                <w:sz w:val="21"/>
                <w:szCs w:val="21"/>
                <w:lang w:eastAsia="zh-CN"/>
              </w:rPr>
              <w:t>型号</w:t>
            </w:r>
          </w:p>
        </w:tc>
        <w:tc>
          <w:tcPr>
            <w:tcW w:w="1217" w:type="dxa"/>
            <w:vAlign w:val="center"/>
          </w:tcPr>
          <w:p w14:paraId="41EC9969">
            <w:pPr>
              <w:pStyle w:val="298"/>
              <w:pageBreakBefore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b/>
                <w:bCs/>
                <w:color w:val="auto"/>
                <w:kern w:val="0"/>
                <w:sz w:val="21"/>
                <w:szCs w:val="21"/>
              </w:rPr>
              <w:t>电梯梯号</w:t>
            </w:r>
          </w:p>
        </w:tc>
        <w:tc>
          <w:tcPr>
            <w:tcW w:w="1217" w:type="dxa"/>
            <w:vAlign w:val="center"/>
          </w:tcPr>
          <w:p w14:paraId="7423F44C">
            <w:pPr>
              <w:pStyle w:val="298"/>
              <w:pageBreakBefore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b/>
                <w:bCs/>
                <w:color w:val="auto"/>
                <w:kern w:val="0"/>
                <w:sz w:val="21"/>
                <w:szCs w:val="21"/>
              </w:rPr>
              <w:t>电梯</w:t>
            </w:r>
            <w:r>
              <w:rPr>
                <w:rFonts w:hint="eastAsia" w:asciiTheme="minorEastAsia" w:hAnsiTheme="minorEastAsia" w:eastAsiaTheme="minorEastAsia" w:cstheme="minorEastAsia"/>
                <w:b/>
                <w:bCs/>
                <w:color w:val="auto"/>
                <w:kern w:val="0"/>
                <w:sz w:val="21"/>
                <w:szCs w:val="21"/>
                <w:lang w:eastAsia="zh-CN"/>
              </w:rPr>
              <w:t>设备</w:t>
            </w:r>
            <w:r>
              <w:rPr>
                <w:rFonts w:hint="eastAsia" w:asciiTheme="minorEastAsia" w:hAnsiTheme="minorEastAsia" w:eastAsiaTheme="minorEastAsia" w:cstheme="minorEastAsia"/>
                <w:b/>
                <w:bCs/>
                <w:color w:val="auto"/>
                <w:kern w:val="0"/>
                <w:sz w:val="21"/>
                <w:szCs w:val="21"/>
              </w:rPr>
              <w:t>单价</w:t>
            </w:r>
          </w:p>
        </w:tc>
        <w:tc>
          <w:tcPr>
            <w:tcW w:w="1218" w:type="dxa"/>
            <w:vAlign w:val="center"/>
          </w:tcPr>
          <w:p w14:paraId="7DD3C774">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运</w:t>
            </w:r>
            <w:r>
              <w:rPr>
                <w:rFonts w:hint="eastAsia" w:asciiTheme="minorEastAsia" w:hAnsiTheme="minorEastAsia" w:eastAsiaTheme="minorEastAsia" w:cstheme="minorEastAsia"/>
                <w:b/>
                <w:bCs/>
                <w:color w:val="auto"/>
                <w:kern w:val="0"/>
                <w:sz w:val="21"/>
                <w:szCs w:val="21"/>
                <w:lang w:eastAsia="zh-CN"/>
              </w:rPr>
              <w:t>输</w:t>
            </w:r>
            <w:r>
              <w:rPr>
                <w:rFonts w:hint="eastAsia" w:asciiTheme="minorEastAsia" w:hAnsiTheme="minorEastAsia" w:eastAsiaTheme="minorEastAsia" w:cstheme="minorEastAsia"/>
                <w:b/>
                <w:bCs/>
                <w:color w:val="auto"/>
                <w:kern w:val="0"/>
                <w:sz w:val="21"/>
                <w:szCs w:val="21"/>
              </w:rPr>
              <w:t>费</w:t>
            </w:r>
          </w:p>
          <w:p w14:paraId="50E095D4">
            <w:pPr>
              <w:keepNext/>
              <w:keepLines/>
              <w:pageBreakBefore w:val="0"/>
              <w:kinsoku/>
              <w:wordWrap/>
              <w:overflowPunct/>
              <w:topLinePunct w:val="0"/>
              <w:autoSpaceDE w:val="0"/>
              <w:autoSpaceDN w:val="0"/>
              <w:bidi w:val="0"/>
              <w:adjustRightInd w:val="0"/>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b/>
                <w:bCs/>
                <w:color w:val="auto"/>
                <w:kern w:val="0"/>
                <w:sz w:val="21"/>
                <w:szCs w:val="21"/>
              </w:rPr>
              <w:t>单价</w:t>
            </w:r>
          </w:p>
        </w:tc>
        <w:tc>
          <w:tcPr>
            <w:tcW w:w="1444" w:type="dxa"/>
            <w:vAlign w:val="center"/>
          </w:tcPr>
          <w:p w14:paraId="1279B4FC">
            <w:pPr>
              <w:pStyle w:val="298"/>
              <w:pageBreakBefore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b/>
                <w:bCs/>
                <w:color w:val="auto"/>
                <w:kern w:val="0"/>
                <w:sz w:val="21"/>
                <w:szCs w:val="21"/>
              </w:rPr>
              <w:t>安装费</w:t>
            </w:r>
            <w:r>
              <w:rPr>
                <w:rFonts w:hint="eastAsia" w:asciiTheme="minorEastAsia" w:hAnsiTheme="minorEastAsia" w:eastAsiaTheme="minorEastAsia" w:cstheme="minorEastAsia"/>
                <w:b/>
                <w:bCs/>
                <w:color w:val="auto"/>
                <w:kern w:val="0"/>
                <w:sz w:val="21"/>
                <w:szCs w:val="21"/>
                <w:lang w:eastAsia="zh-CN"/>
              </w:rPr>
              <w:t>（含土建整改、修复费用）</w:t>
            </w:r>
          </w:p>
        </w:tc>
        <w:tc>
          <w:tcPr>
            <w:tcW w:w="992" w:type="dxa"/>
            <w:vAlign w:val="center"/>
          </w:tcPr>
          <w:p w14:paraId="28364F19">
            <w:pPr>
              <w:pStyle w:val="298"/>
              <w:pageBreakBefore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b/>
                <w:bCs/>
                <w:color w:val="auto"/>
                <w:kern w:val="0"/>
                <w:sz w:val="21"/>
                <w:szCs w:val="21"/>
                <w:lang w:eastAsia="zh-CN"/>
              </w:rPr>
              <w:t>合计</w:t>
            </w:r>
          </w:p>
        </w:tc>
      </w:tr>
      <w:tr w14:paraId="7FD2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74E3F2EC">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7" w:type="dxa"/>
          </w:tcPr>
          <w:p w14:paraId="0682C4ED">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7" w:type="dxa"/>
            <w:shd w:val="clear" w:color="auto" w:fill="auto"/>
            <w:vAlign w:val="center"/>
          </w:tcPr>
          <w:p w14:paraId="41861F37">
            <w:pPr>
              <w:pStyle w:val="298"/>
              <w:pageBreakBefore w:val="0"/>
              <w:kinsoku/>
              <w:wordWrap/>
              <w:overflowPunct/>
              <w:topLinePunct w:val="0"/>
              <w:bidi w:val="0"/>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7号梯</w:t>
            </w:r>
          </w:p>
        </w:tc>
        <w:tc>
          <w:tcPr>
            <w:tcW w:w="1217" w:type="dxa"/>
          </w:tcPr>
          <w:p w14:paraId="7C4750BE">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8" w:type="dxa"/>
          </w:tcPr>
          <w:p w14:paraId="53A9E747">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444" w:type="dxa"/>
          </w:tcPr>
          <w:p w14:paraId="180306FD">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992" w:type="dxa"/>
          </w:tcPr>
          <w:p w14:paraId="251FF7AD">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r>
      <w:tr w14:paraId="60E1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F182ED6">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7" w:type="dxa"/>
          </w:tcPr>
          <w:p w14:paraId="461043AE">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7" w:type="dxa"/>
            <w:shd w:val="clear" w:color="auto" w:fill="auto"/>
            <w:vAlign w:val="center"/>
          </w:tcPr>
          <w:p w14:paraId="08927CAB">
            <w:pPr>
              <w:pStyle w:val="298"/>
              <w:pageBreakBefore w:val="0"/>
              <w:kinsoku/>
              <w:wordWrap/>
              <w:overflowPunct/>
              <w:topLinePunct w:val="0"/>
              <w:bidi w:val="0"/>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8号梯</w:t>
            </w:r>
          </w:p>
        </w:tc>
        <w:tc>
          <w:tcPr>
            <w:tcW w:w="1217" w:type="dxa"/>
          </w:tcPr>
          <w:p w14:paraId="4B0BF732">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8" w:type="dxa"/>
          </w:tcPr>
          <w:p w14:paraId="0176186D">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444" w:type="dxa"/>
          </w:tcPr>
          <w:p w14:paraId="3B31A4F1">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992" w:type="dxa"/>
          </w:tcPr>
          <w:p w14:paraId="5E67529E">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r>
      <w:tr w14:paraId="2F48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494D32A">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7" w:type="dxa"/>
          </w:tcPr>
          <w:p w14:paraId="597CE6C4">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7" w:type="dxa"/>
            <w:shd w:val="clear" w:color="auto" w:fill="auto"/>
            <w:vAlign w:val="center"/>
          </w:tcPr>
          <w:p w14:paraId="507796A3">
            <w:pPr>
              <w:pStyle w:val="298"/>
              <w:pageBreakBefore w:val="0"/>
              <w:kinsoku/>
              <w:wordWrap/>
              <w:overflowPunct/>
              <w:topLinePunct w:val="0"/>
              <w:bidi w:val="0"/>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9号梯</w:t>
            </w:r>
          </w:p>
        </w:tc>
        <w:tc>
          <w:tcPr>
            <w:tcW w:w="1217" w:type="dxa"/>
          </w:tcPr>
          <w:p w14:paraId="02CD0598">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8" w:type="dxa"/>
          </w:tcPr>
          <w:p w14:paraId="6260213D">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444" w:type="dxa"/>
          </w:tcPr>
          <w:p w14:paraId="62A3D3C4">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992" w:type="dxa"/>
          </w:tcPr>
          <w:p w14:paraId="62C66628">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r>
      <w:tr w14:paraId="0B82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4D51698">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7" w:type="dxa"/>
          </w:tcPr>
          <w:p w14:paraId="5D2D2713">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7" w:type="dxa"/>
            <w:shd w:val="clear" w:color="auto" w:fill="auto"/>
            <w:vAlign w:val="center"/>
          </w:tcPr>
          <w:p w14:paraId="43D42EAB">
            <w:pPr>
              <w:pStyle w:val="298"/>
              <w:pageBreakBefore w:val="0"/>
              <w:kinsoku/>
              <w:wordWrap/>
              <w:overflowPunct/>
              <w:topLinePunct w:val="0"/>
              <w:bidi w:val="0"/>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10号梯</w:t>
            </w:r>
          </w:p>
        </w:tc>
        <w:tc>
          <w:tcPr>
            <w:tcW w:w="1217" w:type="dxa"/>
          </w:tcPr>
          <w:p w14:paraId="43CE366C">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8" w:type="dxa"/>
          </w:tcPr>
          <w:p w14:paraId="43CD5D2F">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444" w:type="dxa"/>
          </w:tcPr>
          <w:p w14:paraId="0F91ED31">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992" w:type="dxa"/>
          </w:tcPr>
          <w:p w14:paraId="7B504E64">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r>
      <w:tr w14:paraId="6B54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1BFF79A0">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7" w:type="dxa"/>
          </w:tcPr>
          <w:p w14:paraId="2F4ED9A3">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7" w:type="dxa"/>
            <w:shd w:val="clear" w:color="auto" w:fill="auto"/>
            <w:vAlign w:val="center"/>
          </w:tcPr>
          <w:p w14:paraId="0BC69ACC">
            <w:pPr>
              <w:pStyle w:val="298"/>
              <w:pageBreakBefore w:val="0"/>
              <w:kinsoku/>
              <w:wordWrap/>
              <w:overflowPunct/>
              <w:topLinePunct w:val="0"/>
              <w:bidi w:val="0"/>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11号梯</w:t>
            </w:r>
          </w:p>
        </w:tc>
        <w:tc>
          <w:tcPr>
            <w:tcW w:w="1217" w:type="dxa"/>
          </w:tcPr>
          <w:p w14:paraId="2CF4F716">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218" w:type="dxa"/>
          </w:tcPr>
          <w:p w14:paraId="2DFA002A">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1444" w:type="dxa"/>
          </w:tcPr>
          <w:p w14:paraId="332932B2">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c>
          <w:tcPr>
            <w:tcW w:w="992" w:type="dxa"/>
          </w:tcPr>
          <w:p w14:paraId="7D3ACADF">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p>
        </w:tc>
      </w:tr>
      <w:tr w14:paraId="0131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0114E96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rPr>
              <w:t>总价</w:t>
            </w:r>
          </w:p>
          <w:p w14:paraId="69E42668">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b w:val="0"/>
                <w:bCs w:val="0"/>
                <w:kern w:val="2"/>
                <w:sz w:val="21"/>
                <w:szCs w:val="21"/>
                <w:lang w:eastAsia="zh-CN"/>
              </w:rPr>
              <w:t>（含税）</w:t>
            </w:r>
          </w:p>
        </w:tc>
        <w:tc>
          <w:tcPr>
            <w:tcW w:w="7305" w:type="dxa"/>
            <w:gridSpan w:val="6"/>
          </w:tcPr>
          <w:p w14:paraId="496EDB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合同总金额：人民币</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大写人民币</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元整</w:t>
            </w:r>
            <w:r>
              <w:rPr>
                <w:rFonts w:hint="eastAsia" w:asciiTheme="minorEastAsia" w:hAnsiTheme="minorEastAsia" w:eastAsiaTheme="minorEastAsia" w:cstheme="minorEastAsia"/>
                <w:sz w:val="21"/>
                <w:szCs w:val="21"/>
                <w:lang w:val="en-US" w:eastAsia="zh-CN"/>
              </w:rPr>
              <w:t>（含折旧回收5台旧电梯抵扣金额：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none"/>
                <w:lang w:val="en-US" w:eastAsia="zh-CN"/>
              </w:rPr>
              <w:t>；</w:t>
            </w:r>
          </w:p>
          <w:p w14:paraId="5C801DD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其中</w:t>
            </w:r>
            <w:r>
              <w:rPr>
                <w:rFonts w:hint="eastAsia" w:asciiTheme="minorEastAsia" w:hAnsiTheme="minorEastAsia" w:eastAsiaTheme="minorEastAsia" w:cstheme="minorEastAsia"/>
                <w:sz w:val="21"/>
                <w:szCs w:val="21"/>
                <w:lang w:val="en-US" w:eastAsia="zh-CN"/>
              </w:rPr>
              <w:t>包含：</w:t>
            </w:r>
          </w:p>
          <w:p w14:paraId="78E36E7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rPr>
              <w:t>设备款</w:t>
            </w:r>
            <w:r>
              <w:rPr>
                <w:rFonts w:hint="eastAsia" w:asciiTheme="minorEastAsia" w:hAnsiTheme="minorEastAsia" w:eastAsiaTheme="minorEastAsia" w:cstheme="minorEastAsia"/>
                <w:sz w:val="21"/>
                <w:szCs w:val="21"/>
                <w:lang w:eastAsia="zh-CN"/>
              </w:rPr>
              <w:t>（电梯设备总价</w:t>
            </w:r>
            <w:r>
              <w:rPr>
                <w:rFonts w:hint="eastAsia" w:asciiTheme="minorEastAsia" w:hAnsiTheme="minorEastAsia" w:eastAsiaTheme="minorEastAsia" w:cstheme="minorEastAsia"/>
                <w:sz w:val="21"/>
                <w:szCs w:val="21"/>
                <w:lang w:val="en-US" w:eastAsia="zh-CN"/>
              </w:rPr>
              <w:t>及</w:t>
            </w:r>
            <w:r>
              <w:rPr>
                <w:rFonts w:hint="eastAsia" w:asciiTheme="minorEastAsia" w:hAnsiTheme="minorEastAsia" w:eastAsiaTheme="minorEastAsia" w:cstheme="minorEastAsia"/>
                <w:b w:val="0"/>
                <w:bCs w:val="0"/>
                <w:color w:val="auto"/>
                <w:kern w:val="0"/>
                <w:sz w:val="21"/>
                <w:szCs w:val="21"/>
                <w:highlight w:val="none"/>
                <w:lang w:val="en-US" w:eastAsia="zh-CN"/>
              </w:rPr>
              <w:t>折旧回收旧电梯抵扣金额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税率</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14:paraId="2B731B1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运输</w:t>
            </w:r>
            <w:r>
              <w:rPr>
                <w:rFonts w:hint="eastAsia" w:asciiTheme="minorEastAsia" w:hAnsiTheme="minorEastAsia" w:eastAsiaTheme="minorEastAsia" w:cstheme="minorEastAsia"/>
                <w:sz w:val="21"/>
                <w:szCs w:val="21"/>
                <w:lang w:eastAsia="zh-CN"/>
              </w:rPr>
              <w:t>费：</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税率</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14:paraId="1315C3A2">
            <w:pPr>
              <w:pStyle w:val="298"/>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sz w:val="21"/>
                <w:szCs w:val="21"/>
              </w:rPr>
              <w:t>安装费</w:t>
            </w:r>
            <w:r>
              <w:rPr>
                <w:rFonts w:hint="eastAsia" w:asciiTheme="minorEastAsia" w:hAnsiTheme="minorEastAsia" w:eastAsiaTheme="minorEastAsia" w:cstheme="minorEastAsia"/>
                <w:sz w:val="21"/>
                <w:szCs w:val="21"/>
                <w:lang w:eastAsia="zh-CN"/>
              </w:rPr>
              <w:t>（含备注其他等费用）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税率</w:t>
            </w:r>
            <w:r>
              <w:rPr>
                <w:rFonts w:hint="eastAsia" w:asciiTheme="minorEastAsia" w:hAnsiTheme="minorEastAsia" w:eastAsiaTheme="minorEastAsia" w:cstheme="minorEastAsia"/>
                <w:strike/>
                <w:sz w:val="21"/>
                <w:szCs w:val="21"/>
                <w:u w:val="non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lang w:eastAsia="zh-CN"/>
              </w:rPr>
              <w:t>。</w:t>
            </w:r>
          </w:p>
        </w:tc>
      </w:tr>
      <w:tr w14:paraId="1A50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Pr>
          <w:p w14:paraId="7C9A913F">
            <w:pPr>
              <w:pStyle w:val="298"/>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kern w:val="0"/>
                <w:sz w:val="21"/>
                <w:szCs w:val="21"/>
                <w:lang w:val="en-US" w:eastAsia="zh-CN" w:bidi="ar-SA"/>
              </w:rPr>
              <w:t>注：本合同总金额</w:t>
            </w:r>
            <w:r>
              <w:rPr>
                <w:rFonts w:hint="eastAsia" w:asciiTheme="minorEastAsia" w:hAnsiTheme="minorEastAsia" w:eastAsiaTheme="minorEastAsia" w:cstheme="minorEastAsia"/>
                <w:color w:val="auto"/>
                <w:kern w:val="0"/>
                <w:sz w:val="21"/>
                <w:szCs w:val="21"/>
                <w:highlight w:val="none"/>
                <w:lang w:val="en-US" w:eastAsia="zh-CN"/>
              </w:rPr>
              <w:t>包括但不限于</w:t>
            </w:r>
            <w:r>
              <w:rPr>
                <w:rFonts w:hint="eastAsia" w:asciiTheme="minorEastAsia" w:hAnsiTheme="minorEastAsia" w:eastAsiaTheme="minorEastAsia" w:cstheme="minorEastAsia"/>
                <w:color w:val="auto"/>
                <w:kern w:val="0"/>
                <w:sz w:val="21"/>
                <w:szCs w:val="21"/>
                <w:lang w:val="en-US" w:eastAsia="zh-CN" w:bidi="ar-SA"/>
              </w:rPr>
              <w:t>：</w:t>
            </w:r>
            <w:r>
              <w:rPr>
                <w:rFonts w:hint="eastAsia" w:asciiTheme="minorEastAsia" w:hAnsiTheme="minorEastAsia" w:eastAsiaTheme="minorEastAsia" w:cstheme="minorEastAsia"/>
                <w:b w:val="0"/>
                <w:bCs w:val="0"/>
                <w:color w:val="auto"/>
                <w:kern w:val="0"/>
                <w:sz w:val="21"/>
                <w:szCs w:val="21"/>
                <w:highlight w:val="none"/>
                <w:lang w:val="en-US" w:eastAsia="zh-CN"/>
              </w:rPr>
              <w:t>折旧回收旧电梯</w:t>
            </w:r>
            <w:r>
              <w:rPr>
                <w:rFonts w:hint="eastAsia" w:asciiTheme="minorEastAsia" w:hAnsiTheme="minorEastAsia" w:eastAsiaTheme="minorEastAsia" w:cstheme="minorEastAsia"/>
                <w:color w:val="auto"/>
                <w:kern w:val="0"/>
                <w:sz w:val="21"/>
                <w:szCs w:val="21"/>
                <w:highlight w:val="none"/>
                <w:lang w:val="en-US" w:eastAsia="zh-CN"/>
              </w:rPr>
              <w:t>、设备金额、包装费、运输费、保险费、设备装卸费、保管费、质保维护费、拆除安装费、绿色施工安全防护措施费、调试费、</w:t>
            </w:r>
            <w:r>
              <w:rPr>
                <w:rFonts w:hint="eastAsia" w:asciiTheme="minorEastAsia" w:hAnsiTheme="minorEastAsia" w:eastAsiaTheme="minorEastAsia" w:cstheme="minorEastAsia"/>
                <w:color w:val="auto"/>
                <w:kern w:val="0"/>
                <w:sz w:val="21"/>
                <w:szCs w:val="21"/>
                <w:lang w:val="en-US" w:eastAsia="zh-CN"/>
              </w:rPr>
              <w:t>电梯监督检验</w:t>
            </w:r>
            <w:r>
              <w:rPr>
                <w:rFonts w:hint="eastAsia" w:asciiTheme="minorEastAsia" w:hAnsiTheme="minorEastAsia" w:eastAsiaTheme="minorEastAsia" w:cstheme="minorEastAsia"/>
                <w:color w:val="auto"/>
                <w:kern w:val="0"/>
                <w:sz w:val="21"/>
                <w:szCs w:val="21"/>
                <w:highlight w:val="none"/>
                <w:lang w:val="en-US" w:eastAsia="zh-CN"/>
              </w:rPr>
              <w:t>费以及税费等与项目相关的所有费用。</w:t>
            </w:r>
          </w:p>
        </w:tc>
      </w:tr>
    </w:tbl>
    <w:p w14:paraId="77ACFB40">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设备之技术要求详见本合同附件一《技术规格要求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val="0"/>
          <w:bCs w:val="0"/>
          <w:color w:val="auto"/>
          <w:sz w:val="21"/>
          <w:szCs w:val="21"/>
          <w:lang w:eastAsia="zh-CN"/>
        </w:rPr>
        <w:t>产品规格表</w:t>
      </w:r>
      <w:r>
        <w:rPr>
          <w:rFonts w:hint="eastAsia" w:asciiTheme="minorEastAsia" w:hAnsiTheme="minorEastAsia" w:eastAsiaTheme="minorEastAsia" w:cstheme="minorEastAsia"/>
          <w:color w:val="auto"/>
          <w:sz w:val="21"/>
          <w:szCs w:val="21"/>
        </w:rPr>
        <w:t>》。</w:t>
      </w:r>
    </w:p>
    <w:p w14:paraId="777CCF80">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2.3</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设备由乙方</w:t>
      </w:r>
      <w:r>
        <w:rPr>
          <w:rFonts w:hint="eastAsia" w:asciiTheme="minorEastAsia" w:hAnsiTheme="minorEastAsia" w:eastAsiaTheme="minorEastAsia" w:cstheme="minorEastAsia"/>
          <w:color w:val="auto"/>
          <w:sz w:val="21"/>
          <w:szCs w:val="21"/>
          <w:lang w:eastAsia="zh-CN"/>
        </w:rPr>
        <w:t>负责</w:t>
      </w:r>
      <w:r>
        <w:rPr>
          <w:rFonts w:hint="eastAsia" w:asciiTheme="minorEastAsia" w:hAnsiTheme="minorEastAsia" w:eastAsiaTheme="minorEastAsia" w:cstheme="minorEastAsia"/>
          <w:color w:val="auto"/>
          <w:sz w:val="21"/>
          <w:szCs w:val="21"/>
        </w:rPr>
        <w:t>托运，乙方承担运费及运保费运至甲方指定的收货地址：</w:t>
      </w:r>
      <w:r>
        <w:rPr>
          <w:rFonts w:hint="eastAsia" w:asciiTheme="minorEastAsia" w:hAnsiTheme="minorEastAsia" w:eastAsiaTheme="minorEastAsia" w:cstheme="minorEastAsia"/>
          <w:color w:val="auto"/>
          <w:sz w:val="21"/>
          <w:szCs w:val="21"/>
          <w:u w:val="single"/>
        </w:rPr>
        <w:t>广州市</w:t>
      </w:r>
      <w:r>
        <w:rPr>
          <w:rFonts w:hint="eastAsia" w:asciiTheme="minorEastAsia" w:hAnsiTheme="minorEastAsia" w:eastAsiaTheme="minorEastAsia" w:cstheme="minorEastAsia"/>
          <w:color w:val="auto"/>
          <w:sz w:val="21"/>
          <w:szCs w:val="21"/>
          <w:u w:val="single"/>
          <w:lang w:eastAsia="zh-CN"/>
        </w:rPr>
        <w:t>广州大道中289号南方报业传媒集团</w:t>
      </w:r>
      <w:r>
        <w:rPr>
          <w:rFonts w:hint="eastAsia" w:asciiTheme="minorEastAsia" w:hAnsiTheme="minorEastAsia" w:eastAsiaTheme="minorEastAsia" w:cstheme="minorEastAsia"/>
          <w:color w:val="auto"/>
          <w:sz w:val="21"/>
          <w:szCs w:val="21"/>
          <w:u w:val="single"/>
          <w:lang w:val="en-US" w:eastAsia="zh-CN"/>
        </w:rPr>
        <w:t>2</w:t>
      </w:r>
      <w:r>
        <w:rPr>
          <w:rFonts w:hint="eastAsia" w:asciiTheme="minorEastAsia" w:hAnsiTheme="minorEastAsia" w:eastAsiaTheme="minorEastAsia" w:cstheme="minorEastAsia"/>
          <w:color w:val="auto"/>
          <w:sz w:val="21"/>
          <w:szCs w:val="21"/>
          <w:u w:val="single"/>
          <w:lang w:eastAsia="zh-CN"/>
        </w:rPr>
        <w:t>号楼</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w:t>
      </w:r>
      <w:r>
        <w:rPr>
          <w:rFonts w:hint="eastAsia" w:asciiTheme="minorEastAsia" w:hAnsiTheme="minorEastAsia" w:eastAsiaTheme="minorEastAsia" w:cstheme="minorEastAsia"/>
          <w:color w:val="auto"/>
          <w:sz w:val="21"/>
          <w:szCs w:val="21"/>
        </w:rPr>
        <w:t>收货人：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，收货人电话：</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u w:val="none"/>
          <w:lang w:eastAsia="zh-CN"/>
        </w:rPr>
        <w:t>。</w:t>
      </w:r>
    </w:p>
    <w:p w14:paraId="078FD564">
      <w:pPr>
        <w:pStyle w:val="298"/>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第三条 质量要求</w:t>
      </w:r>
    </w:p>
    <w:p w14:paraId="5684A357">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 设备／材料质量标准：产品必须全新、无断裂、完好无损、具有出厂合格证；使用的材料、工艺、颜色质量必须满足国家、地方、行业主管部门、质量监督部门的相关法规规范规定，满足设计及正常使用要求。</w:t>
      </w:r>
    </w:p>
    <w:p w14:paraId="4CAD6A13">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 技术标准：电梯执行《电梯制造与安装安全规范（GB7588-2003）》；前述技术标准与本合同附件之技术要求存在冲突之处的，则应以其中最严、最高者为准。</w:t>
      </w:r>
    </w:p>
    <w:p w14:paraId="0EEAF30A">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 设备资料</w:t>
      </w:r>
    </w:p>
    <w:p w14:paraId="0DF94E57">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3.3.1 本合同设备设计所需的技术资料（包括</w:t>
      </w:r>
      <w:r>
        <w:rPr>
          <w:rFonts w:hint="eastAsia" w:asciiTheme="minorEastAsia" w:hAnsiTheme="minorEastAsia" w:eastAsiaTheme="minorEastAsia" w:cstheme="minorEastAsia"/>
          <w:color w:val="auto"/>
          <w:sz w:val="21"/>
          <w:szCs w:val="21"/>
          <w:lang w:val="en-US" w:eastAsia="zh-CN"/>
        </w:rPr>
        <w:t>《电梯井道图》</w:t>
      </w:r>
      <w:r>
        <w:rPr>
          <w:rFonts w:hint="eastAsia" w:asciiTheme="minorEastAsia" w:hAnsiTheme="minorEastAsia" w:eastAsiaTheme="minorEastAsia" w:cstheme="minorEastAsia"/>
          <w:color w:val="auto"/>
          <w:sz w:val="21"/>
          <w:szCs w:val="21"/>
        </w:rPr>
        <w:t>、土建参数等），由甲方于签订本合</w:t>
      </w:r>
      <w:r>
        <w:rPr>
          <w:rFonts w:hint="eastAsia" w:asciiTheme="minorEastAsia" w:hAnsiTheme="minorEastAsia" w:eastAsiaTheme="minorEastAsia" w:cstheme="minorEastAsia"/>
          <w:color w:val="auto"/>
          <w:sz w:val="21"/>
          <w:szCs w:val="21"/>
          <w:lang w:val="en-US" w:eastAsia="zh-CN"/>
        </w:rPr>
        <w:t>同时一并确认盖章</w:t>
      </w:r>
      <w:r>
        <w:rPr>
          <w:rFonts w:hint="eastAsia" w:asciiTheme="minorEastAsia" w:hAnsiTheme="minorEastAsia" w:eastAsiaTheme="minorEastAsia" w:cstheme="minorEastAsia"/>
          <w:color w:val="auto"/>
          <w:sz w:val="21"/>
          <w:szCs w:val="21"/>
        </w:rPr>
        <w:t>提供给乙方；</w:t>
      </w:r>
    </w:p>
    <w:p w14:paraId="5AFC0332">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3.3.2 本合同</w:t>
      </w:r>
      <w:r>
        <w:rPr>
          <w:rFonts w:hint="eastAsia" w:asciiTheme="minorEastAsia" w:hAnsiTheme="minorEastAsia" w:eastAsiaTheme="minorEastAsia" w:cstheme="minorEastAsia"/>
          <w:b w:val="0"/>
          <w:bCs w:val="0"/>
          <w:color w:val="auto"/>
          <w:sz w:val="21"/>
          <w:szCs w:val="21"/>
        </w:rPr>
        <w:t>技术规格要求</w:t>
      </w:r>
      <w:r>
        <w:rPr>
          <w:rFonts w:hint="eastAsia" w:asciiTheme="minorEastAsia" w:hAnsiTheme="minorEastAsia" w:eastAsiaTheme="minorEastAsia" w:cstheme="minorEastAsia"/>
          <w:b w:val="0"/>
          <w:bCs w:val="0"/>
          <w:color w:val="auto"/>
          <w:sz w:val="21"/>
          <w:szCs w:val="21"/>
          <w:lang w:eastAsia="zh-CN"/>
        </w:rPr>
        <w:t>或产品规格表</w:t>
      </w:r>
      <w:r>
        <w:rPr>
          <w:rFonts w:hint="eastAsia" w:asciiTheme="minorEastAsia" w:hAnsiTheme="minorEastAsia" w:eastAsiaTheme="minorEastAsia" w:cstheme="minorEastAsia"/>
          <w:color w:val="auto"/>
          <w:sz w:val="21"/>
          <w:szCs w:val="21"/>
        </w:rPr>
        <w:t>所列之各项为设备所用之技术，甲方应在签订本合同的同时予以确认</w:t>
      </w:r>
      <w:r>
        <w:rPr>
          <w:rFonts w:hint="eastAsia" w:asciiTheme="minorEastAsia" w:hAnsiTheme="minorEastAsia" w:eastAsiaTheme="minorEastAsia" w:cstheme="minorEastAsia"/>
          <w:b w:val="0"/>
          <w:bCs w:val="0"/>
          <w:color w:val="auto"/>
          <w:sz w:val="21"/>
          <w:szCs w:val="21"/>
        </w:rPr>
        <w:t>技术规格要求</w:t>
      </w:r>
      <w:r>
        <w:rPr>
          <w:rFonts w:hint="eastAsia" w:asciiTheme="minorEastAsia" w:hAnsiTheme="minorEastAsia" w:eastAsiaTheme="minorEastAsia" w:cstheme="minorEastAsia"/>
          <w:color w:val="auto"/>
          <w:sz w:val="21"/>
          <w:szCs w:val="21"/>
        </w:rPr>
        <w:t>；</w:t>
      </w:r>
    </w:p>
    <w:p w14:paraId="1EE112B2">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 乙方应当在交付设备的同时向甲方交付全部适用的、必要的设备资料。设备资料包括但不限于：设备技术资料、合格证书、设备说明书等有关资料。</w:t>
      </w:r>
    </w:p>
    <w:p w14:paraId="65672A39">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3.3.</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 乙方提供的设备技术资料应用中文写成，包括</w:t>
      </w:r>
      <w:r>
        <w:rPr>
          <w:rFonts w:hint="eastAsia" w:asciiTheme="minorEastAsia" w:hAnsiTheme="minorEastAsia" w:eastAsiaTheme="minorEastAsia" w:cstheme="minorEastAsia"/>
          <w:color w:val="auto"/>
          <w:sz w:val="21"/>
          <w:szCs w:val="21"/>
          <w:lang w:val="en-US" w:eastAsia="zh-CN"/>
        </w:rPr>
        <w:t>但不限于</w:t>
      </w:r>
      <w:r>
        <w:rPr>
          <w:rFonts w:hint="eastAsia" w:asciiTheme="minorEastAsia" w:hAnsiTheme="minorEastAsia" w:eastAsiaTheme="minorEastAsia" w:cstheme="minorEastAsia"/>
          <w:color w:val="auto"/>
          <w:sz w:val="21"/>
          <w:szCs w:val="21"/>
        </w:rPr>
        <w:t>：设备的数量、型号、规格、技术指标，设备的图纸，设备及系统说明书和原理图，设备及系统安装线路图，安装手册，操作和维修手册，技术规范，以及其他必需的技术资料</w:t>
      </w:r>
      <w:r>
        <w:rPr>
          <w:rFonts w:hint="eastAsia" w:asciiTheme="minorEastAsia" w:hAnsiTheme="minorEastAsia" w:eastAsiaTheme="minorEastAsia" w:cstheme="minorEastAsia"/>
          <w:color w:val="auto"/>
          <w:sz w:val="21"/>
          <w:szCs w:val="21"/>
          <w:lang w:eastAsia="zh-CN"/>
        </w:rPr>
        <w:t>。</w:t>
      </w:r>
    </w:p>
    <w:p w14:paraId="68FF1CC8">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 乙方交付的设备资料应全部正确、清楚和完整，足以满足设备设计、安装、操作、维修和验收要求，且适宜甲方操作人员、维护人员使用。</w:t>
      </w:r>
    </w:p>
    <w:p w14:paraId="0A39E52B">
      <w:pPr>
        <w:pStyle w:val="237"/>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 xml:space="preserve">第四条 </w:t>
      </w:r>
      <w:r>
        <w:rPr>
          <w:rFonts w:hint="eastAsia" w:asciiTheme="minorEastAsia" w:hAnsiTheme="minorEastAsia" w:eastAsiaTheme="minorEastAsia" w:cstheme="minorEastAsia"/>
          <w:b/>
          <w:bCs/>
          <w:color w:val="auto"/>
          <w:sz w:val="21"/>
          <w:szCs w:val="21"/>
          <w:highlight w:val="none"/>
          <w:lang w:val="en-US" w:eastAsia="zh-CN"/>
        </w:rPr>
        <w:t>合同</w:t>
      </w:r>
      <w:r>
        <w:rPr>
          <w:rFonts w:hint="eastAsia" w:asciiTheme="minorEastAsia" w:hAnsiTheme="minorEastAsia" w:eastAsiaTheme="minorEastAsia" w:cstheme="minorEastAsia"/>
          <w:b/>
          <w:bCs/>
          <w:color w:val="auto"/>
          <w:sz w:val="21"/>
          <w:szCs w:val="21"/>
          <w:highlight w:val="none"/>
        </w:rPr>
        <w:t>价款的支付</w:t>
      </w:r>
    </w:p>
    <w:p w14:paraId="248D5664">
      <w:pPr>
        <w:pStyle w:val="298"/>
        <w:pageBreakBefore w:val="0"/>
        <w:kinsoku/>
        <w:wordWrap/>
        <w:overflowPunct/>
        <w:topLinePunct w:val="0"/>
        <w:bidi w:val="0"/>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 本项目费用</w:t>
      </w:r>
      <w:r>
        <w:rPr>
          <w:rFonts w:hint="eastAsia" w:asciiTheme="minorEastAsia" w:hAnsiTheme="minorEastAsia" w:eastAsiaTheme="minorEastAsia" w:cstheme="minorEastAsia"/>
          <w:color w:val="auto"/>
          <w:sz w:val="21"/>
          <w:szCs w:val="21"/>
          <w:highlight w:val="none"/>
        </w:rPr>
        <w:t>按分</w:t>
      </w:r>
      <w:r>
        <w:rPr>
          <w:rFonts w:hint="eastAsia" w:asciiTheme="minorEastAsia" w:hAnsiTheme="minorEastAsia" w:eastAsiaTheme="minorEastAsia" w:cstheme="minorEastAsia"/>
          <w:color w:val="auto"/>
          <w:sz w:val="21"/>
          <w:szCs w:val="21"/>
          <w:highlight w:val="none"/>
          <w:lang w:val="en-US" w:eastAsia="zh-CN"/>
        </w:rPr>
        <w:t>批</w:t>
      </w:r>
      <w:r>
        <w:rPr>
          <w:rFonts w:hint="eastAsia" w:asciiTheme="minorEastAsia" w:hAnsiTheme="minorEastAsia" w:eastAsiaTheme="minorEastAsia" w:cstheme="minorEastAsia"/>
          <w:color w:val="auto"/>
          <w:sz w:val="21"/>
          <w:szCs w:val="21"/>
          <w:highlight w:val="none"/>
        </w:rPr>
        <w:t>付款</w:t>
      </w:r>
      <w:r>
        <w:rPr>
          <w:rFonts w:hint="eastAsia" w:asciiTheme="minorEastAsia" w:hAnsiTheme="minorEastAsia" w:eastAsiaTheme="minorEastAsia" w:cstheme="minorEastAsia"/>
          <w:color w:val="auto"/>
          <w:sz w:val="21"/>
          <w:szCs w:val="21"/>
          <w:highlight w:val="none"/>
          <w:lang w:val="en-US" w:eastAsia="zh-CN"/>
        </w:rPr>
        <w:t>方式（批次安排详见本合同第6.5.3、6.5.4款）</w:t>
      </w:r>
      <w:r>
        <w:rPr>
          <w:rFonts w:hint="eastAsia" w:asciiTheme="minorEastAsia" w:hAnsiTheme="minorEastAsia" w:eastAsiaTheme="minorEastAsia" w:cstheme="minorEastAsia"/>
          <w:color w:val="auto"/>
          <w:sz w:val="21"/>
          <w:szCs w:val="21"/>
          <w:highlight w:val="none"/>
          <w:lang w:eastAsia="zh-CN"/>
        </w:rPr>
        <w:t>。</w:t>
      </w:r>
    </w:p>
    <w:p w14:paraId="6E03C0A9">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本合同经双方签字并加盖公章后即生效。合同签订之日起10个工作日内</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按</w:t>
      </w:r>
      <w:r>
        <w:rPr>
          <w:rFonts w:hint="eastAsia" w:ascii="宋体" w:hAnsi="宋体" w:cs="宋体"/>
          <w:color w:val="auto"/>
          <w:sz w:val="21"/>
          <w:szCs w:val="21"/>
          <w:highlight w:val="none"/>
          <w:lang w:val="en-US" w:eastAsia="zh-CN"/>
        </w:rPr>
        <w:t>合同总金额</w:t>
      </w:r>
      <w:r>
        <w:rPr>
          <w:rFonts w:hint="eastAsia" w:ascii="宋体" w:hAnsi="宋体" w:eastAsia="宋体" w:cs="宋体"/>
          <w:color w:val="auto"/>
          <w:sz w:val="21"/>
          <w:szCs w:val="21"/>
          <w:highlight w:val="none"/>
          <w:lang w:val="en-US" w:eastAsia="zh-CN"/>
        </w:rPr>
        <w:t>的30%，即人民币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元作为预付款支付给</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w:t>
      </w:r>
    </w:p>
    <w:p w14:paraId="35D12FD9">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双方约定款到发货，</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收到</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请款函7个工作日内按下列付款方式，分批次将5台电梯余下</w:t>
      </w:r>
      <w:r>
        <w:rPr>
          <w:rFonts w:hint="eastAsia" w:ascii="宋体" w:hAnsi="宋体" w:cs="宋体"/>
          <w:color w:val="auto"/>
          <w:sz w:val="21"/>
          <w:szCs w:val="21"/>
          <w:highlight w:val="none"/>
          <w:lang w:val="en-US" w:eastAsia="zh-CN"/>
        </w:rPr>
        <w:t>合同总金额</w:t>
      </w:r>
      <w:r>
        <w:rPr>
          <w:rFonts w:hint="eastAsia" w:ascii="宋体" w:hAnsi="宋体" w:eastAsia="宋体" w:cs="宋体"/>
          <w:color w:val="auto"/>
          <w:sz w:val="21"/>
          <w:szCs w:val="21"/>
          <w:highlight w:val="none"/>
          <w:lang w:val="en-US" w:eastAsia="zh-CN"/>
        </w:rPr>
        <w:t>的</w:t>
      </w:r>
      <w:r>
        <w:rPr>
          <w:rFonts w:hint="eastAsia" w:ascii="宋体" w:hAnsi="宋体" w:cs="宋体"/>
          <w:color w:val="auto"/>
          <w:sz w:val="21"/>
          <w:szCs w:val="21"/>
          <w:highlight w:val="none"/>
          <w:lang w:val="en-US" w:eastAsia="zh-CN"/>
        </w:rPr>
        <w:t>67</w:t>
      </w:r>
      <w:r>
        <w:rPr>
          <w:rFonts w:hint="eastAsia" w:ascii="宋体" w:hAnsi="宋体" w:eastAsia="宋体" w:cs="宋体"/>
          <w:color w:val="auto"/>
          <w:sz w:val="21"/>
          <w:szCs w:val="21"/>
          <w:highlight w:val="none"/>
          <w:lang w:val="en-US" w:eastAsia="zh-CN"/>
        </w:rPr>
        <w:t>%支付给</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w:t>
      </w:r>
    </w:p>
    <w:p w14:paraId="626C4ED4">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（1）第一批次</w:t>
      </w:r>
      <w:r>
        <w:rPr>
          <w:rFonts w:hint="eastAsia" w:ascii="宋体" w:hAnsi="宋体" w:cs="宋体"/>
          <w:color w:val="auto"/>
          <w:sz w:val="21"/>
          <w:szCs w:val="21"/>
          <w:highlight w:val="none"/>
          <w:lang w:val="en-US" w:eastAsia="zh-CN"/>
        </w:rPr>
        <w:t>合同总金额</w:t>
      </w:r>
      <w:r>
        <w:rPr>
          <w:rFonts w:hint="eastAsia" w:ascii="宋体" w:hAnsi="宋体" w:eastAsia="宋体" w:cs="宋体"/>
          <w:color w:val="auto"/>
          <w:sz w:val="21"/>
          <w:szCs w:val="21"/>
          <w:highlight w:val="none"/>
          <w:lang w:val="en-US" w:eastAsia="zh-CN"/>
        </w:rPr>
        <w:t>：即人民币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w:t>
      </w:r>
    </w:p>
    <w:p w14:paraId="781087E0">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（2）第二批次</w:t>
      </w:r>
      <w:r>
        <w:rPr>
          <w:rFonts w:hint="eastAsia" w:ascii="宋体" w:hAnsi="宋体" w:cs="宋体"/>
          <w:color w:val="auto"/>
          <w:sz w:val="21"/>
          <w:szCs w:val="21"/>
          <w:highlight w:val="none"/>
          <w:lang w:val="en-US" w:eastAsia="zh-CN"/>
        </w:rPr>
        <w:t>合同总金额</w:t>
      </w:r>
      <w:r>
        <w:rPr>
          <w:rFonts w:hint="eastAsia" w:ascii="宋体" w:hAnsi="宋体" w:eastAsia="宋体" w:cs="宋体"/>
          <w:color w:val="auto"/>
          <w:sz w:val="21"/>
          <w:szCs w:val="21"/>
          <w:highlight w:val="none"/>
          <w:lang w:val="en-US" w:eastAsia="zh-CN"/>
        </w:rPr>
        <w:t>：即人民币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w:t>
      </w:r>
    </w:p>
    <w:p w14:paraId="490D1938">
      <w:pPr>
        <w:shd w:val="clear" w:color="auto" w:fill="FFFFFF"/>
        <w:tabs>
          <w:tab w:val="left" w:pos="2908"/>
        </w:tabs>
        <w:spacing w:line="360" w:lineRule="auto"/>
        <w:ind w:right="0" w:firstLine="371" w:firstLineChars="177"/>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（3）第三批次</w:t>
      </w:r>
      <w:r>
        <w:rPr>
          <w:rFonts w:hint="eastAsia" w:ascii="宋体" w:hAnsi="宋体" w:cs="宋体"/>
          <w:color w:val="auto"/>
          <w:sz w:val="21"/>
          <w:szCs w:val="21"/>
          <w:highlight w:val="none"/>
          <w:lang w:val="en-US" w:eastAsia="zh-CN"/>
        </w:rPr>
        <w:t>合同总金额</w:t>
      </w:r>
      <w:r>
        <w:rPr>
          <w:rFonts w:hint="eastAsia" w:ascii="宋体" w:hAnsi="宋体" w:eastAsia="宋体" w:cs="宋体"/>
          <w:color w:val="auto"/>
          <w:sz w:val="21"/>
          <w:szCs w:val="21"/>
          <w:highlight w:val="none"/>
          <w:lang w:val="en-US" w:eastAsia="zh-CN"/>
        </w:rPr>
        <w:t>：即人民币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w:t>
      </w:r>
    </w:p>
    <w:p w14:paraId="43A04285">
      <w:pPr>
        <w:shd w:val="clear" w:color="auto" w:fill="FFFFFF"/>
        <w:tabs>
          <w:tab w:val="left" w:pos="2908"/>
        </w:tabs>
        <w:spacing w:line="360" w:lineRule="auto"/>
        <w:ind w:right="0" w:firstLine="420" w:firstLineChars="20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color w:val="auto"/>
          <w:sz w:val="21"/>
          <w:szCs w:val="21"/>
          <w:highlight w:val="none"/>
          <w:lang w:val="en-US" w:eastAsia="zh-CN"/>
        </w:rPr>
        <w:t>4.4</w:t>
      </w:r>
      <w:r>
        <w:rPr>
          <w:rFonts w:hint="eastAsia" w:ascii="宋体" w:hAnsi="宋体" w:eastAsia="宋体" w:cs="宋体"/>
          <w:color w:val="auto"/>
          <w:sz w:val="21"/>
          <w:szCs w:val="21"/>
          <w:highlight w:val="none"/>
          <w:lang w:val="en-US" w:eastAsia="zh-CN"/>
        </w:rPr>
        <w:t>按本项目合同总金额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元的3%计算质保金，即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元，在第5台电梯的安全使用登记证签发之日起满2年后10个工作日内</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向</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无息支付。</w:t>
      </w:r>
    </w:p>
    <w:p w14:paraId="19E501F3">
      <w:pPr>
        <w:pStyle w:val="298"/>
        <w:pageBreakBefore w:val="0"/>
        <w:kinsoku/>
        <w:wordWrap/>
        <w:overflowPunct/>
        <w:topLinePunct w:val="0"/>
        <w:bidi w:val="0"/>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4.5</w:t>
      </w:r>
      <w:r>
        <w:rPr>
          <w:rFonts w:hint="eastAsia" w:asciiTheme="minorEastAsia" w:hAnsiTheme="minorEastAsia" w:eastAsiaTheme="minorEastAsia" w:cstheme="minorEastAsia"/>
          <w:color w:val="auto"/>
          <w:sz w:val="21"/>
          <w:szCs w:val="21"/>
          <w:highlight w:val="none"/>
          <w:lang w:eastAsia="zh-CN"/>
        </w:rPr>
        <w:t>乙方收到甲方</w:t>
      </w:r>
      <w:r>
        <w:rPr>
          <w:rFonts w:hint="eastAsia" w:asciiTheme="minorEastAsia" w:hAnsiTheme="minorEastAsia" w:eastAsiaTheme="minorEastAsia" w:cstheme="minorEastAsia"/>
          <w:color w:val="auto"/>
          <w:kern w:val="0"/>
          <w:sz w:val="21"/>
          <w:szCs w:val="21"/>
          <w:highlight w:val="none"/>
          <w:lang w:val="en-US" w:eastAsia="zh-CN" w:bidi="ar-SA"/>
        </w:rPr>
        <w:t>预付款</w:t>
      </w:r>
      <w:r>
        <w:rPr>
          <w:rFonts w:hint="eastAsia" w:asciiTheme="minorEastAsia" w:hAnsiTheme="minorEastAsia" w:eastAsiaTheme="minorEastAsia" w:cstheme="minorEastAsia"/>
          <w:color w:val="auto"/>
          <w:sz w:val="21"/>
          <w:szCs w:val="21"/>
          <w:highlight w:val="none"/>
          <w:lang w:eastAsia="zh-CN"/>
        </w:rPr>
        <w:t>时，提供相应的为期</w:t>
      </w:r>
      <w:r>
        <w:rPr>
          <w:rFonts w:hint="eastAsia" w:asciiTheme="minorEastAsia" w:hAnsiTheme="minorEastAsia" w:eastAsiaTheme="minorEastAsia" w:cstheme="minorEastAsia"/>
          <w:color w:val="auto"/>
          <w:sz w:val="21"/>
          <w:szCs w:val="21"/>
          <w:highlight w:val="none"/>
          <w:u w:val="none"/>
          <w:lang w:val="en-US" w:eastAsia="zh-CN"/>
        </w:rPr>
        <w:t>6</w:t>
      </w:r>
      <w:r>
        <w:rPr>
          <w:rFonts w:hint="eastAsia" w:asciiTheme="minorEastAsia" w:hAnsiTheme="minorEastAsia" w:eastAsiaTheme="minorEastAsia" w:cstheme="minorEastAsia"/>
          <w:color w:val="auto"/>
          <w:sz w:val="21"/>
          <w:szCs w:val="21"/>
          <w:highlight w:val="none"/>
          <w:lang w:eastAsia="zh-CN"/>
        </w:rPr>
        <w:t>个月的银行履约保函，保函金额为合同总价的10%。</w:t>
      </w:r>
    </w:p>
    <w:p w14:paraId="5D53F33A">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4.6乙方应按甲方要求在甲方支付每期货款前向甲方提供增值税专用发票，否则甲方付款期限相应顺延，但乙方仍当继续按约履行合同。</w:t>
      </w:r>
    </w:p>
    <w:p w14:paraId="1F376837">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发票单位开票信息如下：</w:t>
      </w:r>
    </w:p>
    <w:p w14:paraId="5F5199E6">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名称：南方日报社</w:t>
      </w:r>
    </w:p>
    <w:p w14:paraId="0AB1432E">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纳税人识别号：124400006713825565</w:t>
      </w:r>
    </w:p>
    <w:p w14:paraId="4A8E61D8">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开户行：中国建设银行广州市五羊新城支行</w:t>
      </w:r>
    </w:p>
    <w:p w14:paraId="6E23D5C9">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银行帐号：44001400905059318318</w:t>
      </w:r>
    </w:p>
    <w:p w14:paraId="52DA7ED6">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电话：020-83000917</w:t>
      </w:r>
    </w:p>
    <w:p w14:paraId="0E6C36AF">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地址：广东省广州市越秀区广州大道中289号</w:t>
      </w:r>
    </w:p>
    <w:p w14:paraId="58E01763">
      <w:pPr>
        <w:pStyle w:val="237"/>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第五条 交货期限</w:t>
      </w:r>
    </w:p>
    <w:p w14:paraId="1640F3F8">
      <w:pPr>
        <w:pStyle w:val="298"/>
        <w:pageBreakBefore w:val="0"/>
        <w:numPr>
          <w:ilvl w:val="-1"/>
          <w:numId w:val="0"/>
        </w:numPr>
        <w:tabs>
          <w:tab w:val="left" w:pos="0"/>
        </w:tabs>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5.1 </w:t>
      </w:r>
      <w:r>
        <w:rPr>
          <w:rFonts w:hint="eastAsia" w:asciiTheme="minorEastAsia" w:hAnsiTheme="minorEastAsia" w:eastAsiaTheme="minorEastAsia" w:cstheme="minorEastAsia"/>
          <w:color w:val="auto"/>
          <w:sz w:val="21"/>
          <w:szCs w:val="21"/>
        </w:rPr>
        <w:t>甲方</w:t>
      </w:r>
      <w:r>
        <w:rPr>
          <w:rFonts w:hint="eastAsia" w:asciiTheme="minorEastAsia" w:hAnsiTheme="minorEastAsia" w:eastAsiaTheme="minorEastAsia" w:cstheme="minorEastAsia"/>
          <w:color w:val="auto"/>
          <w:sz w:val="21"/>
          <w:szCs w:val="21"/>
          <w:lang w:val="en-US" w:eastAsia="zh-CN"/>
        </w:rPr>
        <w:t>支付预付款</w:t>
      </w:r>
      <w:r>
        <w:rPr>
          <w:rFonts w:hint="eastAsia" w:asciiTheme="minorEastAsia" w:hAnsiTheme="minorEastAsia" w:eastAsiaTheme="minorEastAsia" w:cstheme="minorEastAsia"/>
          <w:color w:val="auto"/>
          <w:sz w:val="21"/>
          <w:szCs w:val="21"/>
        </w:rPr>
        <w:t>之日</w:t>
      </w:r>
      <w:r>
        <w:rPr>
          <w:rFonts w:hint="eastAsia" w:asciiTheme="minorEastAsia" w:hAnsiTheme="minorEastAsia" w:eastAsiaTheme="minorEastAsia" w:cstheme="minorEastAsia"/>
          <w:color w:val="auto"/>
          <w:sz w:val="21"/>
          <w:szCs w:val="21"/>
          <w:lang w:val="en-US" w:eastAsia="zh-CN"/>
        </w:rPr>
        <w:t>起计生产周期</w:t>
      </w: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kern w:val="0"/>
          <w:sz w:val="21"/>
          <w:szCs w:val="21"/>
          <w:lang w:val="en-US" w:eastAsia="zh-CN" w:bidi="ar-SA"/>
        </w:rPr>
        <w:t>立即安排生产，生产周期为</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天</w:t>
      </w:r>
      <w:r>
        <w:rPr>
          <w:rFonts w:hint="eastAsia" w:asciiTheme="minorEastAsia" w:hAnsiTheme="minorEastAsia" w:eastAsiaTheme="minorEastAsia" w:cstheme="minorEastAsia"/>
          <w:color w:val="auto"/>
          <w:kern w:val="0"/>
          <w:sz w:val="21"/>
          <w:szCs w:val="21"/>
          <w:lang w:val="en-US" w:eastAsia="zh-CN" w:bidi="ar-SA"/>
        </w:rPr>
        <w:t>。</w:t>
      </w:r>
    </w:p>
    <w:p w14:paraId="63460EF1">
      <w:pPr>
        <w:pStyle w:val="298"/>
        <w:pageBreakBefore w:val="0"/>
        <w:numPr>
          <w:ilvl w:val="-1"/>
          <w:numId w:val="0"/>
        </w:numPr>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5.2 甲方发出交货通知，乙方7天内安排发货，按照甲方要求的时间，</w:t>
      </w:r>
      <w:r>
        <w:rPr>
          <w:rFonts w:hint="eastAsia" w:asciiTheme="minorEastAsia" w:hAnsiTheme="minorEastAsia" w:eastAsiaTheme="minorEastAsia" w:cstheme="minorEastAsia"/>
          <w:color w:val="auto"/>
          <w:sz w:val="21"/>
          <w:szCs w:val="21"/>
        </w:rPr>
        <w:t>将设备运输至甲方指定的收货地点。</w:t>
      </w:r>
      <w:r>
        <w:rPr>
          <w:rFonts w:hint="eastAsia" w:asciiTheme="minorEastAsia" w:hAnsiTheme="minorEastAsia" w:eastAsiaTheme="minorEastAsia" w:cstheme="minorEastAsia"/>
          <w:color w:val="auto"/>
          <w:sz w:val="21"/>
          <w:szCs w:val="21"/>
          <w:lang w:eastAsia="zh-CN"/>
        </w:rPr>
        <w:t>余下</w:t>
      </w:r>
      <w:r>
        <w:rPr>
          <w:rFonts w:hint="eastAsia" w:asciiTheme="minorEastAsia" w:hAnsiTheme="minorEastAsia" w:eastAsiaTheme="minorEastAsia" w:cstheme="minorEastAsia"/>
          <w:color w:val="auto"/>
          <w:sz w:val="21"/>
          <w:szCs w:val="21"/>
        </w:rPr>
        <w:t>电梯交货</w:t>
      </w:r>
      <w:r>
        <w:rPr>
          <w:rFonts w:hint="eastAsia" w:asciiTheme="minorEastAsia" w:hAnsiTheme="minorEastAsia" w:eastAsiaTheme="minorEastAsia" w:cstheme="minorEastAsia"/>
          <w:color w:val="auto"/>
          <w:sz w:val="21"/>
          <w:szCs w:val="21"/>
          <w:lang w:eastAsia="zh-CN"/>
        </w:rPr>
        <w:t>、到货</w:t>
      </w:r>
      <w:r>
        <w:rPr>
          <w:rFonts w:hint="eastAsia" w:asciiTheme="minorEastAsia" w:hAnsiTheme="minorEastAsia" w:eastAsiaTheme="minorEastAsia" w:cstheme="minorEastAsia"/>
          <w:color w:val="auto"/>
          <w:sz w:val="21"/>
          <w:szCs w:val="21"/>
        </w:rPr>
        <w:t>日期</w:t>
      </w:r>
      <w:r>
        <w:rPr>
          <w:rFonts w:hint="eastAsia" w:asciiTheme="minorEastAsia" w:hAnsiTheme="minorEastAsia" w:eastAsiaTheme="minorEastAsia" w:cstheme="minorEastAsia"/>
          <w:color w:val="auto"/>
          <w:sz w:val="21"/>
          <w:szCs w:val="21"/>
          <w:lang w:eastAsia="zh-CN"/>
        </w:rPr>
        <w:t>由</w:t>
      </w:r>
      <w:r>
        <w:rPr>
          <w:rFonts w:hint="eastAsia" w:asciiTheme="minorEastAsia" w:hAnsiTheme="minorEastAsia" w:eastAsiaTheme="minorEastAsia" w:cstheme="minorEastAsia"/>
          <w:color w:val="auto"/>
          <w:sz w:val="21"/>
          <w:szCs w:val="21"/>
        </w:rPr>
        <w:t>乙方</w:t>
      </w:r>
      <w:r>
        <w:rPr>
          <w:rFonts w:hint="eastAsia" w:asciiTheme="minorEastAsia" w:hAnsiTheme="minorEastAsia" w:eastAsiaTheme="minorEastAsia" w:cstheme="minorEastAsia"/>
          <w:color w:val="auto"/>
          <w:sz w:val="21"/>
          <w:szCs w:val="21"/>
          <w:lang w:eastAsia="zh-CN"/>
        </w:rPr>
        <w:t>根据上一</w:t>
      </w:r>
      <w:r>
        <w:rPr>
          <w:rFonts w:hint="eastAsia" w:asciiTheme="minorEastAsia" w:hAnsiTheme="minorEastAsia" w:eastAsiaTheme="minorEastAsia" w:cstheme="minorEastAsia"/>
          <w:color w:val="auto"/>
          <w:sz w:val="21"/>
          <w:szCs w:val="21"/>
          <w:lang w:val="en-US" w:eastAsia="zh-CN"/>
        </w:rPr>
        <w:t>批次</w:t>
      </w:r>
      <w:r>
        <w:rPr>
          <w:rFonts w:hint="eastAsia" w:asciiTheme="minorEastAsia" w:hAnsiTheme="minorEastAsia" w:eastAsiaTheme="minorEastAsia" w:cstheme="minorEastAsia"/>
          <w:color w:val="auto"/>
          <w:sz w:val="21"/>
          <w:szCs w:val="21"/>
          <w:lang w:eastAsia="zh-CN"/>
        </w:rPr>
        <w:t>电梯安装进度紧凑安排</w:t>
      </w:r>
      <w:r>
        <w:rPr>
          <w:rFonts w:hint="eastAsia" w:asciiTheme="minorEastAsia" w:hAnsiTheme="minorEastAsia" w:eastAsiaTheme="minorEastAsia" w:cstheme="minorEastAsia"/>
          <w:color w:val="auto"/>
          <w:sz w:val="21"/>
          <w:szCs w:val="21"/>
        </w:rPr>
        <w:t>。</w:t>
      </w:r>
    </w:p>
    <w:p w14:paraId="04CCEFAA">
      <w:pPr>
        <w:pStyle w:val="298"/>
        <w:pageBreakBefore w:val="0"/>
        <w:numPr>
          <w:ilvl w:val="-1"/>
          <w:numId w:val="0"/>
        </w:numPr>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5.3 </w:t>
      </w:r>
      <w:r>
        <w:rPr>
          <w:rFonts w:hint="eastAsia" w:asciiTheme="minorEastAsia" w:hAnsiTheme="minorEastAsia" w:eastAsiaTheme="minorEastAsia" w:cstheme="minorEastAsia"/>
          <w:color w:val="auto"/>
          <w:sz w:val="21"/>
          <w:szCs w:val="21"/>
        </w:rPr>
        <w:t>甲方可申请一次延迟交货，但最迟不可超过预约发货期后的6个月。如因乙方原因导致延迟交货，每天应按</w:t>
      </w:r>
      <w:r>
        <w:rPr>
          <w:rFonts w:hint="eastAsia" w:asciiTheme="minorEastAsia" w:hAnsiTheme="minorEastAsia" w:eastAsiaTheme="minorEastAsia" w:cstheme="minorEastAsia"/>
          <w:color w:val="auto"/>
          <w:sz w:val="21"/>
          <w:szCs w:val="21"/>
          <w:lang w:val="en-US" w:eastAsia="zh-CN"/>
        </w:rPr>
        <w:t>该批次设备款</w:t>
      </w:r>
      <w:r>
        <w:rPr>
          <w:rFonts w:hint="eastAsia" w:asciiTheme="minorEastAsia" w:hAnsiTheme="minorEastAsia" w:eastAsiaTheme="minorEastAsia" w:cstheme="minorEastAsia"/>
          <w:color w:val="auto"/>
          <w:sz w:val="21"/>
          <w:szCs w:val="21"/>
        </w:rPr>
        <w:t>的万分之三支付违约金。</w:t>
      </w:r>
    </w:p>
    <w:p w14:paraId="22D1DD53">
      <w:pPr>
        <w:pStyle w:val="298"/>
        <w:pageBreakBefore w:val="0"/>
        <w:numPr>
          <w:ilvl w:val="-1"/>
          <w:numId w:val="0"/>
        </w:numPr>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5.4 货到工地后乙方应迅速组织安装工作，单台安装工作应在电梯设备到货后35日内完成，不含政府部门报装报验时间。</w:t>
      </w:r>
    </w:p>
    <w:p w14:paraId="34CBB6CA">
      <w:pPr>
        <w:pStyle w:val="298"/>
        <w:pageBreakBefore w:val="0"/>
        <w:numPr>
          <w:ilvl w:val="-1"/>
          <w:numId w:val="0"/>
        </w:numPr>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yellow"/>
        </w:rPr>
      </w:pPr>
      <w:r>
        <w:rPr>
          <w:rFonts w:hint="eastAsia" w:asciiTheme="minorEastAsia" w:hAnsiTheme="minorEastAsia" w:eastAsiaTheme="minorEastAsia" w:cstheme="minorEastAsia"/>
          <w:color w:val="auto"/>
          <w:sz w:val="21"/>
          <w:szCs w:val="21"/>
          <w:highlight w:val="none"/>
          <w:lang w:val="en-US" w:eastAsia="zh-CN"/>
        </w:rPr>
        <w:t>5.5 甲方为乙方提供设备存放场所，乙方负责设备到货后至安装前的保管工作，设备有任何损坏，均由乙方自行承担责任。</w:t>
      </w:r>
    </w:p>
    <w:p w14:paraId="056AD845">
      <w:pPr>
        <w:pStyle w:val="237"/>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第六条 交货方式</w:t>
      </w:r>
    </w:p>
    <w:p w14:paraId="3ED1A86D">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 乙方须按期交货，具体方式为：乙方</w:t>
      </w:r>
      <w:r>
        <w:rPr>
          <w:rFonts w:hint="eastAsia" w:asciiTheme="minorEastAsia" w:hAnsiTheme="minorEastAsia" w:eastAsiaTheme="minorEastAsia" w:cstheme="minorEastAsia"/>
          <w:color w:val="auto"/>
          <w:sz w:val="21"/>
          <w:szCs w:val="21"/>
          <w:lang w:eastAsia="zh-CN"/>
        </w:rPr>
        <w:t>负责</w:t>
      </w:r>
      <w:r>
        <w:rPr>
          <w:rFonts w:hint="eastAsia" w:asciiTheme="minorEastAsia" w:hAnsiTheme="minorEastAsia" w:eastAsiaTheme="minorEastAsia" w:cstheme="minorEastAsia"/>
          <w:color w:val="auto"/>
          <w:sz w:val="21"/>
          <w:szCs w:val="21"/>
        </w:rPr>
        <w:t>托运。乙方办理本合同设备的运输费、运保费及二次运输费已包含于本合同价款总额当中。乙方设备联系人：</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，电话</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w:t>
      </w:r>
    </w:p>
    <w:p w14:paraId="07F282C9">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 为确保货物安全、及时运送到甲方以上指定地点，甲方应提前确认工地现场道路通畅、可承载重型车辆安全通过、安排相关人员做好接货准备。</w:t>
      </w:r>
    </w:p>
    <w:p w14:paraId="4CE121D2">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6.3 若甲方需要更改送货地点，应提前书面通知乙方。因更改送货地点引起的交货期变更和运输费用变更，双方协商解决。</w:t>
      </w:r>
    </w:p>
    <w:p w14:paraId="17E709EC">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6.4 在安装地点的首层或货车到达层，甲方协助乙方配合总承包规划备好电梯堆放场地，该场地应确保电梯导轨可搬至候梯厅通道的位置。</w:t>
      </w:r>
    </w:p>
    <w:p w14:paraId="6D5BEC8A">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 包装及标识</w:t>
      </w:r>
    </w:p>
    <w:p w14:paraId="40BDE939">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6.5.1 乙方交付的所有电梯应具有适合运输和多次搬运、装卸的坚固包装，并应根据电梯的特点和需要，有防潮、防雨、防锈、防震、防腐蚀等保护措施，以保证电梯安全无损地运抵安装地点，保证在乙方卸至甲方指定地点后存放的需要。否则，乙方应承担包装不当给甲方带来的相关损失。</w:t>
      </w:r>
    </w:p>
    <w:p w14:paraId="01BBDB77">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 乙方交付的所有电梯均需要有商品标识、出厂标识以及其他可以表明电梯产品的特征的相关标识。</w:t>
      </w:r>
    </w:p>
    <w:p w14:paraId="11C6850E">
      <w:pPr>
        <w:pStyle w:val="298"/>
        <w:pageBreakBefore w:val="0"/>
        <w:kinsoku/>
        <w:wordWrap/>
        <w:overflowPunct/>
        <w:topLinePunct w:val="0"/>
        <w:bidi w:val="0"/>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b w:val="0"/>
          <w:bCs w:val="0"/>
          <w:color w:val="auto"/>
          <w:sz w:val="21"/>
          <w:szCs w:val="21"/>
          <w:u w:val="none"/>
          <w:lang w:val="en-US" w:eastAsia="zh-CN"/>
        </w:rPr>
        <w:t xml:space="preserve">6.5.3 </w:t>
      </w:r>
      <w:r>
        <w:rPr>
          <w:rFonts w:hint="eastAsia" w:asciiTheme="minorEastAsia" w:hAnsiTheme="minorEastAsia" w:eastAsiaTheme="minorEastAsia" w:cstheme="minorEastAsia"/>
          <w:color w:val="auto"/>
          <w:sz w:val="21"/>
          <w:szCs w:val="21"/>
          <w:u w:val="none"/>
          <w:lang w:val="en-US" w:eastAsia="zh-CN"/>
        </w:rPr>
        <w:t>在收到甲方交货通知后7天内安排发货</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lang w:val="en-US" w:eastAsia="zh-CN"/>
        </w:rPr>
        <w:t>五</w:t>
      </w:r>
      <w:r>
        <w:rPr>
          <w:rFonts w:hint="eastAsia" w:asciiTheme="minorEastAsia" w:hAnsiTheme="minorEastAsia" w:eastAsiaTheme="minorEastAsia" w:cstheme="minorEastAsia"/>
          <w:color w:val="auto"/>
          <w:sz w:val="21"/>
          <w:szCs w:val="21"/>
          <w:u w:val="none"/>
          <w:lang w:eastAsia="zh-CN"/>
        </w:rPr>
        <w:t>台电梯共分</w:t>
      </w:r>
      <w:r>
        <w:rPr>
          <w:rFonts w:hint="eastAsia" w:asciiTheme="minorEastAsia" w:hAnsiTheme="minorEastAsia" w:eastAsiaTheme="minorEastAsia" w:cstheme="minorEastAsia"/>
          <w:color w:val="auto"/>
          <w:sz w:val="21"/>
          <w:szCs w:val="21"/>
          <w:u w:val="none"/>
          <w:lang w:val="en-US" w:eastAsia="zh-CN"/>
        </w:rPr>
        <w:t>三</w:t>
      </w:r>
      <w:r>
        <w:rPr>
          <w:rFonts w:hint="eastAsia" w:asciiTheme="minorEastAsia" w:hAnsiTheme="minorEastAsia" w:eastAsiaTheme="minorEastAsia" w:cstheme="minorEastAsia"/>
          <w:color w:val="auto"/>
          <w:sz w:val="21"/>
          <w:szCs w:val="21"/>
          <w:u w:val="none"/>
          <w:lang w:eastAsia="zh-CN"/>
        </w:rPr>
        <w:t>批次发货，</w:t>
      </w:r>
      <w:r>
        <w:rPr>
          <w:rFonts w:hint="eastAsia" w:asciiTheme="minorEastAsia" w:hAnsiTheme="minorEastAsia" w:eastAsiaTheme="minorEastAsia" w:cstheme="minorEastAsia"/>
          <w:color w:val="auto"/>
          <w:sz w:val="21"/>
          <w:szCs w:val="21"/>
          <w:u w:val="none"/>
          <w:lang w:val="en-US" w:eastAsia="zh-CN"/>
        </w:rPr>
        <w:t>第一批次为9、10号梯，第二批次为8、11号梯，第三批次为7号梯。</w:t>
      </w:r>
      <w:r>
        <w:rPr>
          <w:rFonts w:hint="eastAsia" w:asciiTheme="minorEastAsia" w:hAnsiTheme="minorEastAsia" w:eastAsiaTheme="minorEastAsia" w:cstheme="minorEastAsia"/>
          <w:color w:val="auto"/>
          <w:sz w:val="21"/>
          <w:szCs w:val="21"/>
          <w:u w:val="none"/>
        </w:rPr>
        <w:t>甲方应在收到乙方发货通知</w:t>
      </w:r>
      <w:r>
        <w:rPr>
          <w:rFonts w:hint="eastAsia" w:asciiTheme="minorEastAsia" w:hAnsiTheme="minorEastAsia" w:eastAsiaTheme="minorEastAsia" w:cstheme="minorEastAsia"/>
          <w:color w:val="auto"/>
          <w:sz w:val="21"/>
          <w:szCs w:val="21"/>
          <w:u w:val="none"/>
          <w:lang w:val="en-US" w:eastAsia="zh-CN"/>
        </w:rPr>
        <w:t>三</w:t>
      </w:r>
      <w:r>
        <w:rPr>
          <w:rFonts w:hint="eastAsia" w:asciiTheme="minorEastAsia" w:hAnsiTheme="minorEastAsia" w:eastAsiaTheme="minorEastAsia" w:cstheme="minorEastAsia"/>
          <w:color w:val="auto"/>
          <w:sz w:val="21"/>
          <w:szCs w:val="21"/>
          <w:u w:val="none"/>
        </w:rPr>
        <w:t>天内安排好现场设备存放地点。</w:t>
      </w:r>
    </w:p>
    <w:p w14:paraId="126FADCB">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rPr>
        <w:t>6.</w:t>
      </w:r>
      <w:r>
        <w:rPr>
          <w:rFonts w:hint="eastAsia" w:asciiTheme="minorEastAsia" w:hAnsiTheme="minorEastAsia" w:eastAsiaTheme="minorEastAsia" w:cstheme="minorEastAsia"/>
          <w:color w:val="auto"/>
          <w:sz w:val="21"/>
          <w:szCs w:val="21"/>
          <w:u w:val="none"/>
          <w:lang w:val="en-US" w:eastAsia="zh-CN"/>
        </w:rPr>
        <w:t>5</w:t>
      </w:r>
      <w:r>
        <w:rPr>
          <w:rFonts w:hint="eastAsia" w:asciiTheme="minorEastAsia" w:hAnsiTheme="minorEastAsia" w:eastAsiaTheme="minorEastAsia" w:cstheme="minorEastAsia"/>
          <w:color w:val="auto"/>
          <w:sz w:val="21"/>
          <w:szCs w:val="21"/>
          <w:u w:val="none"/>
        </w:rPr>
        <w:t>.</w:t>
      </w:r>
      <w:r>
        <w:rPr>
          <w:rFonts w:hint="eastAsia" w:asciiTheme="minorEastAsia" w:hAnsiTheme="minorEastAsia" w:eastAsiaTheme="minorEastAsia" w:cstheme="minorEastAsia"/>
          <w:color w:val="auto"/>
          <w:sz w:val="21"/>
          <w:szCs w:val="21"/>
          <w:u w:val="none"/>
          <w:lang w:val="en-US" w:eastAsia="zh-CN"/>
        </w:rPr>
        <w:t>4 本项目是</w:t>
      </w:r>
      <w:r>
        <w:rPr>
          <w:rFonts w:hint="eastAsia" w:asciiTheme="minorEastAsia" w:hAnsiTheme="minorEastAsia" w:eastAsiaTheme="minorEastAsia" w:cstheme="minorEastAsia"/>
          <w:color w:val="auto"/>
          <w:sz w:val="21"/>
          <w:szCs w:val="21"/>
          <w:u w:val="none"/>
          <w:lang w:eastAsia="zh-CN"/>
        </w:rPr>
        <w:t>第</w:t>
      </w:r>
      <w:r>
        <w:rPr>
          <w:rFonts w:hint="eastAsia" w:asciiTheme="minorEastAsia" w:hAnsiTheme="minorEastAsia" w:eastAsiaTheme="minorEastAsia" w:cstheme="minorEastAsia"/>
          <w:color w:val="auto"/>
          <w:sz w:val="21"/>
          <w:szCs w:val="21"/>
          <w:u w:val="none"/>
          <w:lang w:val="en-US" w:eastAsia="zh-CN"/>
        </w:rPr>
        <w:t>一批次电梯待质监部门验收合格投入使用后。由甲方通知，再发货、安装下一批次电梯。</w:t>
      </w:r>
    </w:p>
    <w:p w14:paraId="6108BBD2">
      <w:pPr>
        <w:pStyle w:val="298"/>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第七条  安装</w:t>
      </w:r>
      <w:r>
        <w:rPr>
          <w:rFonts w:hint="eastAsia" w:asciiTheme="minorEastAsia" w:hAnsiTheme="minorEastAsia" w:eastAsiaTheme="minorEastAsia" w:cstheme="minorEastAsia"/>
          <w:b/>
          <w:bCs/>
          <w:color w:val="auto"/>
          <w:sz w:val="21"/>
          <w:szCs w:val="21"/>
          <w:lang w:eastAsia="zh-CN"/>
        </w:rPr>
        <w:t>、土</w:t>
      </w:r>
      <w:r>
        <w:rPr>
          <w:rFonts w:hint="eastAsia" w:asciiTheme="minorEastAsia" w:hAnsiTheme="minorEastAsia" w:eastAsiaTheme="minorEastAsia" w:cstheme="minorEastAsia"/>
          <w:b/>
          <w:bCs/>
          <w:color w:val="auto"/>
          <w:sz w:val="21"/>
          <w:szCs w:val="21"/>
        </w:rPr>
        <w:t>建</w:t>
      </w:r>
      <w:r>
        <w:rPr>
          <w:rFonts w:hint="eastAsia" w:asciiTheme="minorEastAsia" w:hAnsiTheme="minorEastAsia" w:eastAsiaTheme="minorEastAsia" w:cstheme="minorEastAsia"/>
          <w:b/>
          <w:bCs/>
          <w:color w:val="auto"/>
          <w:sz w:val="21"/>
          <w:szCs w:val="21"/>
          <w:lang w:eastAsia="zh-CN"/>
        </w:rPr>
        <w:t>修复</w:t>
      </w:r>
      <w:r>
        <w:rPr>
          <w:rFonts w:hint="eastAsia" w:asciiTheme="minorEastAsia" w:hAnsiTheme="minorEastAsia" w:eastAsiaTheme="minorEastAsia" w:cstheme="minorEastAsia"/>
          <w:b/>
          <w:bCs/>
          <w:color w:val="auto"/>
          <w:sz w:val="21"/>
          <w:szCs w:val="21"/>
        </w:rPr>
        <w:t>要求</w:t>
      </w:r>
    </w:p>
    <w:p w14:paraId="57FFFF0E">
      <w:pPr>
        <w:pStyle w:val="237"/>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7.1 经甲乙双方确认的《技术规格要求》、《电梯井道图》是乙方生产的设备必须达到的基本要求。</w:t>
      </w:r>
    </w:p>
    <w:p w14:paraId="05E63836">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7.2 按照国务院颁布实施的《特种设备安全监察条例》以及为了保证设备运行质量，本合同标的物的安装、调试和维修等工作应当由乙方负责，</w:t>
      </w:r>
      <w:r>
        <w:rPr>
          <w:rFonts w:hint="eastAsia" w:asciiTheme="minorEastAsia" w:hAnsiTheme="minorEastAsia" w:eastAsiaTheme="minorEastAsia" w:cstheme="minorEastAsia"/>
          <w:color w:val="auto"/>
          <w:sz w:val="21"/>
          <w:szCs w:val="21"/>
          <w:lang w:eastAsia="zh-CN"/>
        </w:rPr>
        <w:t>甲</w:t>
      </w:r>
      <w:r>
        <w:rPr>
          <w:rFonts w:hint="eastAsia" w:asciiTheme="minorEastAsia" w:hAnsiTheme="minorEastAsia" w:eastAsiaTheme="minorEastAsia" w:cstheme="minorEastAsia"/>
          <w:color w:val="auto"/>
          <w:sz w:val="21"/>
          <w:szCs w:val="21"/>
        </w:rPr>
        <w:t>方</w:t>
      </w:r>
      <w:r>
        <w:rPr>
          <w:rFonts w:hint="eastAsia" w:asciiTheme="minorEastAsia" w:hAnsiTheme="minorEastAsia" w:eastAsiaTheme="minorEastAsia" w:cstheme="minorEastAsia"/>
          <w:color w:val="auto"/>
          <w:sz w:val="21"/>
          <w:szCs w:val="21"/>
          <w:lang w:eastAsia="zh-CN"/>
        </w:rPr>
        <w:t>不再</w:t>
      </w:r>
      <w:r>
        <w:rPr>
          <w:rFonts w:hint="eastAsia" w:asciiTheme="minorEastAsia" w:hAnsiTheme="minorEastAsia" w:eastAsiaTheme="minorEastAsia" w:cstheme="minorEastAsia"/>
          <w:color w:val="auto"/>
          <w:sz w:val="21"/>
          <w:szCs w:val="21"/>
        </w:rPr>
        <w:t>另行签订安装合同。</w:t>
      </w:r>
    </w:p>
    <w:p w14:paraId="0DB805CF">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7.3 电梯安装过程中涉及到</w:t>
      </w:r>
      <w:r>
        <w:rPr>
          <w:rFonts w:hint="eastAsia" w:asciiTheme="minorEastAsia" w:hAnsiTheme="minorEastAsia" w:eastAsiaTheme="minorEastAsia" w:cstheme="minorEastAsia"/>
          <w:color w:val="auto"/>
          <w:sz w:val="21"/>
          <w:szCs w:val="21"/>
          <w:lang w:eastAsia="zh-CN"/>
        </w:rPr>
        <w:t>电梯机房、</w:t>
      </w:r>
      <w:r>
        <w:rPr>
          <w:rFonts w:hint="eastAsia" w:asciiTheme="minorEastAsia" w:hAnsiTheme="minorEastAsia" w:eastAsiaTheme="minorEastAsia" w:cstheme="minorEastAsia"/>
          <w:color w:val="auto"/>
          <w:sz w:val="21"/>
          <w:szCs w:val="21"/>
        </w:rPr>
        <w:t>井道</w:t>
      </w:r>
      <w:r>
        <w:rPr>
          <w:rFonts w:hint="eastAsia" w:asciiTheme="minorEastAsia" w:hAnsiTheme="minorEastAsia" w:eastAsiaTheme="minorEastAsia" w:cstheme="minorEastAsia"/>
          <w:color w:val="auto"/>
          <w:sz w:val="21"/>
          <w:szCs w:val="21"/>
          <w:lang w:eastAsia="zh-CN"/>
        </w:rPr>
        <w:t>、厅门外装饰的整改、改造、修复等</w:t>
      </w:r>
      <w:r>
        <w:rPr>
          <w:rFonts w:hint="eastAsia" w:asciiTheme="minorEastAsia" w:hAnsiTheme="minorEastAsia" w:eastAsiaTheme="minorEastAsia" w:cstheme="minorEastAsia"/>
          <w:color w:val="auto"/>
          <w:sz w:val="21"/>
          <w:szCs w:val="21"/>
        </w:rPr>
        <w:t>问题，</w:t>
      </w:r>
      <w:r>
        <w:rPr>
          <w:rFonts w:hint="eastAsia" w:asciiTheme="minorEastAsia" w:hAnsiTheme="minorEastAsia" w:eastAsiaTheme="minorEastAsia" w:cstheme="minorEastAsia"/>
          <w:color w:val="auto"/>
          <w:sz w:val="21"/>
          <w:szCs w:val="21"/>
          <w:lang w:eastAsia="zh-CN"/>
        </w:rPr>
        <w:t>一切</w:t>
      </w:r>
      <w:r>
        <w:rPr>
          <w:rFonts w:hint="eastAsia" w:asciiTheme="minorEastAsia" w:hAnsiTheme="minorEastAsia" w:eastAsiaTheme="minorEastAsia" w:cstheme="minorEastAsia"/>
          <w:color w:val="auto"/>
          <w:sz w:val="21"/>
          <w:szCs w:val="21"/>
        </w:rPr>
        <w:t>由乙方负责。</w:t>
      </w:r>
    </w:p>
    <w:p w14:paraId="2F4559C6">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7.4 乙方制作的无障碍电梯需满足国家及地方法律法规对无障碍电梯的要求。</w:t>
      </w:r>
    </w:p>
    <w:p w14:paraId="757C463D">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7.5 五方通话及视频电缆布线部分，乙方负责电梯轿厢至电梯机房连线，电梯机房至监控中心之间的连线由甲方负责。</w:t>
      </w:r>
    </w:p>
    <w:p w14:paraId="555FBB47">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7.6 乙方应当负责好</w:t>
      </w:r>
      <w:r>
        <w:rPr>
          <w:rFonts w:hint="eastAsia" w:asciiTheme="minorEastAsia" w:hAnsiTheme="minorEastAsia" w:eastAsiaTheme="minorEastAsia" w:cstheme="minorEastAsia"/>
          <w:color w:val="auto"/>
          <w:sz w:val="21"/>
          <w:szCs w:val="21"/>
          <w:lang w:eastAsia="zh-CN"/>
        </w:rPr>
        <w:t>电梯存放现场、安装</w:t>
      </w:r>
      <w:r>
        <w:rPr>
          <w:rFonts w:hint="eastAsia" w:asciiTheme="minorEastAsia" w:hAnsiTheme="minorEastAsia" w:eastAsiaTheme="minorEastAsia" w:cstheme="minorEastAsia"/>
          <w:color w:val="auto"/>
          <w:sz w:val="21"/>
          <w:szCs w:val="21"/>
        </w:rPr>
        <w:t>施工现场的安全围蔽工作，履行安全保障义务，如因乙方未尽安全保障义务导致的人身财产安全损害责任，由乙方依法承担。</w:t>
      </w:r>
    </w:p>
    <w:p w14:paraId="14BF7AA5">
      <w:pPr>
        <w:keepNext w:val="0"/>
        <w:keepLines w:val="0"/>
        <w:pageBreakBefore w:val="0"/>
        <w:widowControl w:val="0"/>
        <w:numPr>
          <w:ilvl w:val="0"/>
          <w:numId w:val="0"/>
        </w:numPr>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7.7 </w:t>
      </w:r>
      <w:r>
        <w:rPr>
          <w:rFonts w:hint="eastAsia" w:asciiTheme="minorEastAsia" w:hAnsiTheme="minorEastAsia" w:eastAsiaTheme="minorEastAsia" w:cstheme="minorEastAsia"/>
          <w:color w:val="auto"/>
          <w:sz w:val="21"/>
          <w:szCs w:val="21"/>
        </w:rPr>
        <w:t>电梯</w:t>
      </w:r>
      <w:r>
        <w:rPr>
          <w:rFonts w:hint="eastAsia" w:asciiTheme="minorEastAsia" w:hAnsiTheme="minorEastAsia" w:eastAsiaTheme="minorEastAsia" w:cstheme="minorEastAsia"/>
          <w:color w:val="auto"/>
          <w:sz w:val="21"/>
          <w:szCs w:val="21"/>
          <w:lang w:val="en-US" w:eastAsia="zh-CN"/>
        </w:rPr>
        <w:t>机房电源箱和</w:t>
      </w:r>
      <w:r>
        <w:rPr>
          <w:rFonts w:hint="eastAsia" w:asciiTheme="minorEastAsia" w:hAnsiTheme="minorEastAsia" w:eastAsiaTheme="minorEastAsia" w:cstheme="minorEastAsia"/>
          <w:color w:val="auto"/>
          <w:sz w:val="21"/>
          <w:szCs w:val="21"/>
        </w:rPr>
        <w:t>井道的永久照明安装工程，由乙方全部负责，费用含在</w:t>
      </w:r>
      <w:r>
        <w:rPr>
          <w:rFonts w:hint="eastAsia" w:asciiTheme="minorEastAsia" w:hAnsiTheme="minorEastAsia" w:eastAsiaTheme="minorEastAsia" w:cstheme="minorEastAsia"/>
          <w:color w:val="auto"/>
          <w:sz w:val="21"/>
          <w:szCs w:val="21"/>
          <w:lang w:val="en-US" w:eastAsia="zh-CN"/>
        </w:rPr>
        <w:t>合同</w:t>
      </w:r>
      <w:r>
        <w:rPr>
          <w:rFonts w:hint="eastAsia" w:asciiTheme="minorEastAsia" w:hAnsiTheme="minorEastAsia" w:eastAsiaTheme="minorEastAsia" w:cstheme="minorEastAsia"/>
          <w:color w:val="auto"/>
          <w:sz w:val="21"/>
          <w:szCs w:val="21"/>
        </w:rPr>
        <w:t>总价内，井道状况参见图纸及现场。</w:t>
      </w:r>
    </w:p>
    <w:p w14:paraId="5BDA9B29">
      <w:pPr>
        <w:keepNext w:val="0"/>
        <w:keepLines w:val="0"/>
        <w:numPr>
          <w:ilvl w:val="0"/>
          <w:numId w:val="0"/>
        </w:numPr>
        <w:tabs>
          <w:tab w:val="left" w:pos="540"/>
        </w:tabs>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7.8 </w:t>
      </w:r>
      <w:r>
        <w:rPr>
          <w:rFonts w:hint="eastAsia" w:asciiTheme="minorEastAsia" w:hAnsiTheme="minorEastAsia" w:eastAsiaTheme="minorEastAsia" w:cstheme="minorEastAsia"/>
          <w:color w:val="auto"/>
          <w:sz w:val="21"/>
          <w:szCs w:val="21"/>
        </w:rPr>
        <w:t>每台电梯的施工期不能够超过</w:t>
      </w: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auto"/>
          <w:sz w:val="21"/>
          <w:szCs w:val="21"/>
        </w:rPr>
        <w:t>天</w:t>
      </w:r>
      <w:r>
        <w:rPr>
          <w:rFonts w:hint="eastAsia" w:asciiTheme="minorEastAsia" w:hAnsiTheme="minorEastAsia" w:eastAsiaTheme="minorEastAsia" w:cstheme="minorEastAsia"/>
          <w:color w:val="auto"/>
          <w:sz w:val="21"/>
          <w:szCs w:val="21"/>
          <w:lang w:eastAsia="zh-CN"/>
        </w:rPr>
        <w:t>，自</w:t>
      </w:r>
      <w:r>
        <w:rPr>
          <w:rFonts w:hint="eastAsia" w:asciiTheme="minorEastAsia" w:hAnsiTheme="minorEastAsia" w:eastAsiaTheme="minorEastAsia" w:cstheme="minorEastAsia"/>
          <w:color w:val="auto"/>
          <w:sz w:val="21"/>
          <w:szCs w:val="21"/>
          <w:lang w:val="en-US" w:eastAsia="zh-CN"/>
        </w:rPr>
        <w:t>旧</w:t>
      </w:r>
      <w:r>
        <w:rPr>
          <w:rFonts w:hint="eastAsia" w:asciiTheme="minorEastAsia" w:hAnsiTheme="minorEastAsia" w:eastAsiaTheme="minorEastAsia" w:cstheme="minorEastAsia"/>
          <w:color w:val="auto"/>
          <w:sz w:val="21"/>
          <w:szCs w:val="21"/>
          <w:lang w:eastAsia="zh-CN"/>
        </w:rPr>
        <w:t>梯</w:t>
      </w:r>
      <w:r>
        <w:rPr>
          <w:rFonts w:hint="eastAsia" w:asciiTheme="minorEastAsia" w:hAnsiTheme="minorEastAsia" w:eastAsiaTheme="minorEastAsia" w:cstheme="minorEastAsia"/>
          <w:color w:val="auto"/>
          <w:sz w:val="21"/>
          <w:szCs w:val="21"/>
          <w:lang w:val="en-US" w:eastAsia="zh-CN"/>
        </w:rPr>
        <w:t>开始拆除</w:t>
      </w:r>
      <w:r>
        <w:rPr>
          <w:rFonts w:hint="eastAsia" w:asciiTheme="minorEastAsia" w:hAnsiTheme="minorEastAsia" w:eastAsiaTheme="minorEastAsia" w:cstheme="minorEastAsia"/>
          <w:color w:val="auto"/>
          <w:sz w:val="21"/>
          <w:szCs w:val="21"/>
          <w:lang w:eastAsia="zh-CN"/>
        </w:rPr>
        <w:t>之日起算。</w:t>
      </w:r>
    </w:p>
    <w:p w14:paraId="58BEE5F9">
      <w:pPr>
        <w:pStyle w:val="298"/>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第八条 检验</w:t>
      </w:r>
    </w:p>
    <w:p w14:paraId="4A47CAF2">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8.1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初步检验</w:t>
      </w:r>
    </w:p>
    <w:p w14:paraId="042FF789">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8.1.1 乙方提供产品的质量需符合国家《电梯制造与安装安全规范》GB7588-2003，符合本合同附件的配置和技术要求。</w:t>
      </w:r>
    </w:p>
    <w:p w14:paraId="7BF77812">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8.1.2 乙方提供的电梯产品必须</w:t>
      </w:r>
      <w:r>
        <w:rPr>
          <w:rFonts w:hint="eastAsia" w:asciiTheme="minorEastAsia" w:hAnsiTheme="minorEastAsia" w:eastAsiaTheme="minorEastAsia" w:cstheme="minorEastAsia"/>
          <w:color w:val="auto"/>
          <w:sz w:val="21"/>
          <w:szCs w:val="21"/>
          <w:lang w:val="en-US" w:eastAsia="zh-CN"/>
        </w:rPr>
        <w:t>符合本合同约定的型号、规格的要求</w:t>
      </w:r>
      <w:r>
        <w:rPr>
          <w:rFonts w:hint="eastAsia" w:asciiTheme="minorEastAsia" w:hAnsiTheme="minorEastAsia" w:eastAsiaTheme="minorEastAsia" w:cstheme="minorEastAsia"/>
          <w:color w:val="auto"/>
          <w:sz w:val="21"/>
          <w:szCs w:val="21"/>
        </w:rPr>
        <w:t>，如有不同，乙方应无条件免费进行更换，因此给甲方</w:t>
      </w:r>
      <w:r>
        <w:rPr>
          <w:rFonts w:hint="eastAsia" w:asciiTheme="minorEastAsia" w:hAnsiTheme="minorEastAsia" w:eastAsiaTheme="minorEastAsia" w:cstheme="minorEastAsia"/>
          <w:color w:val="auto"/>
          <w:sz w:val="21"/>
          <w:szCs w:val="21"/>
          <w:lang w:eastAsia="zh-CN"/>
        </w:rPr>
        <w:t>和</w:t>
      </w:r>
      <w:r>
        <w:rPr>
          <w:rFonts w:hint="eastAsia" w:asciiTheme="minorEastAsia" w:hAnsiTheme="minorEastAsia" w:eastAsiaTheme="minorEastAsia" w:cstheme="minorEastAsia"/>
          <w:color w:val="auto"/>
          <w:sz w:val="21"/>
          <w:szCs w:val="21"/>
        </w:rPr>
        <w:t>第三方造成损失的，乙方应依法予以赔偿。</w:t>
      </w:r>
    </w:p>
    <w:p w14:paraId="4E19DBE3">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8.1.3 货到现场，乙方应向甲方出具产品合格证明等相关证明文件，否则甲方不予验货，由此造成的所有损失由乙方承担。</w:t>
      </w:r>
    </w:p>
    <w:p w14:paraId="32F0F3E3">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8.1.4 合同设备运抵甲方指定地点后，甲方应与乙方共同对运抵的箱体数量进行初步检验。</w:t>
      </w:r>
    </w:p>
    <w:p w14:paraId="055AAD75">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8.1.5 双方在安装前另行约定开箱日期，并由双方共同进行检验。</w:t>
      </w:r>
    </w:p>
    <w:p w14:paraId="296E8233">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8.1.</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 在包装箱体完好无损的情况下，货物数量、质量与约定不符，由乙方负责补足、修理或更换。</w:t>
      </w:r>
    </w:p>
    <w:p w14:paraId="19FB8E74">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 最终验收</w:t>
      </w:r>
    </w:p>
    <w:p w14:paraId="3581BEBE">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8.2.1 在设备安装调试双方验收完成后，乙方可代甲方向相关部门提出验收申请，产品质量安装质量均以</w:t>
      </w:r>
      <w:r>
        <w:rPr>
          <w:rFonts w:hint="eastAsia" w:asciiTheme="minorEastAsia" w:hAnsiTheme="minorEastAsia" w:eastAsiaTheme="minorEastAsia" w:cstheme="minorEastAsia"/>
          <w:color w:val="auto"/>
          <w:sz w:val="21"/>
          <w:szCs w:val="21"/>
          <w:lang w:val="en-US" w:eastAsia="zh-CN"/>
        </w:rPr>
        <w:t>广东省</w:t>
      </w:r>
      <w:r>
        <w:rPr>
          <w:rFonts w:hint="eastAsia" w:asciiTheme="minorEastAsia" w:hAnsiTheme="minorEastAsia" w:eastAsiaTheme="minorEastAsia" w:cstheme="minorEastAsia"/>
          <w:color w:val="auto"/>
          <w:sz w:val="21"/>
          <w:szCs w:val="21"/>
        </w:rPr>
        <w:t>特种设备检测</w:t>
      </w:r>
      <w:r>
        <w:rPr>
          <w:rFonts w:hint="eastAsia" w:asciiTheme="minorEastAsia" w:hAnsiTheme="minorEastAsia" w:eastAsiaTheme="minorEastAsia" w:cstheme="minorEastAsia"/>
          <w:color w:val="auto"/>
          <w:sz w:val="21"/>
          <w:szCs w:val="21"/>
          <w:lang w:val="en-US" w:eastAsia="zh-CN"/>
        </w:rPr>
        <w:t>研究</w:t>
      </w:r>
      <w:r>
        <w:rPr>
          <w:rFonts w:hint="eastAsia" w:asciiTheme="minorEastAsia" w:hAnsiTheme="minorEastAsia" w:eastAsiaTheme="minorEastAsia" w:cstheme="minorEastAsia"/>
          <w:color w:val="auto"/>
          <w:sz w:val="21"/>
          <w:szCs w:val="21"/>
        </w:rPr>
        <w:t>院验收结论为准，同时必须满足本合同的约定。</w:t>
      </w:r>
    </w:p>
    <w:p w14:paraId="71C77766">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8.2.</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 乙方及其工作人员应负责协助设备安装调试工作的安全和顺利地进行。</w:t>
      </w:r>
    </w:p>
    <w:p w14:paraId="3CA82716">
      <w:pPr>
        <w:pStyle w:val="298"/>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第九条 保修</w:t>
      </w:r>
    </w:p>
    <w:p w14:paraId="03107622">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rPr>
        <w:t>9.1 产品质保期</w:t>
      </w:r>
      <w:r>
        <w:rPr>
          <w:rFonts w:hint="eastAsia" w:asciiTheme="minorEastAsia" w:hAnsiTheme="minorEastAsia" w:eastAsiaTheme="minorEastAsia" w:cstheme="minorEastAsia"/>
          <w:color w:val="auto"/>
          <w:sz w:val="21"/>
          <w:szCs w:val="21"/>
          <w:lang w:eastAsia="zh-CN"/>
        </w:rPr>
        <w:t>和</w:t>
      </w:r>
      <w:r>
        <w:rPr>
          <w:rFonts w:hint="eastAsia" w:asciiTheme="minorEastAsia" w:hAnsiTheme="minorEastAsia" w:eastAsiaTheme="minorEastAsia" w:cstheme="minorEastAsia"/>
          <w:color w:val="auto"/>
          <w:sz w:val="21"/>
          <w:szCs w:val="21"/>
          <w:lang w:val="en-US" w:eastAsia="zh-CN"/>
        </w:rPr>
        <w:t>免费保养</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为</w:t>
      </w:r>
      <w:r>
        <w:rPr>
          <w:rFonts w:hint="eastAsia" w:asciiTheme="minorEastAsia" w:hAnsiTheme="minorEastAsia" w:eastAsiaTheme="minorEastAsia" w:cstheme="minorEastAsia"/>
          <w:color w:val="auto"/>
          <w:sz w:val="21"/>
          <w:szCs w:val="21"/>
          <w:highlight w:val="none"/>
          <w:lang w:eastAsia="zh-CN"/>
        </w:rPr>
        <w:t>期</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个月，时间从取得特种设备检测院验</w:t>
      </w:r>
      <w:r>
        <w:rPr>
          <w:rFonts w:hint="eastAsia" w:asciiTheme="minorEastAsia" w:hAnsiTheme="minorEastAsia" w:eastAsiaTheme="minorEastAsia" w:cstheme="minorEastAsia"/>
          <w:color w:val="auto"/>
          <w:sz w:val="21"/>
          <w:szCs w:val="21"/>
          <w:highlight w:val="none"/>
          <w:lang w:val="en-US" w:eastAsia="zh-CN"/>
        </w:rPr>
        <w:t>监督检验报告</w:t>
      </w:r>
      <w:r>
        <w:rPr>
          <w:rFonts w:hint="eastAsia" w:asciiTheme="minorEastAsia" w:hAnsiTheme="minorEastAsia" w:eastAsiaTheme="minorEastAsia" w:cstheme="minorEastAsia"/>
          <w:color w:val="auto"/>
          <w:sz w:val="21"/>
          <w:szCs w:val="21"/>
          <w:highlight w:val="none"/>
        </w:rPr>
        <w:t>之日起分批计算。</w:t>
      </w:r>
      <w:r>
        <w:rPr>
          <w:rFonts w:hint="eastAsia" w:asciiTheme="minorEastAsia" w:hAnsiTheme="minorEastAsia" w:eastAsiaTheme="minorEastAsia" w:cstheme="minorEastAsia"/>
          <w:color w:val="auto"/>
          <w:sz w:val="21"/>
          <w:szCs w:val="21"/>
          <w:highlight w:val="none"/>
          <w:lang w:val="en-US" w:eastAsia="zh-CN"/>
        </w:rPr>
        <w:t>曳引机、控制柜、门机、安全钳、限速器五大件进口件提供</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质保，</w:t>
      </w:r>
      <w:r>
        <w:rPr>
          <w:rFonts w:hint="eastAsia" w:asciiTheme="minorEastAsia" w:hAnsiTheme="minorEastAsia" w:eastAsiaTheme="minorEastAsia" w:cstheme="minorEastAsia"/>
          <w:color w:val="auto"/>
          <w:sz w:val="21"/>
          <w:szCs w:val="21"/>
          <w:highlight w:val="none"/>
        </w:rPr>
        <w:t>且在</w:t>
      </w:r>
      <w:r>
        <w:rPr>
          <w:rFonts w:hint="eastAsia" w:asciiTheme="minorEastAsia" w:hAnsiTheme="minorEastAsia" w:eastAsiaTheme="minorEastAsia" w:cstheme="minorEastAsia"/>
          <w:color w:val="auto"/>
          <w:sz w:val="21"/>
          <w:szCs w:val="21"/>
          <w:highlight w:val="none"/>
          <w:lang w:eastAsia="zh-CN"/>
        </w:rPr>
        <w:t>接到甲方通知后</w:t>
      </w:r>
      <w:r>
        <w:rPr>
          <w:rFonts w:hint="eastAsia" w:asciiTheme="minorEastAsia" w:hAnsiTheme="minorEastAsia" w:eastAsiaTheme="minorEastAsia" w:cstheme="minorEastAsia"/>
          <w:color w:val="auto"/>
          <w:sz w:val="21"/>
          <w:szCs w:val="21"/>
          <w:highlight w:val="none"/>
        </w:rPr>
        <w:t>4小时内解决问题，在广东省内设有零部件后备仓库；质保期满后，如甲方要求，乙方应继续负责维修服务，并给予价格优惠</w:t>
      </w:r>
      <w:r>
        <w:rPr>
          <w:rFonts w:hint="eastAsia" w:asciiTheme="minorEastAsia" w:hAnsiTheme="minorEastAsia" w:eastAsiaTheme="minorEastAsia" w:cstheme="minorEastAsia"/>
          <w:color w:val="auto"/>
          <w:sz w:val="21"/>
          <w:szCs w:val="21"/>
          <w:highlight w:val="none"/>
          <w:lang w:val="en-US" w:eastAsia="zh-CN"/>
        </w:rPr>
        <w:t>。</w:t>
      </w:r>
    </w:p>
    <w:p w14:paraId="6D9DE971">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质保期内如有设备运行发生故障，乙方在接到甲方通知后</w:t>
      </w:r>
      <w:r>
        <w:rPr>
          <w:rFonts w:hint="eastAsia" w:asciiTheme="minorEastAsia" w:hAnsiTheme="minorEastAsia" w:eastAsiaTheme="minorEastAsia" w:cstheme="minorEastAsia"/>
          <w:color w:val="auto"/>
          <w:sz w:val="21"/>
          <w:szCs w:val="21"/>
          <w:highlight w:val="none"/>
          <w:u w:val="single"/>
          <w:lang w:val="en-US" w:eastAsia="zh-CN"/>
        </w:rPr>
        <w:t xml:space="preserve"> 1 </w:t>
      </w:r>
      <w:r>
        <w:rPr>
          <w:rFonts w:hint="eastAsia" w:asciiTheme="minorEastAsia" w:hAnsiTheme="minorEastAsia" w:eastAsiaTheme="minorEastAsia" w:cstheme="minorEastAsia"/>
          <w:color w:val="auto"/>
          <w:sz w:val="21"/>
          <w:szCs w:val="21"/>
          <w:highlight w:val="none"/>
        </w:rPr>
        <w:t>小时内派维修人员到达现场处理</w:t>
      </w:r>
      <w:r>
        <w:rPr>
          <w:rFonts w:hint="eastAsia" w:asciiTheme="minorEastAsia" w:hAnsiTheme="minorEastAsia" w:eastAsiaTheme="minorEastAsia" w:cstheme="minorEastAsia"/>
          <w:color w:val="auto"/>
          <w:sz w:val="21"/>
          <w:szCs w:val="21"/>
          <w:highlight w:val="none"/>
          <w:lang w:eastAsia="zh-CN"/>
        </w:rPr>
        <w:t>，发生</w:t>
      </w:r>
      <w:r>
        <w:rPr>
          <w:rFonts w:hint="eastAsia" w:asciiTheme="minorEastAsia" w:hAnsiTheme="minorEastAsia" w:eastAsiaTheme="minorEastAsia" w:cstheme="minorEastAsia"/>
          <w:color w:val="auto"/>
          <w:sz w:val="21"/>
          <w:szCs w:val="21"/>
          <w:highlight w:val="none"/>
        </w:rPr>
        <w:t>困人故障时为</w:t>
      </w:r>
      <w:r>
        <w:rPr>
          <w:rFonts w:hint="eastAsia" w:asciiTheme="minorEastAsia" w:hAnsiTheme="minorEastAsia" w:eastAsiaTheme="minorEastAsia" w:cstheme="minorEastAsia"/>
          <w:color w:val="auto"/>
          <w:sz w:val="21"/>
          <w:szCs w:val="21"/>
          <w:highlight w:val="none"/>
          <w:u w:val="single"/>
          <w:lang w:val="en-US" w:eastAsia="zh-CN"/>
        </w:rPr>
        <w:t xml:space="preserve"> 30 </w:t>
      </w:r>
      <w:r>
        <w:rPr>
          <w:rFonts w:hint="eastAsia" w:asciiTheme="minorEastAsia" w:hAnsiTheme="minorEastAsia" w:eastAsiaTheme="minorEastAsia" w:cstheme="minorEastAsia"/>
          <w:color w:val="auto"/>
          <w:sz w:val="21"/>
          <w:szCs w:val="21"/>
          <w:highlight w:val="none"/>
          <w:lang w:val="en-US" w:eastAsia="zh-CN"/>
        </w:rPr>
        <w:t>分钟</w:t>
      </w:r>
      <w:r>
        <w:rPr>
          <w:rFonts w:hint="eastAsia" w:asciiTheme="minorEastAsia" w:hAnsiTheme="minorEastAsia" w:eastAsiaTheme="minorEastAsia" w:cstheme="minorEastAsia"/>
          <w:color w:val="auto"/>
          <w:sz w:val="21"/>
          <w:szCs w:val="21"/>
          <w:highlight w:val="none"/>
        </w:rPr>
        <w:t>。</w:t>
      </w:r>
    </w:p>
    <w:p w14:paraId="1BC8944A">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9.3 在保修期间，由于甲方或电梯使用单位管理使用</w:t>
      </w:r>
      <w:r>
        <w:rPr>
          <w:rFonts w:hint="eastAsia" w:asciiTheme="minorEastAsia" w:hAnsiTheme="minorEastAsia" w:eastAsiaTheme="minorEastAsia" w:cstheme="minorEastAsia"/>
          <w:color w:val="auto"/>
          <w:sz w:val="21"/>
          <w:szCs w:val="21"/>
        </w:rPr>
        <w:t>不当造成的故障，不属于保修的范围，乙方可予以有偿修复。</w:t>
      </w:r>
    </w:p>
    <w:p w14:paraId="5987DB20">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9.4</w:t>
      </w:r>
      <w:r>
        <w:rPr>
          <w:rFonts w:hint="eastAsia" w:asciiTheme="minorEastAsia" w:hAnsiTheme="minorEastAsia" w:eastAsiaTheme="minorEastAsia" w:cstheme="minorEastAsia"/>
          <w:color w:val="auto"/>
          <w:sz w:val="21"/>
          <w:szCs w:val="21"/>
          <w:lang w:val="en-US" w:eastAsia="zh-CN"/>
        </w:rPr>
        <w:t xml:space="preserve"> 甲方后期若继续选用乙方同类产品，乙方应不高于合同总价进行销售，并给于最大优惠。</w:t>
      </w:r>
    </w:p>
    <w:p w14:paraId="6182B467">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 xml:space="preserve">5 </w:t>
      </w:r>
      <w:r>
        <w:rPr>
          <w:rFonts w:hint="eastAsia" w:asciiTheme="minorEastAsia" w:hAnsiTheme="minorEastAsia" w:eastAsiaTheme="minorEastAsia" w:cstheme="minorEastAsia"/>
          <w:color w:val="auto"/>
          <w:sz w:val="21"/>
          <w:szCs w:val="21"/>
        </w:rPr>
        <w:t>人员培训</w:t>
      </w:r>
    </w:p>
    <w:p w14:paraId="22FF3EA6">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.1 乙方要对甲方技术人员、操作人员和维修人员进行现场培训。所有培训使用中文进行。</w:t>
      </w:r>
    </w:p>
    <w:p w14:paraId="420939E7">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.2 乙方派出的培训人员，应在所提供的产品上具有3年以上的维修经验。培训前，培训人员的简历连同培训计划要一并提交甲方批准。甲方认为培训人员不合适可要求更换。</w:t>
      </w:r>
    </w:p>
    <w:p w14:paraId="6C44D902">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.3 乙方培训前应提供中文操作、维修手册。通过培训使甲方技术人员能够了解设备结构工作原理及工作性质，能排除一般故障。</w:t>
      </w:r>
    </w:p>
    <w:p w14:paraId="3A2987D0">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.4 乙方派出的现场培训指导人员的各项费用，已经包含在产品价格中，甲方不再提供。如需在工程所在会议室课堂培训时，甲方将免费提供会议室，但相应的计算机等设备则由乙方负责。</w:t>
      </w:r>
    </w:p>
    <w:p w14:paraId="39B95FC5">
      <w:pPr>
        <w:pStyle w:val="298"/>
        <w:keepNext w:val="0"/>
        <w:keepLines w:val="0"/>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第十条 违约责任及合同的解除</w:t>
      </w:r>
    </w:p>
    <w:p w14:paraId="7821BAD1">
      <w:pPr>
        <w:keepNext w:val="0"/>
        <w:keepLines w:val="0"/>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10.1 除不可抗力外，</w:t>
      </w:r>
      <w:r>
        <w:rPr>
          <w:rFonts w:hint="eastAsia" w:asciiTheme="minorEastAsia" w:hAnsiTheme="minorEastAsia" w:eastAsiaTheme="minorEastAsia" w:cstheme="minorEastAsia"/>
          <w:color w:val="auto"/>
          <w:kern w:val="0"/>
          <w:sz w:val="21"/>
          <w:szCs w:val="21"/>
          <w:lang w:eastAsia="zh-CN"/>
        </w:rPr>
        <w:t>乙方</w:t>
      </w:r>
      <w:r>
        <w:rPr>
          <w:rFonts w:hint="eastAsia" w:asciiTheme="minorEastAsia" w:hAnsiTheme="minorEastAsia" w:eastAsiaTheme="minorEastAsia" w:cstheme="minorEastAsia"/>
          <w:color w:val="auto"/>
          <w:kern w:val="0"/>
          <w:sz w:val="21"/>
          <w:szCs w:val="21"/>
        </w:rPr>
        <w:t>未按合同及附件确定的期限交货</w:t>
      </w:r>
      <w:r>
        <w:rPr>
          <w:rFonts w:hint="eastAsia" w:asciiTheme="minorEastAsia" w:hAnsiTheme="minorEastAsia" w:eastAsiaTheme="minorEastAsia" w:cstheme="minorEastAsia"/>
          <w:color w:val="auto"/>
          <w:kern w:val="0"/>
          <w:sz w:val="21"/>
          <w:szCs w:val="21"/>
          <w:lang w:eastAsia="zh-CN"/>
        </w:rPr>
        <w:t>、施工安装</w:t>
      </w:r>
      <w:r>
        <w:rPr>
          <w:rFonts w:hint="eastAsia" w:asciiTheme="minorEastAsia" w:hAnsiTheme="minorEastAsia" w:eastAsiaTheme="minorEastAsia" w:cstheme="minorEastAsia"/>
          <w:color w:val="auto"/>
          <w:kern w:val="0"/>
          <w:sz w:val="21"/>
          <w:szCs w:val="21"/>
        </w:rPr>
        <w:t>，或</w:t>
      </w:r>
      <w:r>
        <w:rPr>
          <w:rFonts w:hint="eastAsia" w:asciiTheme="minorEastAsia" w:hAnsiTheme="minorEastAsia" w:eastAsiaTheme="minorEastAsia" w:cstheme="minorEastAsia"/>
          <w:color w:val="auto"/>
          <w:kern w:val="0"/>
          <w:sz w:val="21"/>
          <w:szCs w:val="21"/>
          <w:lang w:eastAsia="zh-CN"/>
        </w:rPr>
        <w:t>甲方</w:t>
      </w:r>
      <w:r>
        <w:rPr>
          <w:rFonts w:hint="eastAsia" w:asciiTheme="minorEastAsia" w:hAnsiTheme="minorEastAsia" w:eastAsiaTheme="minorEastAsia" w:cstheme="minorEastAsia"/>
          <w:color w:val="auto"/>
          <w:kern w:val="0"/>
          <w:sz w:val="21"/>
          <w:szCs w:val="21"/>
        </w:rPr>
        <w:t>未按合同约定的期限付清货款的，违约方必须按逾期部分</w:t>
      </w:r>
      <w:r>
        <w:rPr>
          <w:rFonts w:hint="eastAsia" w:asciiTheme="minorEastAsia" w:hAnsiTheme="minorEastAsia" w:eastAsiaTheme="minorEastAsia" w:cstheme="minorEastAsia"/>
          <w:color w:val="auto"/>
          <w:kern w:val="0"/>
          <w:sz w:val="21"/>
          <w:szCs w:val="21"/>
          <w:lang w:eastAsia="zh-CN"/>
        </w:rPr>
        <w:t>设备款、安装费、运输费</w:t>
      </w:r>
      <w:r>
        <w:rPr>
          <w:rFonts w:hint="eastAsia" w:asciiTheme="minorEastAsia" w:hAnsiTheme="minorEastAsia" w:eastAsiaTheme="minorEastAsia" w:cstheme="minorEastAsia"/>
          <w:color w:val="auto"/>
          <w:kern w:val="0"/>
          <w:sz w:val="21"/>
          <w:szCs w:val="21"/>
        </w:rPr>
        <w:t>总额的每天万分之四的比例，向守约方支付逾期交货或逾期付款的误期损害赔偿金。对该误期损害赔偿金的支付不影响违约方按照合同规定应该继续履行的义务。</w:t>
      </w:r>
      <w:r>
        <w:rPr>
          <w:rFonts w:hint="eastAsia" w:asciiTheme="minorEastAsia" w:hAnsiTheme="minorEastAsia" w:eastAsiaTheme="minorEastAsia" w:cstheme="minorEastAsia"/>
          <w:color w:val="auto"/>
          <w:kern w:val="0"/>
          <w:sz w:val="21"/>
          <w:szCs w:val="21"/>
          <w:lang w:eastAsia="zh-CN"/>
        </w:rPr>
        <w:t>逾期超过</w:t>
      </w:r>
      <w:r>
        <w:rPr>
          <w:rFonts w:hint="eastAsia" w:asciiTheme="minorEastAsia" w:hAnsiTheme="minorEastAsia" w:eastAsiaTheme="minorEastAsia" w:cstheme="minorEastAsia"/>
          <w:color w:val="auto"/>
          <w:kern w:val="0"/>
          <w:sz w:val="21"/>
          <w:szCs w:val="21"/>
          <w:u w:val="single"/>
          <w:lang w:val="en-US" w:eastAsia="zh-CN"/>
        </w:rPr>
        <w:t xml:space="preserve">  </w:t>
      </w:r>
      <w:r>
        <w:rPr>
          <w:rFonts w:hint="eastAsia" w:asciiTheme="minorEastAsia" w:hAnsiTheme="minorEastAsia" w:eastAsiaTheme="minorEastAsia" w:cstheme="minorEastAsia"/>
          <w:color w:val="auto"/>
          <w:kern w:val="0"/>
          <w:sz w:val="21"/>
          <w:szCs w:val="21"/>
          <w:lang w:val="en-US" w:eastAsia="zh-CN"/>
        </w:rPr>
        <w:t>天的，守约方有权解除合同并要求违约方另行支付合同总金额30%的违约金。</w:t>
      </w:r>
    </w:p>
    <w:p w14:paraId="77043832">
      <w:pPr>
        <w:pStyle w:val="237"/>
        <w:keepNext w:val="0"/>
        <w:keepLines w:val="0"/>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10.2 除不可抗力外，</w:t>
      </w:r>
      <w:r>
        <w:rPr>
          <w:rFonts w:hint="eastAsia" w:asciiTheme="minorEastAsia" w:hAnsiTheme="minorEastAsia" w:eastAsiaTheme="minorEastAsia" w:cstheme="minorEastAsia"/>
          <w:color w:val="auto"/>
          <w:sz w:val="21"/>
          <w:szCs w:val="21"/>
          <w:lang w:eastAsia="zh-CN"/>
        </w:rPr>
        <w:t>甲方</w:t>
      </w:r>
      <w:r>
        <w:rPr>
          <w:rFonts w:hint="eastAsia" w:asciiTheme="minorEastAsia" w:hAnsiTheme="minorEastAsia" w:eastAsiaTheme="minorEastAsia" w:cstheme="minorEastAsia"/>
          <w:color w:val="auto"/>
          <w:sz w:val="21"/>
          <w:szCs w:val="21"/>
        </w:rPr>
        <w:t>已经履行了</w:t>
      </w:r>
      <w:r>
        <w:rPr>
          <w:rFonts w:hint="eastAsia" w:asciiTheme="minorEastAsia" w:hAnsiTheme="minorEastAsia" w:eastAsiaTheme="minorEastAsia" w:cstheme="minorEastAsia"/>
          <w:color w:val="auto"/>
          <w:sz w:val="21"/>
          <w:szCs w:val="21"/>
          <w:lang w:eastAsia="zh-CN"/>
        </w:rPr>
        <w:t>合同约定</w:t>
      </w:r>
      <w:r>
        <w:rPr>
          <w:rFonts w:hint="eastAsia" w:asciiTheme="minorEastAsia" w:hAnsiTheme="minorEastAsia" w:eastAsiaTheme="minorEastAsia" w:cstheme="minorEastAsia"/>
          <w:color w:val="auto"/>
          <w:sz w:val="21"/>
          <w:szCs w:val="21"/>
        </w:rPr>
        <w:t>义务，而</w:t>
      </w:r>
      <w:r>
        <w:rPr>
          <w:rFonts w:hint="eastAsia" w:asciiTheme="minorEastAsia" w:hAnsiTheme="minorEastAsia" w:eastAsiaTheme="minorEastAsia" w:cstheme="minorEastAsia"/>
          <w:color w:val="auto"/>
          <w:sz w:val="21"/>
          <w:szCs w:val="21"/>
          <w:lang w:eastAsia="zh-CN"/>
        </w:rPr>
        <w:t>乙方</w:t>
      </w:r>
      <w:r>
        <w:rPr>
          <w:rFonts w:hint="eastAsia" w:asciiTheme="minorEastAsia" w:hAnsiTheme="minorEastAsia" w:eastAsiaTheme="minorEastAsia" w:cstheme="minorEastAsia"/>
          <w:color w:val="auto"/>
          <w:sz w:val="21"/>
          <w:szCs w:val="21"/>
        </w:rPr>
        <w:t>不能交货</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或</w:t>
      </w:r>
      <w:r>
        <w:rPr>
          <w:rFonts w:hint="eastAsia" w:asciiTheme="minorEastAsia" w:hAnsiTheme="minorEastAsia" w:eastAsiaTheme="minorEastAsia" w:cstheme="minorEastAsia"/>
          <w:color w:val="auto"/>
          <w:sz w:val="21"/>
          <w:szCs w:val="21"/>
          <w:lang w:eastAsia="zh-CN"/>
        </w:rPr>
        <w:t>甲方</w:t>
      </w:r>
      <w:r>
        <w:rPr>
          <w:rFonts w:hint="eastAsia" w:asciiTheme="minorEastAsia" w:hAnsiTheme="minorEastAsia" w:eastAsiaTheme="minorEastAsia" w:cstheme="minorEastAsia"/>
          <w:color w:val="auto"/>
          <w:sz w:val="21"/>
          <w:szCs w:val="21"/>
        </w:rPr>
        <w:t>违反合同约定，不履行给付义务构成根本违约的，守约一方有权选择解除合同，违约一方应向守约一方支付</w:t>
      </w:r>
      <w:r>
        <w:rPr>
          <w:rFonts w:hint="eastAsia" w:asciiTheme="minorEastAsia" w:hAnsiTheme="minorEastAsia" w:eastAsiaTheme="minorEastAsia" w:cstheme="minorEastAsia"/>
          <w:color w:val="auto"/>
          <w:sz w:val="21"/>
          <w:szCs w:val="21"/>
          <w:lang w:val="en-US" w:eastAsia="zh-CN"/>
        </w:rPr>
        <w:t>合同总价</w:t>
      </w:r>
      <w:r>
        <w:rPr>
          <w:rFonts w:hint="eastAsia" w:asciiTheme="minorEastAsia" w:hAnsiTheme="minorEastAsia" w:eastAsiaTheme="minorEastAsia" w:cstheme="minorEastAsia"/>
          <w:color w:val="auto"/>
          <w:sz w:val="21"/>
          <w:szCs w:val="21"/>
        </w:rPr>
        <w:t>30％的违约金。</w:t>
      </w:r>
    </w:p>
    <w:p w14:paraId="4A600955">
      <w:pPr>
        <w:pStyle w:val="237"/>
        <w:keepNext w:val="0"/>
        <w:keepLines w:val="0"/>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10.3 质保期内，乙方违反本合同、招标文件或投标文件中约定的质保义务的，乙方除应尽快处理完成保修等工作外，还应按合同总价的每天万分之四的比例向甲方支付逾期违约金。甲方也可委托第三方完成保修工作，由此产生的费用由乙方承担。甲方有权在质保金中扣除前述费用及违约金，不足部分乙方须在收到甲方通知后的</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val="en-US" w:eastAsia="zh-CN"/>
        </w:rPr>
        <w:t>个工作日内支付。</w:t>
      </w:r>
    </w:p>
    <w:p w14:paraId="2E54347D">
      <w:pPr>
        <w:pStyle w:val="237"/>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第十一条 不可抗力</w:t>
      </w:r>
    </w:p>
    <w:p w14:paraId="608A2C8C">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11.1 本合同所称“不可抗力”，是指不能预见、不能避免并不能克服的客观情况。其具体范围包括：地震、台风、火灾和其它自然灾害；战争、暴动等。</w:t>
      </w:r>
    </w:p>
    <w:p w14:paraId="07320819">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11.2 任何一方由于不可抗力的原因而不能履行或者不能完全履行本合同时，应在不可抗力事件发生后的24小时内及时向对方发出通知，通报不能履行或者不能完全履行的理由，以减轻可能给对方造成的损失，并在10个日历天内取得有关权威机构出具的合法证明后，可以延期履行、部分履行或者不履行本合同，并根据情况可部分或者全部免予承担违约责任。</w:t>
      </w:r>
    </w:p>
    <w:p w14:paraId="22E90690">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11.3 凡未按本条第11.2款之约定及时发出通知并提供有关合法证明的，均不得免除其违约责任。</w:t>
      </w:r>
    </w:p>
    <w:p w14:paraId="44B2335E">
      <w:pPr>
        <w:pStyle w:val="299"/>
        <w:pageBreakBefore w:val="0"/>
        <w:kinsoku/>
        <w:wordWrap/>
        <w:overflowPunct/>
        <w:topLinePunct w:val="0"/>
        <w:bidi w:val="0"/>
        <w:snapToGrid/>
        <w:spacing w:after="0"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第十二条 争议解决</w:t>
      </w:r>
    </w:p>
    <w:p w14:paraId="4820ED1E">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凡因本合同所引起的或与本合同有关的任何争议，如双方不能通过友好协商解决，</w:t>
      </w:r>
      <w:r>
        <w:rPr>
          <w:rFonts w:hint="eastAsia" w:asciiTheme="minorEastAsia" w:hAnsiTheme="minorEastAsia" w:eastAsiaTheme="minorEastAsia" w:cstheme="minorEastAsia"/>
          <w:color w:val="auto"/>
          <w:sz w:val="21"/>
          <w:szCs w:val="21"/>
          <w:lang w:val="en-US" w:eastAsia="zh-CN"/>
        </w:rPr>
        <w:t>协商不成可向甲方所在地人民法院提起诉讼</w:t>
      </w:r>
      <w:r>
        <w:rPr>
          <w:rFonts w:hint="eastAsia" w:asciiTheme="minorEastAsia" w:hAnsiTheme="minorEastAsia" w:eastAsiaTheme="minorEastAsia" w:cstheme="minorEastAsia"/>
          <w:color w:val="auto"/>
          <w:sz w:val="21"/>
          <w:szCs w:val="21"/>
        </w:rPr>
        <w:t>。</w:t>
      </w:r>
    </w:p>
    <w:p w14:paraId="298EE478">
      <w:pPr>
        <w:pStyle w:val="299"/>
        <w:pageBreakBefore w:val="0"/>
        <w:kinsoku/>
        <w:wordWrap/>
        <w:overflowPunct/>
        <w:topLinePunct w:val="0"/>
        <w:bidi w:val="0"/>
        <w:snapToGrid/>
        <w:spacing w:after="0"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第十三条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rPr>
        <w:t>通知与送达</w:t>
      </w:r>
    </w:p>
    <w:p w14:paraId="19618564">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13.1 与本合同有关的所有通知均应采用书面形式，并按照本合同所列的通知地址采用当面送达、传真或特快专递等方式送达给另一方。</w:t>
      </w:r>
    </w:p>
    <w:p w14:paraId="301C26FE">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13.2 如果通知地址变更，一方应在变更后的</w:t>
      </w:r>
      <w:r>
        <w:rPr>
          <w:rFonts w:hint="eastAsia" w:asciiTheme="minorEastAsia" w:hAnsiTheme="minorEastAsia" w:eastAsiaTheme="minorEastAsia" w:cstheme="minorEastAsia"/>
          <w:color w:val="auto"/>
          <w:sz w:val="21"/>
          <w:szCs w:val="21"/>
          <w:lang w:val="en-US" w:eastAsia="zh-CN"/>
        </w:rPr>
        <w:t>3个日历天</w:t>
      </w:r>
      <w:r>
        <w:rPr>
          <w:rFonts w:hint="eastAsia" w:asciiTheme="minorEastAsia" w:hAnsiTheme="minorEastAsia" w:eastAsiaTheme="minorEastAsia" w:cstheme="minorEastAsia"/>
          <w:color w:val="auto"/>
          <w:sz w:val="21"/>
          <w:szCs w:val="21"/>
        </w:rPr>
        <w:t>内按本条约定通知另一方。一方未按本条约定的方式及期限发出变更通知致使另一方按照原通知地址发出通知的，或者另一方在收到变更通知之前按照原通知地址发出通知的，该通知仍为有效通知。</w:t>
      </w:r>
    </w:p>
    <w:p w14:paraId="2E284993">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13.3 甲方的送达地址如下：</w:t>
      </w:r>
    </w:p>
    <w:p w14:paraId="0B572FB7">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 ：广州市广州大道中</w:t>
      </w:r>
      <w:r>
        <w:rPr>
          <w:rFonts w:hint="eastAsia" w:asciiTheme="minorEastAsia" w:hAnsiTheme="minorEastAsia" w:eastAsiaTheme="minorEastAsia" w:cstheme="minorEastAsia"/>
          <w:color w:val="auto"/>
          <w:sz w:val="21"/>
          <w:szCs w:val="21"/>
          <w:lang w:val="en-US" w:eastAsia="zh-CN"/>
        </w:rPr>
        <w:t>289</w:t>
      </w:r>
      <w:r>
        <w:rPr>
          <w:rFonts w:hint="eastAsia" w:asciiTheme="minorEastAsia" w:hAnsiTheme="minorEastAsia" w:eastAsiaTheme="minorEastAsia" w:cstheme="minorEastAsia"/>
          <w:color w:val="auto"/>
          <w:sz w:val="21"/>
          <w:szCs w:val="21"/>
        </w:rPr>
        <w:t>号</w:t>
      </w:r>
    </w:p>
    <w:p w14:paraId="28E3B45C">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邮 编 ：</w:t>
      </w:r>
      <w:r>
        <w:rPr>
          <w:rFonts w:hint="eastAsia" w:asciiTheme="minorEastAsia" w:hAnsiTheme="minorEastAsia" w:eastAsiaTheme="minorEastAsia" w:cstheme="minorEastAsia"/>
          <w:color w:val="auto"/>
          <w:sz w:val="21"/>
          <w:szCs w:val="21"/>
          <w:lang w:val="en-US" w:eastAsia="zh-CN"/>
        </w:rPr>
        <w:t xml:space="preserve"> </w:t>
      </w:r>
    </w:p>
    <w:p w14:paraId="2E3D867E">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联络人：</w:t>
      </w:r>
    </w:p>
    <w:p w14:paraId="6BC7E6EA">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电 话 ：</w:t>
      </w:r>
      <w:r>
        <w:rPr>
          <w:rFonts w:hint="eastAsia" w:asciiTheme="minorEastAsia" w:hAnsiTheme="minorEastAsia" w:eastAsiaTheme="minorEastAsia" w:cstheme="minorEastAsia"/>
          <w:color w:val="auto"/>
          <w:sz w:val="21"/>
          <w:szCs w:val="21"/>
          <w:lang w:val="en-US" w:eastAsia="zh-CN"/>
        </w:rPr>
        <w:t xml:space="preserve"> </w:t>
      </w:r>
    </w:p>
    <w:p w14:paraId="2A75E07A">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 乙方的送达地址如下：</w:t>
      </w:r>
    </w:p>
    <w:p w14:paraId="1A51598F">
      <w:pPr>
        <w:pStyle w:val="237"/>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地 址 ：</w:t>
      </w:r>
      <w:r>
        <w:rPr>
          <w:rFonts w:hint="eastAsia" w:asciiTheme="minorEastAsia" w:hAnsiTheme="minorEastAsia" w:eastAsiaTheme="minorEastAsia" w:cstheme="minorEastAsia"/>
          <w:color w:val="auto"/>
          <w:sz w:val="21"/>
          <w:szCs w:val="21"/>
          <w:lang w:val="en-US" w:eastAsia="zh-CN"/>
        </w:rPr>
        <w:t xml:space="preserve"> </w:t>
      </w:r>
    </w:p>
    <w:p w14:paraId="6C1F319C">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邮 编 ：</w:t>
      </w:r>
      <w:r>
        <w:rPr>
          <w:rFonts w:hint="eastAsia" w:asciiTheme="minorEastAsia" w:hAnsiTheme="minorEastAsia" w:eastAsiaTheme="minorEastAsia" w:cstheme="minorEastAsia"/>
          <w:color w:val="auto"/>
          <w:sz w:val="21"/>
          <w:szCs w:val="21"/>
          <w:lang w:val="en-US" w:eastAsia="zh-CN"/>
        </w:rPr>
        <w:t xml:space="preserve"> </w:t>
      </w:r>
    </w:p>
    <w:p w14:paraId="6B3ACACD">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联络人：</w:t>
      </w:r>
      <w:r>
        <w:rPr>
          <w:rFonts w:hint="eastAsia" w:asciiTheme="minorEastAsia" w:hAnsiTheme="minorEastAsia" w:eastAsiaTheme="minorEastAsia" w:cstheme="minorEastAsia"/>
          <w:color w:val="auto"/>
          <w:sz w:val="21"/>
          <w:szCs w:val="21"/>
          <w:lang w:val="en-US" w:eastAsia="zh-CN"/>
        </w:rPr>
        <w:t xml:space="preserve"> </w:t>
      </w:r>
    </w:p>
    <w:p w14:paraId="7908AD21">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电 话 ：</w:t>
      </w:r>
      <w:r>
        <w:rPr>
          <w:rFonts w:hint="eastAsia" w:asciiTheme="minorEastAsia" w:hAnsiTheme="minorEastAsia" w:eastAsiaTheme="minorEastAsia" w:cstheme="minorEastAsia"/>
          <w:color w:val="auto"/>
          <w:sz w:val="21"/>
          <w:szCs w:val="21"/>
          <w:lang w:val="en-US" w:eastAsia="zh-CN"/>
        </w:rPr>
        <w:t xml:space="preserve"> </w:t>
      </w:r>
    </w:p>
    <w:p w14:paraId="0DB6C9F0">
      <w:pPr>
        <w:pStyle w:val="237"/>
        <w:pageBreakBefore w:val="0"/>
        <w:kinsoku/>
        <w:wordWrap/>
        <w:overflowPunct/>
        <w:topLinePunct w:val="0"/>
        <w:bidi w:val="0"/>
        <w:snapToGrid/>
        <w:spacing w:line="360" w:lineRule="auto"/>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第十</w:t>
      </w:r>
      <w:r>
        <w:rPr>
          <w:rFonts w:hint="eastAsia" w:asciiTheme="minorEastAsia" w:hAnsiTheme="minorEastAsia" w:eastAsiaTheme="minorEastAsia" w:cstheme="minorEastAsia"/>
          <w:b/>
          <w:bCs/>
          <w:color w:val="auto"/>
          <w:sz w:val="21"/>
          <w:szCs w:val="21"/>
          <w:lang w:eastAsia="zh-CN"/>
        </w:rPr>
        <w:t>四</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rPr>
        <w:t>其他事项</w:t>
      </w:r>
    </w:p>
    <w:p w14:paraId="351EE0CD">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.1 本合同一式</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lang w:eastAsia="zh-CN"/>
        </w:rPr>
        <w:t>六</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rPr>
        <w:t>份，</w:t>
      </w:r>
      <w:r>
        <w:rPr>
          <w:rFonts w:hint="eastAsia" w:asciiTheme="minorEastAsia" w:hAnsiTheme="minorEastAsia" w:eastAsiaTheme="minorEastAsia" w:cstheme="minorEastAsia"/>
          <w:color w:val="auto"/>
          <w:sz w:val="21"/>
          <w:szCs w:val="21"/>
          <w:lang w:eastAsia="zh-CN"/>
        </w:rPr>
        <w:t>双方各执</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single"/>
          <w:lang w:eastAsia="zh-CN"/>
        </w:rPr>
        <w:t>三</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lang w:eastAsia="zh-CN"/>
        </w:rPr>
        <w:t>份，</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自甲乙双方签字盖章后生效。</w:t>
      </w:r>
    </w:p>
    <w:p w14:paraId="32243EC1">
      <w:pPr>
        <w:pStyle w:val="298"/>
        <w:pageBreakBefore w:val="0"/>
        <w:kinsoku/>
        <w:wordWrap/>
        <w:overflowPunct/>
        <w:topLinePunct w:val="0"/>
        <w:bidi w:val="0"/>
        <w:snapToGrid/>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以下附件均为构成本合同的有效组成部分，经甲乙双方签字盖章后与本合同具有同等法律效力。对本合同的任何补充、修改或变更，均可协商另行订立书面补充协议，此类书面补充协议应由甲乙双方</w:t>
      </w:r>
      <w:r>
        <w:rPr>
          <w:rFonts w:hint="eastAsia" w:asciiTheme="minorEastAsia" w:hAnsiTheme="minorEastAsia" w:eastAsiaTheme="minorEastAsia" w:cstheme="minorEastAsia"/>
          <w:color w:val="auto"/>
          <w:sz w:val="21"/>
          <w:szCs w:val="21"/>
          <w:lang w:eastAsia="zh-CN"/>
        </w:rPr>
        <w:t>签字</w:t>
      </w:r>
      <w:r>
        <w:rPr>
          <w:rFonts w:hint="eastAsia" w:asciiTheme="minorEastAsia" w:hAnsiTheme="minorEastAsia" w:eastAsiaTheme="minorEastAsia" w:cstheme="minorEastAsia"/>
          <w:color w:val="auto"/>
          <w:sz w:val="21"/>
          <w:szCs w:val="21"/>
        </w:rPr>
        <w:t>盖章方为有效。</w:t>
      </w:r>
    </w:p>
    <w:p w14:paraId="4828869E">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附件一：技术规格要求</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val="0"/>
          <w:bCs w:val="0"/>
          <w:color w:val="auto"/>
          <w:sz w:val="21"/>
          <w:szCs w:val="21"/>
          <w:lang w:eastAsia="zh-CN"/>
        </w:rPr>
        <w:t>产品规格表</w:t>
      </w:r>
    </w:p>
    <w:p w14:paraId="7B563CC9">
      <w:pPr>
        <w:pageBreakBefore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附件二：土建图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电梯井道图</w:t>
      </w:r>
    </w:p>
    <w:p w14:paraId="534E6B52">
      <w:pPr>
        <w:pStyle w:val="298"/>
        <w:pageBreakBefore w:val="0"/>
        <w:kinsoku/>
        <w:wordWrap/>
        <w:overflowPunct/>
        <w:topLinePunct w:val="0"/>
        <w:bidi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—————————（以下无正文）———————</w:t>
      </w:r>
    </w:p>
    <w:tbl>
      <w:tblPr>
        <w:tblStyle w:val="54"/>
        <w:tblW w:w="88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8"/>
        <w:gridCol w:w="4005"/>
      </w:tblGrid>
      <w:tr w14:paraId="1D0F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828" w:type="dxa"/>
          </w:tcPr>
          <w:p w14:paraId="5DD4832C">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highlight w:val="none"/>
              </w:rPr>
              <w:t>甲方（盖</w:t>
            </w:r>
            <w:r>
              <w:rPr>
                <w:rFonts w:hint="eastAsia" w:asciiTheme="minorEastAsia" w:hAnsiTheme="minorEastAsia" w:eastAsiaTheme="minorEastAsia" w:cstheme="minorEastAsia"/>
                <w:color w:val="auto"/>
                <w:sz w:val="21"/>
                <w:szCs w:val="21"/>
                <w:highlight w:val="none"/>
                <w:lang w:val="en-US" w:eastAsia="zh-CN"/>
              </w:rPr>
              <w:t>章）：南方日报社</w:t>
            </w:r>
          </w:p>
        </w:tc>
        <w:tc>
          <w:tcPr>
            <w:tcW w:w="4005" w:type="dxa"/>
          </w:tcPr>
          <w:p w14:paraId="3986EB5C">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lang w:val="en-US" w:eastAsia="zh-CN"/>
              </w:rPr>
              <w:t>乙方（盖章）：</w:t>
            </w:r>
          </w:p>
        </w:tc>
      </w:tr>
      <w:tr w14:paraId="6613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828" w:type="dxa"/>
          </w:tcPr>
          <w:p w14:paraId="74B7CBA2">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lang w:val="en-US" w:eastAsia="zh-CN"/>
              </w:rPr>
              <w:t>法定代表人：</w:t>
            </w:r>
          </w:p>
        </w:tc>
        <w:tc>
          <w:tcPr>
            <w:tcW w:w="4005" w:type="dxa"/>
          </w:tcPr>
          <w:p w14:paraId="0F4B1BE9">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lang w:val="en-US" w:eastAsia="zh-CN"/>
              </w:rPr>
              <w:t>法定代表人：</w:t>
            </w:r>
          </w:p>
        </w:tc>
      </w:tr>
      <w:tr w14:paraId="6BD5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828" w:type="dxa"/>
          </w:tcPr>
          <w:p w14:paraId="04F82F94">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甲方委托代理人：</w:t>
            </w:r>
          </w:p>
        </w:tc>
        <w:tc>
          <w:tcPr>
            <w:tcW w:w="4005" w:type="dxa"/>
          </w:tcPr>
          <w:p w14:paraId="5371A3FB">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乙方委托代理人：</w:t>
            </w:r>
          </w:p>
        </w:tc>
      </w:tr>
      <w:tr w14:paraId="1016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4828" w:type="dxa"/>
          </w:tcPr>
          <w:p w14:paraId="3ADF86C9">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val="en-US" w:eastAsia="zh-CN"/>
              </w:rPr>
              <w:t xml:space="preserve">020-83000917 </w:t>
            </w:r>
          </w:p>
        </w:tc>
        <w:tc>
          <w:tcPr>
            <w:tcW w:w="4005" w:type="dxa"/>
          </w:tcPr>
          <w:p w14:paraId="293BF5D3">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联系电话：</w:t>
            </w:r>
          </w:p>
        </w:tc>
      </w:tr>
      <w:tr w14:paraId="3FAA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4828" w:type="dxa"/>
          </w:tcPr>
          <w:p w14:paraId="5B8497A2">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开户银行：</w:t>
            </w:r>
            <w:r>
              <w:rPr>
                <w:rFonts w:hint="eastAsia" w:asciiTheme="minorEastAsia" w:hAnsiTheme="minorEastAsia" w:eastAsiaTheme="minorEastAsia" w:cstheme="minorEastAsia"/>
                <w:color w:val="auto"/>
                <w:sz w:val="21"/>
                <w:szCs w:val="21"/>
                <w:lang w:val="en-US" w:eastAsia="zh-CN"/>
              </w:rPr>
              <w:t>中国建设银行广州市五羊新城支行</w:t>
            </w:r>
          </w:p>
        </w:tc>
        <w:tc>
          <w:tcPr>
            <w:tcW w:w="4005" w:type="dxa"/>
          </w:tcPr>
          <w:p w14:paraId="548155D2">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开户银行：</w:t>
            </w:r>
          </w:p>
        </w:tc>
      </w:tr>
      <w:tr w14:paraId="4E74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4828" w:type="dxa"/>
          </w:tcPr>
          <w:p w14:paraId="169561BB">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银行账号：</w:t>
            </w:r>
            <w:r>
              <w:rPr>
                <w:rFonts w:hint="eastAsia" w:asciiTheme="minorEastAsia" w:hAnsiTheme="minorEastAsia" w:eastAsiaTheme="minorEastAsia" w:cstheme="minorEastAsia"/>
                <w:color w:val="auto"/>
                <w:sz w:val="21"/>
                <w:szCs w:val="21"/>
                <w:lang w:val="en-US" w:eastAsia="zh-CN"/>
              </w:rPr>
              <w:t>44001400905059318318</w:t>
            </w:r>
          </w:p>
        </w:tc>
        <w:tc>
          <w:tcPr>
            <w:tcW w:w="4005" w:type="dxa"/>
          </w:tcPr>
          <w:p w14:paraId="792B51A4">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rPr>
              <w:t>银行账号：</w:t>
            </w:r>
          </w:p>
        </w:tc>
      </w:tr>
      <w:tr w14:paraId="6D325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828" w:type="dxa"/>
          </w:tcPr>
          <w:p w14:paraId="1DE2A691">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lang w:val="en-US" w:eastAsia="zh-CN"/>
              </w:rPr>
              <w:t>纳税人识别号：124400006713825565</w:t>
            </w:r>
          </w:p>
        </w:tc>
        <w:tc>
          <w:tcPr>
            <w:tcW w:w="4005" w:type="dxa"/>
          </w:tcPr>
          <w:p w14:paraId="00BF39FF">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lang w:val="en-US" w:eastAsia="zh-CN"/>
              </w:rPr>
              <w:t>纳税人识别号：</w:t>
            </w:r>
          </w:p>
        </w:tc>
      </w:tr>
      <w:tr w14:paraId="3532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4828" w:type="dxa"/>
          </w:tcPr>
          <w:p w14:paraId="02D97EEB">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rPr>
              <w:t>合同签订时间</w:t>
            </w:r>
            <w:r>
              <w:rPr>
                <w:rFonts w:hint="eastAsia" w:asciiTheme="minorEastAsia" w:hAnsiTheme="minorEastAsia" w:eastAsiaTheme="minorEastAsia" w:cstheme="minorEastAsia"/>
                <w:color w:val="auto"/>
                <w:sz w:val="21"/>
                <w:szCs w:val="21"/>
                <w:lang w:eastAsia="zh-CN"/>
              </w:rPr>
              <w:t>：</w:t>
            </w:r>
          </w:p>
        </w:tc>
        <w:tc>
          <w:tcPr>
            <w:tcW w:w="4005" w:type="dxa"/>
          </w:tcPr>
          <w:p w14:paraId="5C4D9290">
            <w:pPr>
              <w:pStyle w:val="298"/>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color w:val="auto"/>
                <w:sz w:val="21"/>
                <w:szCs w:val="21"/>
              </w:rPr>
              <w:t>合同签订时间</w:t>
            </w:r>
            <w:r>
              <w:rPr>
                <w:rFonts w:hint="eastAsia" w:asciiTheme="minorEastAsia" w:hAnsiTheme="minorEastAsia" w:eastAsiaTheme="minorEastAsia" w:cstheme="minorEastAsia"/>
                <w:color w:val="auto"/>
                <w:sz w:val="21"/>
                <w:szCs w:val="21"/>
                <w:lang w:eastAsia="zh-CN"/>
              </w:rPr>
              <w:t>：</w:t>
            </w:r>
          </w:p>
        </w:tc>
      </w:tr>
    </w:tbl>
    <w:p w14:paraId="0B116B6D">
      <w:pPr>
        <w:rPr>
          <w:rFonts w:hint="eastAsia" w:asciiTheme="minorEastAsia" w:hAnsiTheme="minorEastAsia" w:eastAsiaTheme="minorEastAsia" w:cstheme="minorEastAsia"/>
          <w:sz w:val="21"/>
          <w:szCs w:val="21"/>
          <w:lang w:val="en-US" w:eastAsia="zh-CN"/>
        </w:rPr>
      </w:pPr>
    </w:p>
    <w:bookmarkEnd w:id="74"/>
    <w:bookmarkEnd w:id="75"/>
    <w:p w14:paraId="1DC94271">
      <w:pPr>
        <w:rPr>
          <w:rFonts w:hint="eastAsia" w:asciiTheme="minorEastAsia" w:hAnsiTheme="minorEastAsia" w:eastAsiaTheme="minorEastAsia" w:cstheme="minorEastAsia"/>
          <w:color w:val="auto"/>
          <w:sz w:val="21"/>
          <w:szCs w:val="21"/>
          <w:highlight w:val="none"/>
        </w:rPr>
      </w:pPr>
    </w:p>
    <w:p w14:paraId="20F7D59D">
      <w:pPr>
        <w:rPr>
          <w:rFonts w:hint="eastAsia" w:asciiTheme="minorEastAsia" w:hAnsiTheme="minorEastAsia" w:eastAsiaTheme="minorEastAsia" w:cstheme="minorEastAsia"/>
          <w:color w:val="auto"/>
          <w:sz w:val="21"/>
          <w:szCs w:val="21"/>
          <w:highlight w:val="none"/>
        </w:rPr>
      </w:pPr>
    </w:p>
    <w:p w14:paraId="5E58938E">
      <w:pPr>
        <w:rPr>
          <w:rFonts w:hint="eastAsia" w:asciiTheme="minorEastAsia" w:hAnsiTheme="minorEastAsia" w:eastAsiaTheme="minorEastAsia" w:cstheme="minorEastAsia"/>
          <w:color w:val="auto"/>
          <w:sz w:val="21"/>
          <w:szCs w:val="21"/>
          <w:highlight w:val="none"/>
        </w:rPr>
      </w:pPr>
    </w:p>
    <w:p w14:paraId="2F7DD900">
      <w:pPr>
        <w:rPr>
          <w:rFonts w:hint="eastAsia" w:asciiTheme="minorEastAsia" w:hAnsiTheme="minorEastAsia" w:eastAsiaTheme="minorEastAsia" w:cstheme="minorEastAsia"/>
          <w:color w:val="auto"/>
          <w:sz w:val="21"/>
          <w:szCs w:val="21"/>
          <w:highlight w:val="none"/>
        </w:rPr>
      </w:pPr>
    </w:p>
    <w:p w14:paraId="16B2DDC2">
      <w:pPr>
        <w:rPr>
          <w:rFonts w:hint="eastAsia" w:ascii="宋体" w:hAnsi="宋体" w:eastAsia="宋体" w:cs="宋体"/>
          <w:color w:val="auto"/>
          <w:highlight w:val="none"/>
        </w:rPr>
      </w:pPr>
    </w:p>
    <w:p w14:paraId="51CDCE1D">
      <w:pPr>
        <w:rPr>
          <w:rFonts w:hint="eastAsia" w:ascii="宋体" w:hAnsi="宋体" w:eastAsia="宋体" w:cs="宋体"/>
          <w:color w:val="auto"/>
          <w:highlight w:val="none"/>
        </w:rPr>
      </w:pPr>
    </w:p>
    <w:p w14:paraId="58180B23">
      <w:pPr>
        <w:rPr>
          <w:rFonts w:hint="eastAsia" w:ascii="宋体" w:hAnsi="宋体" w:eastAsia="宋体" w:cs="宋体"/>
          <w:color w:val="auto"/>
          <w:highlight w:val="none"/>
        </w:rPr>
      </w:pPr>
    </w:p>
    <w:p w14:paraId="1364ADAE">
      <w:pPr>
        <w:rPr>
          <w:rFonts w:hint="eastAsia" w:ascii="宋体" w:hAnsi="宋体" w:eastAsia="宋体" w:cs="宋体"/>
          <w:color w:val="auto"/>
          <w:sz w:val="24"/>
          <w:szCs w:val="24"/>
          <w:highlight w:val="none"/>
        </w:rPr>
      </w:pPr>
    </w:p>
    <w:p w14:paraId="65597D4F">
      <w:pPr>
        <w:rPr>
          <w:rFonts w:hint="eastAsia" w:ascii="宋体" w:hAnsi="宋体" w:eastAsia="宋体" w:cs="宋体"/>
          <w:color w:val="auto"/>
          <w:sz w:val="24"/>
          <w:szCs w:val="24"/>
          <w:highlight w:val="none"/>
        </w:rPr>
      </w:pPr>
    </w:p>
    <w:p w14:paraId="4B759888">
      <w:pPr>
        <w:spacing w:before="120" w:beforeLines="50" w:after="120" w:afterLines="50" w:line="360" w:lineRule="auto"/>
        <w:jc w:val="center"/>
        <w:rPr>
          <w:rFonts w:hint="eastAsia" w:ascii="宋体" w:hAnsi="宋体" w:eastAsia="宋体" w:cs="宋体"/>
          <w:b/>
          <w:color w:val="auto"/>
          <w:sz w:val="36"/>
          <w:highlight w:val="none"/>
        </w:rPr>
      </w:pPr>
      <w:bookmarkStart w:id="77" w:name="_Toc203530308"/>
      <w:bookmarkStart w:id="78" w:name="_Toc203530304"/>
    </w:p>
    <w:p w14:paraId="30AF1A93">
      <w:pPr>
        <w:spacing w:before="120" w:beforeLines="50" w:after="120" w:afterLines="50" w:line="360" w:lineRule="auto"/>
        <w:jc w:val="center"/>
        <w:rPr>
          <w:rFonts w:hint="eastAsia" w:ascii="宋体" w:hAnsi="宋体" w:eastAsia="宋体" w:cs="宋体"/>
          <w:b/>
          <w:color w:val="auto"/>
          <w:sz w:val="36"/>
          <w:highlight w:val="none"/>
        </w:rPr>
      </w:pPr>
    </w:p>
    <w:bookmarkEnd w:id="77"/>
    <w:bookmarkEnd w:id="78"/>
    <w:p w14:paraId="0C3527E2">
      <w:pPr>
        <w:adjustRightInd w:val="0"/>
        <w:snapToGrid w:val="0"/>
        <w:spacing w:line="360" w:lineRule="auto"/>
        <w:ind w:left="851" w:hanging="851"/>
        <w:jc w:val="center"/>
        <w:rPr>
          <w:rFonts w:hint="eastAsia" w:ascii="宋体" w:hAnsi="宋体" w:eastAsia="宋体" w:cs="宋体"/>
          <w:b/>
          <w:color w:val="auto"/>
          <w:sz w:val="44"/>
          <w:highlight w:val="none"/>
        </w:rPr>
      </w:pPr>
    </w:p>
    <w:p w14:paraId="7610FA8C">
      <w:pPr>
        <w:adjustRightInd w:val="0"/>
        <w:snapToGrid w:val="0"/>
        <w:spacing w:line="360" w:lineRule="auto"/>
        <w:ind w:left="851" w:hanging="851"/>
        <w:jc w:val="center"/>
        <w:rPr>
          <w:rFonts w:hint="eastAsia" w:ascii="宋体" w:hAnsi="宋体" w:eastAsia="宋体" w:cs="宋体"/>
          <w:b/>
          <w:color w:val="auto"/>
          <w:sz w:val="44"/>
          <w:highlight w:val="none"/>
        </w:rPr>
      </w:pPr>
    </w:p>
    <w:p w14:paraId="5F45682C">
      <w:pPr>
        <w:pStyle w:val="2"/>
        <w:rPr>
          <w:rFonts w:hint="eastAsia" w:ascii="宋体" w:hAnsi="宋体" w:eastAsia="宋体" w:cs="宋体"/>
          <w:b/>
          <w:color w:val="auto"/>
          <w:sz w:val="44"/>
          <w:highlight w:val="none"/>
        </w:rPr>
      </w:pPr>
    </w:p>
    <w:p w14:paraId="4BE13418">
      <w:pPr>
        <w:rPr>
          <w:rFonts w:hint="eastAsia"/>
        </w:rPr>
      </w:pPr>
    </w:p>
    <w:p w14:paraId="5E29110B">
      <w:pPr>
        <w:jc w:val="center"/>
        <w:outlineLvl w:val="0"/>
        <w:rPr>
          <w:rFonts w:hint="eastAsia" w:ascii="宋体" w:hAnsi="宋体" w:eastAsia="宋体" w:cs="宋体"/>
          <w:b/>
          <w:color w:val="auto"/>
          <w:sz w:val="44"/>
          <w:szCs w:val="44"/>
          <w:highlight w:val="none"/>
        </w:rPr>
      </w:pPr>
      <w:bookmarkStart w:id="79" w:name="_Toc31761"/>
    </w:p>
    <w:p w14:paraId="06AB5917">
      <w:pPr>
        <w:jc w:val="center"/>
        <w:outlineLvl w:val="0"/>
        <w:rPr>
          <w:rFonts w:hint="eastAsia" w:ascii="宋体" w:hAnsi="宋体" w:eastAsia="宋体" w:cs="宋体"/>
          <w:b/>
          <w:color w:val="auto"/>
          <w:sz w:val="44"/>
          <w:szCs w:val="44"/>
          <w:highlight w:val="none"/>
        </w:rPr>
      </w:pPr>
    </w:p>
    <w:p w14:paraId="227C6A28">
      <w:pPr>
        <w:jc w:val="center"/>
        <w:outlineLvl w:val="0"/>
        <w:rPr>
          <w:rFonts w:hint="eastAsia" w:ascii="宋体" w:hAnsi="宋体" w:eastAsia="宋体" w:cs="宋体"/>
          <w:b/>
          <w:color w:val="auto"/>
          <w:sz w:val="44"/>
          <w:szCs w:val="44"/>
          <w:highlight w:val="none"/>
        </w:rPr>
      </w:pPr>
    </w:p>
    <w:p w14:paraId="06DDD8A0">
      <w:pPr>
        <w:jc w:val="center"/>
        <w:outlineLvl w:val="0"/>
        <w:rPr>
          <w:rFonts w:hint="eastAsia" w:ascii="宋体" w:hAnsi="宋体" w:eastAsia="宋体" w:cs="宋体"/>
          <w:b/>
          <w:color w:val="auto"/>
          <w:sz w:val="44"/>
          <w:szCs w:val="44"/>
          <w:highlight w:val="none"/>
        </w:rPr>
      </w:pPr>
    </w:p>
    <w:p w14:paraId="3F744FDE">
      <w:pPr>
        <w:jc w:val="center"/>
        <w:outlineLvl w:val="0"/>
        <w:rPr>
          <w:rFonts w:hint="eastAsia" w:ascii="宋体" w:hAnsi="宋体" w:eastAsia="宋体" w:cs="宋体"/>
          <w:b/>
          <w:color w:val="auto"/>
          <w:sz w:val="44"/>
          <w:szCs w:val="44"/>
          <w:highlight w:val="none"/>
        </w:rPr>
      </w:pPr>
    </w:p>
    <w:p w14:paraId="7F8F4386">
      <w:pPr>
        <w:jc w:val="center"/>
        <w:outlineLvl w:val="0"/>
        <w:rPr>
          <w:rFonts w:hint="eastAsia" w:ascii="宋体" w:hAnsi="宋体" w:eastAsia="宋体" w:cs="宋体"/>
          <w:b/>
          <w:color w:val="auto"/>
          <w:sz w:val="44"/>
          <w:szCs w:val="44"/>
          <w:highlight w:val="none"/>
        </w:rPr>
      </w:pPr>
    </w:p>
    <w:p w14:paraId="69C64503">
      <w:pPr>
        <w:jc w:val="center"/>
        <w:outlineLvl w:val="0"/>
        <w:rPr>
          <w:rFonts w:hint="eastAsia" w:ascii="宋体" w:hAnsi="宋体" w:eastAsia="宋体" w:cs="宋体"/>
          <w:b/>
          <w:color w:val="auto"/>
          <w:sz w:val="44"/>
          <w:szCs w:val="44"/>
          <w:highlight w:val="none"/>
        </w:rPr>
      </w:pPr>
    </w:p>
    <w:p w14:paraId="63E44A5C">
      <w:pPr>
        <w:jc w:val="center"/>
        <w:outlineLvl w:val="0"/>
        <w:rPr>
          <w:rFonts w:hint="eastAsia" w:ascii="宋体" w:hAnsi="宋体" w:eastAsia="宋体" w:cs="宋体"/>
          <w:b/>
          <w:color w:val="auto"/>
          <w:sz w:val="44"/>
          <w:szCs w:val="44"/>
          <w:highlight w:val="none"/>
        </w:rPr>
      </w:pPr>
    </w:p>
    <w:p w14:paraId="657FCD13">
      <w:pPr>
        <w:jc w:val="center"/>
        <w:outlineLvl w:val="0"/>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第五章</w:t>
      </w:r>
      <w:bookmarkStart w:id="80" w:name="_Toc477186327"/>
      <w:bookmarkStart w:id="81" w:name="_Toc477185966"/>
      <w:r>
        <w:rPr>
          <w:rFonts w:hint="eastAsia" w:ascii="宋体" w:hAnsi="宋体" w:eastAsia="宋体" w:cs="宋体"/>
          <w:b/>
          <w:color w:val="auto"/>
          <w:sz w:val="44"/>
          <w:szCs w:val="44"/>
          <w:highlight w:val="none"/>
        </w:rPr>
        <w:t xml:space="preserve">  投标文件格式</w:t>
      </w:r>
      <w:bookmarkEnd w:id="79"/>
      <w:bookmarkEnd w:id="80"/>
      <w:bookmarkEnd w:id="81"/>
    </w:p>
    <w:p w14:paraId="77B95D83">
      <w:pPr>
        <w:pStyle w:val="51"/>
        <w:ind w:firstLine="21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8"/>
          <w:szCs w:val="28"/>
          <w:highlight w:val="none"/>
        </w:rPr>
        <w:t>一、投标文件封面格式</w:t>
      </w:r>
    </w:p>
    <w:p w14:paraId="690815EC">
      <w:pPr>
        <w:pStyle w:val="51"/>
        <w:ind w:firstLine="210"/>
        <w:rPr>
          <w:rFonts w:hint="eastAsia" w:ascii="宋体" w:hAnsi="宋体" w:eastAsia="宋体" w:cs="宋体"/>
          <w:color w:val="auto"/>
          <w:szCs w:val="21"/>
          <w:highlight w:val="none"/>
        </w:rPr>
      </w:pPr>
    </w:p>
    <w:p w14:paraId="246B06FF">
      <w:pPr>
        <w:pStyle w:val="51"/>
        <w:ind w:firstLine="210"/>
        <w:rPr>
          <w:rFonts w:hint="eastAsia" w:ascii="宋体" w:hAnsi="宋体" w:eastAsia="宋体" w:cs="宋体"/>
          <w:color w:val="auto"/>
          <w:szCs w:val="21"/>
          <w:highlight w:val="none"/>
        </w:rPr>
      </w:pPr>
    </w:p>
    <w:p w14:paraId="7F6032EE">
      <w:pPr>
        <w:pStyle w:val="51"/>
        <w:ind w:firstLine="210"/>
        <w:rPr>
          <w:rFonts w:hint="eastAsia" w:ascii="宋体" w:hAnsi="宋体" w:eastAsia="宋体" w:cs="宋体"/>
          <w:color w:val="auto"/>
          <w:szCs w:val="21"/>
          <w:highlight w:val="none"/>
        </w:rPr>
      </w:pPr>
    </w:p>
    <w:p w14:paraId="0EA01B49">
      <w:pPr>
        <w:pStyle w:val="14"/>
        <w:spacing w:before="20" w:after="20" w:line="360" w:lineRule="auto"/>
        <w:ind w:firstLine="560"/>
        <w:jc w:val="center"/>
        <w:rPr>
          <w:rFonts w:hint="eastAsia" w:ascii="宋体" w:hAnsi="宋体" w:eastAsia="宋体" w:cs="宋体"/>
          <w:color w:val="auto"/>
          <w:sz w:val="28"/>
          <w:szCs w:val="28"/>
          <w:highlight w:val="none"/>
        </w:rPr>
      </w:pPr>
    </w:p>
    <w:p w14:paraId="73D3119E">
      <w:pPr>
        <w:pStyle w:val="21"/>
        <w:adjustRightInd w:val="0"/>
        <w:spacing w:before="48" w:beforeLines="20" w:after="48" w:afterLines="20"/>
        <w:ind w:firstLine="2100" w:firstLineChars="1000"/>
        <w:rPr>
          <w:rFonts w:hint="eastAsia" w:ascii="宋体" w:hAnsi="宋体" w:eastAsia="宋体" w:cs="宋体"/>
          <w:color w:val="auto"/>
          <w:highlight w:val="none"/>
        </w:rPr>
      </w:pPr>
    </w:p>
    <w:p w14:paraId="59D199DE">
      <w:pPr>
        <w:pStyle w:val="21"/>
        <w:adjustRightInd w:val="0"/>
        <w:spacing w:before="48" w:beforeLines="20" w:after="48" w:afterLines="20"/>
        <w:ind w:firstLine="2100" w:firstLineChars="1000"/>
        <w:rPr>
          <w:rFonts w:hint="eastAsia" w:ascii="宋体" w:hAnsi="宋体" w:eastAsia="宋体" w:cs="宋体"/>
          <w:color w:val="auto"/>
          <w:highlight w:val="none"/>
        </w:rPr>
      </w:pPr>
    </w:p>
    <w:p w14:paraId="401D6239">
      <w:pPr>
        <w:adjustRightInd w:val="0"/>
        <w:snapToGrid w:val="0"/>
        <w:spacing w:before="48" w:beforeLines="20" w:after="48" w:afterLines="20" w:line="360" w:lineRule="auto"/>
        <w:rPr>
          <w:rFonts w:hint="eastAsia" w:ascii="宋体" w:hAnsi="宋体" w:eastAsia="宋体" w:cs="宋体"/>
          <w:color w:val="auto"/>
          <w:highlight w:val="none"/>
          <w:u w:val="single"/>
        </w:rPr>
      </w:pPr>
    </w:p>
    <w:p w14:paraId="43A731BC">
      <w:pPr>
        <w:pStyle w:val="20"/>
        <w:adjustRightInd w:val="0"/>
        <w:snapToGrid w:val="0"/>
        <w:spacing w:before="48" w:beforeLines="20" w:after="48" w:afterLines="20"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68A437BD">
      <w:pPr>
        <w:pStyle w:val="20"/>
        <w:adjustRightInd w:val="0"/>
        <w:snapToGrid w:val="0"/>
        <w:spacing w:before="48" w:beforeLines="20" w:after="48" w:afterLines="20"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rPr>
        <w:t>）</w:t>
      </w:r>
    </w:p>
    <w:p w14:paraId="2F196A61">
      <w:pPr>
        <w:adjustRightInd w:val="0"/>
        <w:snapToGrid w:val="0"/>
        <w:spacing w:before="48" w:beforeLines="20" w:after="48" w:afterLines="20" w:line="360" w:lineRule="auto"/>
        <w:jc w:val="center"/>
        <w:rPr>
          <w:rFonts w:hint="eastAsia" w:ascii="宋体" w:hAnsi="宋体" w:eastAsia="宋体" w:cs="宋体"/>
          <w:b/>
          <w:color w:val="auto"/>
          <w:highlight w:val="none"/>
        </w:rPr>
      </w:pPr>
    </w:p>
    <w:p w14:paraId="407589C4">
      <w:pPr>
        <w:adjustRightInd w:val="0"/>
        <w:snapToGrid w:val="0"/>
        <w:spacing w:before="48" w:beforeLines="20" w:after="48" w:afterLines="20" w:line="360" w:lineRule="auto"/>
        <w:jc w:val="center"/>
        <w:rPr>
          <w:rFonts w:hint="eastAsia" w:ascii="宋体" w:hAnsi="宋体" w:eastAsia="宋体" w:cs="宋体"/>
          <w:b/>
          <w:color w:val="auto"/>
          <w:highlight w:val="none"/>
        </w:rPr>
      </w:pPr>
    </w:p>
    <w:p w14:paraId="34E25714">
      <w:pPr>
        <w:adjustRightInd w:val="0"/>
        <w:snapToGrid w:val="0"/>
        <w:spacing w:before="48" w:beforeLines="20" w:after="48" w:afterLines="20" w:line="360" w:lineRule="auto"/>
        <w:jc w:val="center"/>
        <w:rPr>
          <w:rFonts w:hint="eastAsia" w:ascii="宋体" w:hAnsi="宋体" w:eastAsia="宋体" w:cs="宋体"/>
          <w:b/>
          <w:color w:val="auto"/>
          <w:highlight w:val="none"/>
        </w:rPr>
      </w:pPr>
    </w:p>
    <w:p w14:paraId="2F761624">
      <w:pPr>
        <w:pStyle w:val="285"/>
        <w:suppressLineNumbers w:val="0"/>
        <w:adjustRightInd w:val="0"/>
        <w:snapToGrid w:val="0"/>
        <w:spacing w:before="48" w:beforeLines="20" w:after="48" w:afterLines="20" w:line="360" w:lineRule="auto"/>
        <w:rPr>
          <w:rFonts w:hint="eastAsia" w:ascii="宋体" w:hAnsi="宋体" w:eastAsia="宋体" w:cs="宋体"/>
          <w:bCs w:val="0"/>
          <w:color w:val="auto"/>
          <w:highlight w:val="none"/>
        </w:rPr>
      </w:pPr>
    </w:p>
    <w:p w14:paraId="10D2EA30">
      <w:pPr>
        <w:pStyle w:val="23"/>
        <w:adjustRightInd w:val="0"/>
        <w:snapToGrid w:val="0"/>
        <w:spacing w:before="48" w:beforeLines="20" w:after="48" w:afterLines="20" w:line="360" w:lineRule="auto"/>
        <w:ind w:left="130" w:leftChars="62" w:firstLine="711" w:firstLineChars="253"/>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项目名称：</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p>
    <w:p w14:paraId="04703311">
      <w:pPr>
        <w:pStyle w:val="23"/>
        <w:adjustRightInd w:val="0"/>
        <w:snapToGrid w:val="0"/>
        <w:spacing w:before="48" w:beforeLines="20" w:after="48" w:afterLines="20" w:line="360" w:lineRule="auto"/>
        <w:ind w:left="130" w:leftChars="62" w:firstLine="711" w:firstLineChars="253"/>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t>投 标 人：</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bCs/>
          <w:color w:val="auto"/>
          <w:sz w:val="28"/>
          <w:szCs w:val="28"/>
          <w:highlight w:val="none"/>
          <w:u w:val="single"/>
        </w:rPr>
        <w:t xml:space="preserve">                       </w:t>
      </w:r>
    </w:p>
    <w:p w14:paraId="3D481BEE">
      <w:pPr>
        <w:rPr>
          <w:rFonts w:hint="eastAsia" w:ascii="宋体" w:hAnsi="宋体" w:eastAsia="宋体" w:cs="宋体"/>
          <w:color w:val="auto"/>
          <w:highlight w:val="none"/>
        </w:rPr>
      </w:pPr>
    </w:p>
    <w:p w14:paraId="70733D58">
      <w:pPr>
        <w:rPr>
          <w:rFonts w:hint="eastAsia" w:ascii="宋体" w:hAnsi="宋体" w:eastAsia="宋体" w:cs="宋体"/>
          <w:color w:val="auto"/>
          <w:highlight w:val="none"/>
        </w:rPr>
      </w:pPr>
    </w:p>
    <w:p w14:paraId="64E0AA43">
      <w:pPr>
        <w:rPr>
          <w:rFonts w:hint="eastAsia" w:ascii="宋体" w:hAnsi="宋体" w:eastAsia="宋体" w:cs="宋体"/>
          <w:color w:val="auto"/>
          <w:highlight w:val="none"/>
        </w:rPr>
      </w:pPr>
    </w:p>
    <w:p w14:paraId="2C8887B4">
      <w:pPr>
        <w:rPr>
          <w:rFonts w:hint="eastAsia" w:ascii="宋体" w:hAnsi="宋体" w:eastAsia="宋体" w:cs="宋体"/>
          <w:color w:val="auto"/>
          <w:highlight w:val="none"/>
        </w:rPr>
      </w:pPr>
    </w:p>
    <w:p w14:paraId="6D530674">
      <w:pPr>
        <w:rPr>
          <w:rFonts w:hint="eastAsia" w:ascii="宋体" w:hAnsi="宋体" w:eastAsia="宋体" w:cs="宋体"/>
          <w:color w:val="auto"/>
          <w:highlight w:val="none"/>
        </w:rPr>
      </w:pPr>
    </w:p>
    <w:p w14:paraId="02446F06">
      <w:pPr>
        <w:rPr>
          <w:rFonts w:hint="eastAsia" w:ascii="宋体" w:hAnsi="宋体" w:eastAsia="宋体" w:cs="宋体"/>
          <w:color w:val="auto"/>
          <w:highlight w:val="none"/>
        </w:rPr>
      </w:pPr>
    </w:p>
    <w:p w14:paraId="228A2A2D">
      <w:pPr>
        <w:rPr>
          <w:rFonts w:hint="eastAsia" w:ascii="宋体" w:hAnsi="宋体" w:eastAsia="宋体" w:cs="宋体"/>
          <w:color w:val="auto"/>
          <w:highlight w:val="none"/>
        </w:rPr>
      </w:pPr>
    </w:p>
    <w:p w14:paraId="34B99124">
      <w:pPr>
        <w:rPr>
          <w:rFonts w:hint="eastAsia" w:ascii="宋体" w:hAnsi="宋体" w:eastAsia="宋体" w:cs="宋体"/>
          <w:color w:val="auto"/>
          <w:highlight w:val="none"/>
        </w:rPr>
      </w:pPr>
    </w:p>
    <w:p w14:paraId="0C755A9A">
      <w:pPr>
        <w:rPr>
          <w:rFonts w:hint="eastAsia" w:ascii="宋体" w:hAnsi="宋体" w:eastAsia="宋体" w:cs="宋体"/>
          <w:color w:val="auto"/>
          <w:highlight w:val="none"/>
        </w:rPr>
      </w:pPr>
    </w:p>
    <w:p w14:paraId="2623FF68">
      <w:pPr>
        <w:rPr>
          <w:rFonts w:hint="eastAsia" w:ascii="宋体" w:hAnsi="宋体" w:eastAsia="宋体" w:cs="宋体"/>
          <w:color w:val="auto"/>
          <w:highlight w:val="none"/>
        </w:rPr>
      </w:pPr>
    </w:p>
    <w:p w14:paraId="7C58D01B">
      <w:pPr>
        <w:rPr>
          <w:rFonts w:hint="eastAsia" w:ascii="宋体" w:hAnsi="宋体" w:eastAsia="宋体" w:cs="宋体"/>
          <w:color w:val="auto"/>
          <w:highlight w:val="none"/>
        </w:rPr>
      </w:pPr>
    </w:p>
    <w:p w14:paraId="16A543FC">
      <w:pPr>
        <w:rPr>
          <w:rFonts w:hint="eastAsia" w:ascii="宋体" w:hAnsi="宋体" w:eastAsia="宋体" w:cs="宋体"/>
          <w:color w:val="auto"/>
          <w:highlight w:val="none"/>
        </w:rPr>
      </w:pPr>
    </w:p>
    <w:p w14:paraId="64E5D655">
      <w:pPr>
        <w:rPr>
          <w:rFonts w:hint="eastAsia" w:ascii="宋体" w:hAnsi="宋体" w:eastAsia="宋体" w:cs="宋体"/>
          <w:color w:val="auto"/>
          <w:highlight w:val="none"/>
        </w:rPr>
      </w:pPr>
    </w:p>
    <w:p w14:paraId="2A4D68D5">
      <w:pPr>
        <w:rPr>
          <w:rFonts w:hint="eastAsia" w:ascii="宋体" w:hAnsi="宋体" w:eastAsia="宋体" w:cs="宋体"/>
          <w:color w:val="auto"/>
          <w:highlight w:val="none"/>
        </w:rPr>
      </w:pPr>
    </w:p>
    <w:p w14:paraId="37B7248B">
      <w:pPr>
        <w:rPr>
          <w:rFonts w:hint="eastAsia" w:ascii="宋体" w:hAnsi="宋体" w:eastAsia="宋体" w:cs="宋体"/>
          <w:color w:val="auto"/>
          <w:highlight w:val="none"/>
        </w:rPr>
      </w:pPr>
    </w:p>
    <w:p w14:paraId="403EBA73">
      <w:pPr>
        <w:rPr>
          <w:rFonts w:hint="eastAsia" w:ascii="宋体" w:hAnsi="宋体" w:eastAsia="宋体" w:cs="宋体"/>
          <w:color w:val="auto"/>
          <w:highlight w:val="none"/>
        </w:rPr>
      </w:pPr>
    </w:p>
    <w:p w14:paraId="4DE2AD2F">
      <w:pPr>
        <w:rPr>
          <w:rFonts w:hint="eastAsia" w:ascii="宋体" w:hAnsi="宋体" w:eastAsia="宋体" w:cs="宋体"/>
          <w:color w:val="auto"/>
          <w:highlight w:val="none"/>
        </w:rPr>
      </w:pPr>
    </w:p>
    <w:p w14:paraId="20BBD2B4">
      <w:pPr>
        <w:rPr>
          <w:rFonts w:hint="eastAsia" w:ascii="宋体" w:hAnsi="宋体" w:eastAsia="宋体" w:cs="宋体"/>
          <w:color w:val="auto"/>
          <w:highlight w:val="none"/>
        </w:rPr>
      </w:pPr>
    </w:p>
    <w:p w14:paraId="6C157488">
      <w:pPr>
        <w:rPr>
          <w:rFonts w:hint="eastAsia" w:ascii="宋体" w:hAnsi="宋体" w:eastAsia="宋体" w:cs="宋体"/>
          <w:color w:val="auto"/>
          <w:highlight w:val="none"/>
        </w:rPr>
      </w:pPr>
    </w:p>
    <w:p w14:paraId="29BA07A0">
      <w:pPr>
        <w:rPr>
          <w:rFonts w:hint="eastAsia" w:ascii="宋体" w:hAnsi="宋体" w:eastAsia="宋体" w:cs="宋体"/>
          <w:b/>
          <w:color w:val="auto"/>
          <w:sz w:val="28"/>
          <w:szCs w:val="28"/>
          <w:highlight w:val="none"/>
        </w:rPr>
      </w:pPr>
      <w:bookmarkStart w:id="82" w:name="_Hlt493478646"/>
      <w:bookmarkEnd w:id="82"/>
      <w:r>
        <w:rPr>
          <w:rFonts w:hint="eastAsia" w:ascii="宋体" w:hAnsi="宋体" w:eastAsia="宋体" w:cs="宋体"/>
          <w:b/>
          <w:color w:val="auto"/>
          <w:sz w:val="28"/>
          <w:szCs w:val="28"/>
          <w:highlight w:val="none"/>
        </w:rPr>
        <w:t>二、自查表</w:t>
      </w:r>
    </w:p>
    <w:p w14:paraId="4B23A653">
      <w:pPr>
        <w:pStyle w:val="26"/>
        <w:rPr>
          <w:rFonts w:hint="eastAsia" w:ascii="宋体" w:hAnsi="宋体" w:eastAsia="宋体" w:cs="宋体"/>
          <w:color w:val="auto"/>
          <w:highlight w:val="none"/>
        </w:rPr>
      </w:pPr>
    </w:p>
    <w:p w14:paraId="791E7CFA">
      <w:pPr>
        <w:pStyle w:val="26"/>
        <w:rPr>
          <w:rFonts w:hint="eastAsia" w:ascii="宋体" w:hAnsi="宋体" w:eastAsia="宋体" w:cs="宋体"/>
          <w:color w:val="auto"/>
          <w:highlight w:val="none"/>
        </w:rPr>
      </w:pPr>
    </w:p>
    <w:p w14:paraId="42D9B264">
      <w:pPr>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初步评审自查表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14:paraId="03BD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0E3331B0">
            <w:pPr>
              <w:spacing w:line="240" w:lineRule="atLeas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049" w:type="dxa"/>
            <w:noWrap w:val="0"/>
            <w:vAlign w:val="center"/>
          </w:tcPr>
          <w:p w14:paraId="7BAF4910">
            <w:pPr>
              <w:spacing w:line="240" w:lineRule="atLeas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审查内容</w:t>
            </w:r>
          </w:p>
        </w:tc>
        <w:tc>
          <w:tcPr>
            <w:tcW w:w="2544" w:type="dxa"/>
            <w:noWrap w:val="0"/>
            <w:vAlign w:val="center"/>
          </w:tcPr>
          <w:p w14:paraId="5DCE602D">
            <w:pPr>
              <w:spacing w:line="240" w:lineRule="atLeas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证明文件（如有）</w:t>
            </w:r>
          </w:p>
        </w:tc>
      </w:tr>
      <w:tr w14:paraId="36E7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67D1B51A">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049" w:type="dxa"/>
            <w:noWrap w:val="0"/>
            <w:vAlign w:val="center"/>
          </w:tcPr>
          <w:p w14:paraId="1289971C">
            <w:pPr>
              <w:rPr>
                <w:rFonts w:hint="eastAsia" w:ascii="宋体" w:hAnsi="宋体" w:eastAsia="宋体" w:cs="宋体"/>
                <w:color w:val="auto"/>
                <w:szCs w:val="21"/>
                <w:highlight w:val="none"/>
              </w:rPr>
            </w:pPr>
            <w:r>
              <w:rPr>
                <w:rFonts w:hint="eastAsia" w:ascii="宋体" w:hAnsi="宋体" w:eastAsia="宋体" w:cs="宋体"/>
                <w:color w:val="auto"/>
                <w:highlight w:val="none"/>
              </w:rPr>
              <w:t>符合合格投标人资格条件；</w:t>
            </w:r>
          </w:p>
        </w:tc>
        <w:tc>
          <w:tcPr>
            <w:tcW w:w="2544" w:type="dxa"/>
            <w:noWrap w:val="0"/>
            <w:vAlign w:val="center"/>
          </w:tcPr>
          <w:p w14:paraId="5F248C31">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0075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807C5B9">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049" w:type="dxa"/>
            <w:noWrap w:val="0"/>
            <w:vAlign w:val="center"/>
          </w:tcPr>
          <w:p w14:paraId="35256C19">
            <w:pPr>
              <w:rPr>
                <w:rFonts w:hint="eastAsia" w:ascii="宋体" w:hAnsi="宋体" w:eastAsia="宋体" w:cs="宋体"/>
                <w:color w:val="auto"/>
                <w:szCs w:val="21"/>
                <w:highlight w:val="none"/>
              </w:rPr>
            </w:pPr>
            <w:r>
              <w:rPr>
                <w:rFonts w:hint="eastAsia" w:ascii="宋体" w:hAnsi="宋体" w:eastAsia="宋体" w:cs="宋体"/>
                <w:color w:val="auto"/>
                <w:highlight w:val="none"/>
              </w:rPr>
              <w:t>投标文件按招标文件规定要求签署及盖章，由授权代表签署时有法定代表人出具的授权委托书；</w:t>
            </w:r>
          </w:p>
        </w:tc>
        <w:tc>
          <w:tcPr>
            <w:tcW w:w="2544" w:type="dxa"/>
            <w:noWrap w:val="0"/>
            <w:vAlign w:val="center"/>
          </w:tcPr>
          <w:p w14:paraId="71C16DBA">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6B42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67ED8316">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049" w:type="dxa"/>
            <w:noWrap w:val="0"/>
            <w:vAlign w:val="center"/>
          </w:tcPr>
          <w:p w14:paraId="30104AD9">
            <w:pPr>
              <w:rPr>
                <w:rFonts w:hint="eastAsia" w:ascii="宋体" w:hAnsi="宋体" w:eastAsia="宋体" w:cs="宋体"/>
                <w:color w:val="auto"/>
                <w:szCs w:val="21"/>
                <w:highlight w:val="none"/>
              </w:rPr>
            </w:pPr>
            <w:r>
              <w:rPr>
                <w:rFonts w:hint="eastAsia" w:ascii="宋体" w:hAnsi="宋体" w:eastAsia="宋体" w:cs="宋体"/>
                <w:color w:val="auto"/>
                <w:highlight w:val="none"/>
              </w:rPr>
              <w:t>投标人的最终投标总价没有超过本项目的最高限价；</w:t>
            </w:r>
          </w:p>
        </w:tc>
        <w:tc>
          <w:tcPr>
            <w:tcW w:w="2544" w:type="dxa"/>
            <w:noWrap w:val="0"/>
            <w:vAlign w:val="center"/>
          </w:tcPr>
          <w:p w14:paraId="57C2DB8E">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50E1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4B4201A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049" w:type="dxa"/>
            <w:noWrap w:val="0"/>
            <w:vAlign w:val="center"/>
          </w:tcPr>
          <w:p w14:paraId="7B421493">
            <w:pPr>
              <w:rPr>
                <w:rFonts w:hint="eastAsia" w:ascii="宋体" w:hAnsi="宋体" w:eastAsia="宋体" w:cs="宋体"/>
                <w:color w:val="auto"/>
                <w:szCs w:val="21"/>
                <w:highlight w:val="none"/>
              </w:rPr>
            </w:pPr>
            <w:r>
              <w:rPr>
                <w:rFonts w:hint="eastAsia" w:ascii="宋体" w:hAnsi="宋体" w:eastAsia="宋体" w:cs="宋体"/>
                <w:color w:val="auto"/>
                <w:highlight w:val="none"/>
              </w:rPr>
              <w:t>投标人不得递交两份或多份内容不同的投标文件，在一份投标文件中对同一招标货物报有两个或多个报价时必须声明哪一个为最终报价；</w:t>
            </w:r>
          </w:p>
        </w:tc>
        <w:tc>
          <w:tcPr>
            <w:tcW w:w="2544" w:type="dxa"/>
            <w:noWrap w:val="0"/>
            <w:vAlign w:val="center"/>
          </w:tcPr>
          <w:p w14:paraId="22DC0DDB">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5CD5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89B43BB">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5049" w:type="dxa"/>
            <w:noWrap w:val="0"/>
            <w:vAlign w:val="center"/>
          </w:tcPr>
          <w:p w14:paraId="6B66DD7F">
            <w:pPr>
              <w:rPr>
                <w:rFonts w:hint="eastAsia" w:ascii="宋体" w:hAnsi="宋体" w:eastAsia="宋体" w:cs="宋体"/>
                <w:color w:val="auto"/>
                <w:szCs w:val="21"/>
                <w:highlight w:val="none"/>
              </w:rPr>
            </w:pPr>
            <w:r>
              <w:rPr>
                <w:rFonts w:hint="eastAsia" w:ascii="宋体" w:hAnsi="宋体" w:eastAsia="宋体" w:cs="宋体"/>
                <w:color w:val="auto"/>
                <w:highlight w:val="none"/>
              </w:rPr>
              <w:t>投标有效期满足招标文件要求；</w:t>
            </w:r>
          </w:p>
        </w:tc>
        <w:tc>
          <w:tcPr>
            <w:tcW w:w="2544" w:type="dxa"/>
            <w:noWrap w:val="0"/>
            <w:vAlign w:val="center"/>
          </w:tcPr>
          <w:p w14:paraId="50AE19D0">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5D1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15AAB8F1">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5049" w:type="dxa"/>
            <w:noWrap w:val="0"/>
            <w:vAlign w:val="center"/>
          </w:tcPr>
          <w:p w14:paraId="12B82205">
            <w:pPr>
              <w:rPr>
                <w:rFonts w:hint="eastAsia" w:ascii="宋体" w:hAnsi="宋体" w:eastAsia="宋体" w:cs="宋体"/>
                <w:color w:val="auto"/>
                <w:szCs w:val="21"/>
                <w:highlight w:val="none"/>
              </w:rPr>
            </w:pPr>
            <w:r>
              <w:rPr>
                <w:rFonts w:hint="eastAsia" w:ascii="宋体" w:hAnsi="宋体" w:eastAsia="宋体" w:cs="宋体"/>
                <w:color w:val="auto"/>
                <w:highlight w:val="none"/>
              </w:rPr>
              <w:t>按招标文件要求提交投标保证金；</w:t>
            </w:r>
          </w:p>
        </w:tc>
        <w:tc>
          <w:tcPr>
            <w:tcW w:w="2544" w:type="dxa"/>
            <w:noWrap w:val="0"/>
            <w:vAlign w:val="center"/>
          </w:tcPr>
          <w:p w14:paraId="78996AA7">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6002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7E2BE8B7">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5049" w:type="dxa"/>
            <w:noWrap w:val="0"/>
            <w:vAlign w:val="center"/>
          </w:tcPr>
          <w:p w14:paraId="3630B662">
            <w:pPr>
              <w:rPr>
                <w:rFonts w:hint="eastAsia" w:ascii="宋体" w:hAnsi="宋体" w:eastAsia="宋体" w:cs="宋体"/>
                <w:color w:val="auto"/>
                <w:szCs w:val="21"/>
                <w:highlight w:val="none"/>
              </w:rPr>
            </w:pPr>
            <w:r>
              <w:rPr>
                <w:rFonts w:hint="eastAsia" w:ascii="宋体" w:hAnsi="宋体" w:eastAsia="宋体" w:cs="宋体"/>
                <w:color w:val="auto"/>
                <w:highlight w:val="none"/>
              </w:rPr>
              <w:t>招标文件</w:t>
            </w:r>
            <w:r>
              <w:rPr>
                <w:rFonts w:hint="eastAsia" w:ascii="宋体" w:hAnsi="宋体" w:eastAsia="宋体" w:cs="宋体"/>
                <w:b/>
                <w:color w:val="auto"/>
                <w:highlight w:val="none"/>
              </w:rPr>
              <w:t>★</w:t>
            </w:r>
            <w:r>
              <w:rPr>
                <w:rFonts w:hint="eastAsia" w:ascii="宋体" w:hAnsi="宋体" w:eastAsia="宋体" w:cs="宋体"/>
                <w:color w:val="auto"/>
                <w:highlight w:val="none"/>
              </w:rPr>
              <w:t>号条款要求必须满足，投标文件的内容实质性满足招标文件无重大偏离或保留，否则按废标处理，未发现招标文件明确规定可以废标的其他情形；</w:t>
            </w:r>
          </w:p>
        </w:tc>
        <w:tc>
          <w:tcPr>
            <w:tcW w:w="2544" w:type="dxa"/>
            <w:noWrap w:val="0"/>
            <w:vAlign w:val="center"/>
          </w:tcPr>
          <w:p w14:paraId="3D69058F">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1A3D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08FEF616">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5049" w:type="dxa"/>
            <w:noWrap w:val="0"/>
            <w:vAlign w:val="center"/>
          </w:tcPr>
          <w:p w14:paraId="6BE95303">
            <w:pPr>
              <w:rPr>
                <w:rFonts w:hint="eastAsia" w:ascii="宋体" w:hAnsi="宋体" w:eastAsia="宋体" w:cs="宋体"/>
                <w:color w:val="auto"/>
                <w:szCs w:val="21"/>
                <w:highlight w:val="none"/>
              </w:rPr>
            </w:pPr>
            <w:r>
              <w:rPr>
                <w:rFonts w:hint="eastAsia" w:ascii="宋体" w:hAnsi="宋体" w:eastAsia="宋体" w:cs="宋体"/>
                <w:color w:val="auto"/>
                <w:highlight w:val="none"/>
              </w:rPr>
              <w:t>投标文件未附有招标人不能接受的条件的。</w:t>
            </w:r>
          </w:p>
        </w:tc>
        <w:tc>
          <w:tcPr>
            <w:tcW w:w="2544" w:type="dxa"/>
            <w:noWrap w:val="0"/>
            <w:vAlign w:val="center"/>
          </w:tcPr>
          <w:p w14:paraId="5C4BDFE2">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bl>
    <w:p w14:paraId="632C23D0">
      <w:pPr>
        <w:jc w:val="left"/>
        <w:rPr>
          <w:rFonts w:hint="eastAsia" w:ascii="宋体" w:hAnsi="宋体" w:eastAsia="宋体" w:cs="宋体"/>
          <w:b/>
          <w:bCs/>
          <w:color w:val="auto"/>
          <w:sz w:val="28"/>
          <w:highlight w:val="none"/>
        </w:rPr>
      </w:pPr>
      <w:r>
        <w:rPr>
          <w:rFonts w:hint="eastAsia" w:ascii="宋体" w:hAnsi="宋体" w:eastAsia="宋体" w:cs="宋体"/>
          <w:color w:val="auto"/>
          <w:szCs w:val="21"/>
          <w:highlight w:val="none"/>
        </w:rPr>
        <w:t>注：以上材料将作为投标人初步审查的重要内容，投标人必须严格按照其内容及序列要求在投标文件中对应如实提供，对符合性证明文件的任何缺漏和不符合项将会直接导致无效投标！</w:t>
      </w:r>
    </w:p>
    <w:p w14:paraId="00BB2C74">
      <w:pPr>
        <w:jc w:val="center"/>
        <w:rPr>
          <w:rFonts w:hint="eastAsia" w:ascii="宋体" w:hAnsi="宋体" w:eastAsia="宋体" w:cs="宋体"/>
          <w:b/>
          <w:bCs/>
          <w:color w:val="auto"/>
          <w:sz w:val="28"/>
          <w:highlight w:val="none"/>
        </w:rPr>
      </w:pPr>
    </w:p>
    <w:p w14:paraId="3C3DB37A">
      <w:pPr>
        <w:jc w:val="center"/>
        <w:rPr>
          <w:rFonts w:hint="eastAsia" w:ascii="宋体" w:hAnsi="宋体" w:eastAsia="宋体" w:cs="宋体"/>
          <w:b/>
          <w:bCs/>
          <w:color w:val="auto"/>
          <w:sz w:val="30"/>
          <w:highlight w:val="none"/>
        </w:rPr>
      </w:pPr>
      <w:r>
        <w:rPr>
          <w:rFonts w:hint="eastAsia" w:ascii="宋体" w:hAnsi="宋体" w:eastAsia="宋体" w:cs="宋体"/>
          <w:b/>
          <w:bCs/>
          <w:color w:val="auto"/>
          <w:sz w:val="28"/>
          <w:highlight w:val="none"/>
        </w:rPr>
        <w:t>技术评审自查表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5036"/>
        <w:gridCol w:w="2558"/>
      </w:tblGrid>
      <w:tr w14:paraId="63CD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0734C795">
            <w:pPr>
              <w:spacing w:line="240" w:lineRule="atLeas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036" w:type="dxa"/>
            <w:noWrap w:val="0"/>
            <w:vAlign w:val="center"/>
          </w:tcPr>
          <w:p w14:paraId="65B2B227">
            <w:pPr>
              <w:spacing w:line="240" w:lineRule="atLeas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2558" w:type="dxa"/>
            <w:noWrap w:val="0"/>
            <w:vAlign w:val="center"/>
          </w:tcPr>
          <w:p w14:paraId="3EC445F0">
            <w:pPr>
              <w:spacing w:line="240" w:lineRule="atLeas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证明文件（如有）</w:t>
            </w:r>
          </w:p>
        </w:tc>
      </w:tr>
      <w:tr w14:paraId="0832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2DC16E74">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036" w:type="dxa"/>
            <w:noWrap w:val="0"/>
            <w:vAlign w:val="center"/>
          </w:tcPr>
          <w:p w14:paraId="38912502">
            <w:pPr>
              <w:pStyle w:val="225"/>
              <w:spacing w:line="360" w:lineRule="auto"/>
              <w:jc w:val="left"/>
              <w:rPr>
                <w:rFonts w:hint="eastAsia" w:ascii="宋体" w:hAnsi="宋体" w:eastAsia="宋体" w:cs="宋体"/>
                <w:color w:val="auto"/>
                <w:szCs w:val="21"/>
                <w:highlight w:val="none"/>
              </w:rPr>
            </w:pPr>
          </w:p>
        </w:tc>
        <w:tc>
          <w:tcPr>
            <w:tcW w:w="2558" w:type="dxa"/>
            <w:noWrap w:val="0"/>
            <w:vAlign w:val="center"/>
          </w:tcPr>
          <w:p w14:paraId="67077E13">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75A3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68AFC308">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036" w:type="dxa"/>
            <w:noWrap w:val="0"/>
            <w:vAlign w:val="center"/>
          </w:tcPr>
          <w:p w14:paraId="73A9A8CB">
            <w:pPr>
              <w:pStyle w:val="225"/>
              <w:spacing w:line="360" w:lineRule="auto"/>
              <w:jc w:val="left"/>
              <w:rPr>
                <w:rFonts w:hint="eastAsia" w:ascii="宋体" w:hAnsi="宋体" w:eastAsia="宋体" w:cs="宋体"/>
                <w:color w:val="auto"/>
                <w:szCs w:val="21"/>
                <w:highlight w:val="none"/>
              </w:rPr>
            </w:pPr>
          </w:p>
        </w:tc>
        <w:tc>
          <w:tcPr>
            <w:tcW w:w="2558" w:type="dxa"/>
            <w:noWrap w:val="0"/>
            <w:vAlign w:val="center"/>
          </w:tcPr>
          <w:p w14:paraId="65C3BD5B">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0999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7C649D5C">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036" w:type="dxa"/>
            <w:noWrap w:val="0"/>
            <w:vAlign w:val="center"/>
          </w:tcPr>
          <w:p w14:paraId="6C43CDAC">
            <w:pPr>
              <w:spacing w:line="360" w:lineRule="auto"/>
              <w:jc w:val="left"/>
              <w:rPr>
                <w:rFonts w:hint="eastAsia" w:ascii="宋体" w:hAnsi="宋体" w:eastAsia="宋体" w:cs="宋体"/>
                <w:color w:val="auto"/>
                <w:szCs w:val="21"/>
                <w:highlight w:val="none"/>
              </w:rPr>
            </w:pPr>
          </w:p>
        </w:tc>
        <w:tc>
          <w:tcPr>
            <w:tcW w:w="2558" w:type="dxa"/>
            <w:noWrap w:val="0"/>
            <w:vAlign w:val="center"/>
          </w:tcPr>
          <w:p w14:paraId="24C7EDF5">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2917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33A82DD3">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036" w:type="dxa"/>
            <w:noWrap w:val="0"/>
            <w:vAlign w:val="center"/>
          </w:tcPr>
          <w:p w14:paraId="3A08D795">
            <w:pPr>
              <w:adjustRightInd w:val="0"/>
              <w:snapToGrid w:val="0"/>
              <w:jc w:val="left"/>
              <w:rPr>
                <w:rFonts w:hint="eastAsia" w:ascii="宋体" w:hAnsi="宋体" w:eastAsia="宋体" w:cs="宋体"/>
                <w:color w:val="auto"/>
                <w:szCs w:val="21"/>
                <w:highlight w:val="none"/>
              </w:rPr>
            </w:pPr>
          </w:p>
        </w:tc>
        <w:tc>
          <w:tcPr>
            <w:tcW w:w="2558" w:type="dxa"/>
            <w:noWrap w:val="0"/>
            <w:vAlign w:val="center"/>
          </w:tcPr>
          <w:p w14:paraId="25544A50">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1C51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7B71016E">
            <w:pPr>
              <w:spacing w:line="240" w:lineRule="exact"/>
              <w:jc w:val="center"/>
              <w:rPr>
                <w:rFonts w:hint="eastAsia" w:ascii="宋体" w:hAnsi="宋体" w:eastAsia="宋体" w:cs="宋体"/>
                <w:color w:val="auto"/>
                <w:szCs w:val="21"/>
                <w:highlight w:val="none"/>
              </w:rPr>
            </w:pPr>
          </w:p>
        </w:tc>
        <w:tc>
          <w:tcPr>
            <w:tcW w:w="5036" w:type="dxa"/>
            <w:noWrap w:val="0"/>
            <w:vAlign w:val="center"/>
          </w:tcPr>
          <w:p w14:paraId="39AD830B">
            <w:pPr>
              <w:adjustRightInd w:val="0"/>
              <w:snapToGrid w:val="0"/>
              <w:jc w:val="left"/>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558" w:type="dxa"/>
            <w:noWrap w:val="0"/>
            <w:vAlign w:val="center"/>
          </w:tcPr>
          <w:p w14:paraId="053A5237">
            <w:pPr>
              <w:spacing w:line="240" w:lineRule="exact"/>
              <w:rPr>
                <w:rFonts w:hint="eastAsia" w:ascii="宋体" w:hAnsi="宋体" w:eastAsia="宋体" w:cs="宋体"/>
                <w:color w:val="auto"/>
                <w:szCs w:val="21"/>
                <w:highlight w:val="none"/>
              </w:rPr>
            </w:pPr>
          </w:p>
        </w:tc>
      </w:tr>
    </w:tbl>
    <w:p w14:paraId="7CDA00AD">
      <w:pPr>
        <w:pStyle w:val="19"/>
        <w:spacing w:after="0"/>
        <w:ind w:left="424" w:hanging="424" w:hangingChars="202"/>
        <w:rPr>
          <w:rFonts w:hint="eastAsia" w:ascii="宋体" w:hAnsi="宋体" w:eastAsia="宋体" w:cs="宋体"/>
          <w:color w:val="auto"/>
          <w:sz w:val="21"/>
          <w:szCs w:val="21"/>
          <w:highlight w:val="none"/>
          <w:lang w:val="en-GB"/>
        </w:rPr>
      </w:pPr>
    </w:p>
    <w:p w14:paraId="078EC063">
      <w:pPr>
        <w:pStyle w:val="19"/>
        <w:spacing w:after="0"/>
        <w:rPr>
          <w:rFonts w:hint="eastAsia" w:ascii="宋体" w:hAnsi="宋体" w:eastAsia="宋体" w:cs="宋体"/>
          <w:color w:val="auto"/>
          <w:sz w:val="21"/>
          <w:szCs w:val="21"/>
          <w:highlight w:val="none"/>
        </w:rPr>
      </w:pPr>
    </w:p>
    <w:p w14:paraId="1CBCCD37">
      <w:pPr>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商务评审自查表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050"/>
        <w:gridCol w:w="2562"/>
      </w:tblGrid>
      <w:tr w14:paraId="0362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0F8E87A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050" w:type="dxa"/>
            <w:noWrap w:val="0"/>
            <w:vAlign w:val="center"/>
          </w:tcPr>
          <w:p w14:paraId="4670BC9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评审内容</w:t>
            </w:r>
          </w:p>
        </w:tc>
        <w:tc>
          <w:tcPr>
            <w:tcW w:w="2562" w:type="dxa"/>
            <w:noWrap w:val="0"/>
            <w:vAlign w:val="center"/>
          </w:tcPr>
          <w:p w14:paraId="0B7A80F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证明文件（如有）</w:t>
            </w:r>
          </w:p>
        </w:tc>
      </w:tr>
      <w:tr w14:paraId="19EE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255E365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050" w:type="dxa"/>
            <w:noWrap w:val="0"/>
            <w:vAlign w:val="center"/>
          </w:tcPr>
          <w:p w14:paraId="6CE7E523">
            <w:pPr>
              <w:jc w:val="left"/>
              <w:rPr>
                <w:rFonts w:hint="eastAsia" w:ascii="宋体" w:hAnsi="宋体" w:eastAsia="宋体" w:cs="宋体"/>
                <w:color w:val="auto"/>
                <w:szCs w:val="18"/>
                <w:highlight w:val="none"/>
              </w:rPr>
            </w:pPr>
          </w:p>
        </w:tc>
        <w:tc>
          <w:tcPr>
            <w:tcW w:w="2562" w:type="dxa"/>
            <w:noWrap w:val="0"/>
            <w:vAlign w:val="center"/>
          </w:tcPr>
          <w:p w14:paraId="5DF909B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1E1E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49F815C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050" w:type="dxa"/>
            <w:noWrap w:val="0"/>
            <w:vAlign w:val="center"/>
          </w:tcPr>
          <w:p w14:paraId="3A926187">
            <w:pPr>
              <w:jc w:val="left"/>
              <w:rPr>
                <w:rFonts w:hint="eastAsia" w:ascii="宋体" w:hAnsi="宋体" w:eastAsia="宋体" w:cs="宋体"/>
                <w:color w:val="auto"/>
                <w:szCs w:val="18"/>
                <w:highlight w:val="none"/>
              </w:rPr>
            </w:pPr>
          </w:p>
        </w:tc>
        <w:tc>
          <w:tcPr>
            <w:tcW w:w="2562" w:type="dxa"/>
            <w:noWrap w:val="0"/>
            <w:vAlign w:val="center"/>
          </w:tcPr>
          <w:p w14:paraId="054ED1A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099A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04A8344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5050" w:type="dxa"/>
            <w:noWrap w:val="0"/>
            <w:vAlign w:val="center"/>
          </w:tcPr>
          <w:p w14:paraId="14629886">
            <w:pPr>
              <w:adjustRightInd w:val="0"/>
              <w:snapToGrid w:val="0"/>
              <w:jc w:val="left"/>
              <w:rPr>
                <w:rFonts w:hint="eastAsia" w:ascii="宋体" w:hAnsi="宋体" w:eastAsia="宋体" w:cs="宋体"/>
                <w:color w:val="auto"/>
                <w:szCs w:val="18"/>
                <w:highlight w:val="none"/>
              </w:rPr>
            </w:pPr>
          </w:p>
        </w:tc>
        <w:tc>
          <w:tcPr>
            <w:tcW w:w="2562" w:type="dxa"/>
            <w:noWrap w:val="0"/>
            <w:vAlign w:val="center"/>
          </w:tcPr>
          <w:p w14:paraId="13939E5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0900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2C46B0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5050" w:type="dxa"/>
            <w:noWrap w:val="0"/>
            <w:vAlign w:val="center"/>
          </w:tcPr>
          <w:p w14:paraId="30546B7D">
            <w:pPr>
              <w:adjustRightInd w:val="0"/>
              <w:snapToGrid w:val="0"/>
              <w:jc w:val="left"/>
              <w:rPr>
                <w:rFonts w:hint="eastAsia" w:ascii="宋体" w:hAnsi="宋体" w:eastAsia="宋体" w:cs="宋体"/>
                <w:color w:val="auto"/>
                <w:szCs w:val="18"/>
                <w:highlight w:val="none"/>
              </w:rPr>
            </w:pPr>
          </w:p>
        </w:tc>
        <w:tc>
          <w:tcPr>
            <w:tcW w:w="2562" w:type="dxa"/>
            <w:noWrap w:val="0"/>
            <w:vAlign w:val="center"/>
          </w:tcPr>
          <w:p w14:paraId="792219D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见投标文件（）页</w:t>
            </w:r>
          </w:p>
        </w:tc>
      </w:tr>
      <w:tr w14:paraId="77BF3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02410F9A">
            <w:pPr>
              <w:jc w:val="center"/>
              <w:rPr>
                <w:rFonts w:hint="eastAsia" w:ascii="宋体" w:hAnsi="宋体" w:eastAsia="宋体" w:cs="宋体"/>
                <w:color w:val="auto"/>
                <w:szCs w:val="21"/>
                <w:highlight w:val="none"/>
              </w:rPr>
            </w:pPr>
          </w:p>
        </w:tc>
        <w:tc>
          <w:tcPr>
            <w:tcW w:w="5050" w:type="dxa"/>
            <w:noWrap w:val="0"/>
            <w:vAlign w:val="center"/>
          </w:tcPr>
          <w:p w14:paraId="5FCBB279">
            <w:pPr>
              <w:adjustRightInd w:val="0"/>
              <w:snapToGrid w:val="0"/>
              <w:jc w:val="left"/>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562" w:type="dxa"/>
            <w:noWrap w:val="0"/>
            <w:vAlign w:val="center"/>
          </w:tcPr>
          <w:p w14:paraId="2FB5E2D6">
            <w:pPr>
              <w:rPr>
                <w:rFonts w:hint="eastAsia" w:ascii="宋体" w:hAnsi="宋体" w:eastAsia="宋体" w:cs="宋体"/>
                <w:color w:val="auto"/>
                <w:szCs w:val="21"/>
                <w:highlight w:val="none"/>
              </w:rPr>
            </w:pPr>
          </w:p>
        </w:tc>
      </w:tr>
    </w:tbl>
    <w:p w14:paraId="34F86431">
      <w:pPr>
        <w:adjustRightInd w:val="0"/>
        <w:snapToGrid w:val="0"/>
        <w:rPr>
          <w:rFonts w:hint="eastAsia" w:ascii="宋体" w:hAnsi="宋体" w:eastAsia="宋体" w:cs="宋体"/>
          <w:color w:val="auto"/>
          <w:szCs w:val="21"/>
          <w:highlight w:val="none"/>
          <w:lang w:val="en-GB"/>
        </w:rPr>
      </w:pPr>
    </w:p>
    <w:p w14:paraId="371068DA">
      <w:pPr>
        <w:adjustRightInd w:val="0"/>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GB"/>
        </w:rPr>
        <w:t>注：</w:t>
      </w:r>
      <w:r>
        <w:rPr>
          <w:rFonts w:hint="eastAsia" w:ascii="宋体" w:hAnsi="宋体" w:eastAsia="宋体" w:cs="宋体"/>
          <w:color w:val="auto"/>
          <w:szCs w:val="21"/>
          <w:highlight w:val="none"/>
        </w:rPr>
        <w:t>投标人应根据《技术评审表》《商务评审表》的各项内容填写此表，并附于投标文件中</w:t>
      </w:r>
      <w:r>
        <w:rPr>
          <w:rFonts w:hint="eastAsia" w:ascii="宋体" w:hAnsi="宋体" w:eastAsia="宋体" w:cs="宋体"/>
          <w:color w:val="auto"/>
          <w:szCs w:val="21"/>
          <w:highlight w:val="none"/>
          <w:lang w:val="en-GB"/>
        </w:rPr>
        <w:t>。</w:t>
      </w:r>
    </w:p>
    <w:p w14:paraId="333360B1">
      <w:pPr>
        <w:pStyle w:val="19"/>
        <w:spacing w:after="0"/>
        <w:rPr>
          <w:rFonts w:hint="eastAsia" w:ascii="宋体" w:hAnsi="宋体" w:eastAsia="宋体" w:cs="宋体"/>
          <w:color w:val="auto"/>
          <w:sz w:val="21"/>
          <w:szCs w:val="21"/>
          <w:highlight w:val="none"/>
        </w:rPr>
      </w:pPr>
    </w:p>
    <w:p w14:paraId="72BF733D">
      <w:pPr>
        <w:pStyle w:val="19"/>
        <w:spacing w:after="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6ABBB54">
      <w:pPr>
        <w:pStyle w:val="3"/>
        <w:numPr>
          <w:ilvl w:val="0"/>
          <w:numId w:val="0"/>
        </w:numPr>
        <w:ind w:left="422"/>
        <w:rPr>
          <w:rFonts w:hint="eastAsia" w:ascii="宋体" w:hAnsi="宋体" w:eastAsia="宋体" w:cs="宋体"/>
          <w:color w:val="auto"/>
          <w:highlight w:val="none"/>
        </w:rPr>
      </w:pPr>
      <w:bookmarkStart w:id="83" w:name="_Toc455417781"/>
      <w:bookmarkStart w:id="84" w:name="_Toc477185967"/>
      <w:bookmarkStart w:id="85" w:name="_Toc476177986"/>
      <w:bookmarkStart w:id="86" w:name="_Toc477186328"/>
      <w:bookmarkStart w:id="87" w:name="_Toc118018363"/>
      <w:bookmarkStart w:id="88" w:name="_Toc476177427"/>
      <w:r>
        <w:rPr>
          <w:rFonts w:hint="eastAsia" w:ascii="宋体" w:hAnsi="宋体" w:eastAsia="宋体" w:cs="宋体"/>
          <w:color w:val="auto"/>
          <w:highlight w:val="none"/>
        </w:rPr>
        <w:t>三、投标报价表格式</w:t>
      </w:r>
      <w:bookmarkEnd w:id="83"/>
      <w:bookmarkEnd w:id="84"/>
      <w:bookmarkEnd w:id="85"/>
      <w:bookmarkEnd w:id="86"/>
      <w:bookmarkEnd w:id="87"/>
      <w:bookmarkEnd w:id="88"/>
    </w:p>
    <w:p w14:paraId="0CE615A8">
      <w:pPr>
        <w:pStyle w:val="26"/>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highlight w:val="none"/>
        </w:rPr>
        <w:t>投标人应按附表1.1～1.2的格式提交投标报价表。</w:t>
      </w:r>
      <w:r>
        <w:rPr>
          <w:rFonts w:hint="eastAsia" w:ascii="宋体" w:hAnsi="宋体" w:eastAsia="宋体" w:cs="宋体"/>
          <w:color w:val="auto"/>
          <w:szCs w:val="21"/>
          <w:highlight w:val="none"/>
        </w:rPr>
        <w:tab/>
      </w:r>
    </w:p>
    <w:p w14:paraId="7792968F">
      <w:pPr>
        <w:pStyle w:val="26"/>
        <w:spacing w:line="360" w:lineRule="auto"/>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附表1.1开标一览表</w:t>
      </w:r>
    </w:p>
    <w:p w14:paraId="2B660CCD">
      <w:pPr>
        <w:rPr>
          <w:rFonts w:hint="eastAsia"/>
        </w:rPr>
      </w:pPr>
    </w:p>
    <w:tbl>
      <w:tblPr>
        <w:tblStyle w:val="53"/>
        <w:tblpPr w:leftFromText="180" w:rightFromText="180" w:vertAnchor="text" w:horzAnchor="margin" w:tblpXSpec="center" w:tblpY="214"/>
        <w:tblW w:w="8898" w:type="dxa"/>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2728"/>
        <w:gridCol w:w="2728"/>
        <w:gridCol w:w="2730"/>
      </w:tblGrid>
      <w:tr w14:paraId="63F7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restart"/>
            <w:noWrap w:val="0"/>
            <w:vAlign w:val="center"/>
          </w:tcPr>
          <w:p w14:paraId="37CB978D">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7号  电梯</w:t>
            </w:r>
          </w:p>
        </w:tc>
        <w:tc>
          <w:tcPr>
            <w:tcW w:w="2728" w:type="dxa"/>
            <w:noWrap w:val="0"/>
            <w:vAlign w:val="center"/>
          </w:tcPr>
          <w:p w14:paraId="0FCDDD51">
            <w:pPr>
              <w:jc w:val="center"/>
              <w:rPr>
                <w:rFonts w:hint="eastAsia" w:ascii="宋体" w:hAnsi="宋体" w:eastAsia="宋体" w:cs="宋体"/>
                <w:szCs w:val="21"/>
                <w:lang w:val="en-US" w:eastAsia="zh-CN"/>
              </w:rPr>
            </w:pPr>
            <w:r>
              <w:rPr>
                <w:rFonts w:hint="eastAsia" w:ascii="宋体" w:hAnsi="宋体" w:eastAsia="宋体" w:cs="宋体"/>
                <w:szCs w:val="21"/>
              </w:rPr>
              <w:t>投标产品品牌</w:t>
            </w:r>
            <w:r>
              <w:rPr>
                <w:rFonts w:hint="eastAsia" w:ascii="宋体" w:hAnsi="宋体" w:eastAsia="宋体" w:cs="宋体"/>
                <w:szCs w:val="21"/>
                <w:lang w:val="en-US" w:eastAsia="zh-CN"/>
              </w:rPr>
              <w:t>及型号</w:t>
            </w:r>
          </w:p>
        </w:tc>
        <w:tc>
          <w:tcPr>
            <w:tcW w:w="2728" w:type="dxa"/>
            <w:noWrap w:val="0"/>
            <w:vAlign w:val="center"/>
          </w:tcPr>
          <w:p w14:paraId="49009E44">
            <w:pPr>
              <w:jc w:val="center"/>
              <w:rPr>
                <w:rFonts w:hint="eastAsia" w:ascii="宋体" w:hAnsi="宋体" w:eastAsia="宋体" w:cs="宋体"/>
                <w:szCs w:val="21"/>
                <w:lang w:val="en-US" w:eastAsia="zh-CN"/>
              </w:rPr>
            </w:pPr>
            <w:r>
              <w:rPr>
                <w:rFonts w:hint="eastAsia" w:ascii="宋体" w:hAnsi="宋体" w:eastAsia="宋体" w:cs="宋体"/>
                <w:szCs w:val="21"/>
              </w:rPr>
              <w:t>额定速度</w:t>
            </w:r>
          </w:p>
        </w:tc>
        <w:tc>
          <w:tcPr>
            <w:tcW w:w="2730" w:type="dxa"/>
            <w:noWrap w:val="0"/>
            <w:vAlign w:val="center"/>
          </w:tcPr>
          <w:p w14:paraId="3F6029C1">
            <w:pPr>
              <w:jc w:val="center"/>
              <w:rPr>
                <w:rFonts w:hint="default" w:ascii="宋体" w:hAnsi="宋体" w:eastAsia="宋体" w:cs="宋体"/>
                <w:szCs w:val="21"/>
                <w:lang w:val="en-US" w:eastAsia="zh-CN"/>
              </w:rPr>
            </w:pPr>
            <w:r>
              <w:rPr>
                <w:rFonts w:hint="eastAsia" w:ascii="宋体" w:hAnsi="宋体" w:cs="宋体"/>
                <w:szCs w:val="21"/>
                <w:lang w:val="en-US" w:eastAsia="zh-CN"/>
              </w:rPr>
              <w:t>额定</w:t>
            </w:r>
            <w:r>
              <w:rPr>
                <w:rFonts w:hint="eastAsia" w:ascii="宋体" w:hAnsi="宋体" w:eastAsia="宋体" w:cs="宋体"/>
                <w:szCs w:val="21"/>
              </w:rPr>
              <w:t>载重</w:t>
            </w:r>
          </w:p>
        </w:tc>
      </w:tr>
      <w:tr w14:paraId="0A9F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3F28113A">
            <w:pPr>
              <w:jc w:val="center"/>
              <w:rPr>
                <w:rFonts w:hint="eastAsia" w:ascii="宋体" w:hAnsi="宋体" w:eastAsia="宋体" w:cs="宋体"/>
                <w:szCs w:val="21"/>
                <w:lang w:val="en-US" w:eastAsia="zh-CN"/>
              </w:rPr>
            </w:pPr>
          </w:p>
        </w:tc>
        <w:tc>
          <w:tcPr>
            <w:tcW w:w="2728" w:type="dxa"/>
            <w:noWrap w:val="0"/>
            <w:vAlign w:val="center"/>
          </w:tcPr>
          <w:p w14:paraId="1A87FFA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tc>
        <w:tc>
          <w:tcPr>
            <w:tcW w:w="2728" w:type="dxa"/>
            <w:noWrap w:val="0"/>
            <w:vAlign w:val="center"/>
          </w:tcPr>
          <w:p w14:paraId="45B5B891">
            <w:pPr>
              <w:jc w:val="center"/>
              <w:rPr>
                <w:rFonts w:ascii="宋体" w:hAnsi="宋体" w:eastAsia="宋体" w:cs="宋体"/>
                <w:szCs w:val="21"/>
              </w:rPr>
            </w:pPr>
          </w:p>
        </w:tc>
        <w:tc>
          <w:tcPr>
            <w:tcW w:w="2730" w:type="dxa"/>
            <w:noWrap w:val="0"/>
            <w:vAlign w:val="center"/>
          </w:tcPr>
          <w:p w14:paraId="1149D2D9">
            <w:pPr>
              <w:jc w:val="center"/>
              <w:rPr>
                <w:rFonts w:ascii="宋体" w:hAnsi="宋体" w:eastAsia="宋体" w:cs="宋体"/>
                <w:spacing w:val="-8"/>
                <w:szCs w:val="21"/>
              </w:rPr>
            </w:pPr>
          </w:p>
        </w:tc>
      </w:tr>
      <w:tr w14:paraId="2872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1EAEE486">
            <w:pPr>
              <w:jc w:val="center"/>
              <w:rPr>
                <w:rFonts w:hint="eastAsia" w:ascii="宋体" w:hAnsi="宋体" w:eastAsia="宋体" w:cs="宋体"/>
                <w:szCs w:val="21"/>
                <w:lang w:val="en-US" w:eastAsia="zh-CN"/>
              </w:rPr>
            </w:pPr>
          </w:p>
        </w:tc>
        <w:tc>
          <w:tcPr>
            <w:tcW w:w="2728" w:type="dxa"/>
            <w:noWrap w:val="0"/>
            <w:vAlign w:val="center"/>
          </w:tcPr>
          <w:p w14:paraId="29CF7E38">
            <w:pPr>
              <w:jc w:val="center"/>
              <w:rPr>
                <w:rFonts w:ascii="宋体" w:hAnsi="宋体" w:eastAsia="宋体" w:cs="宋体"/>
                <w:szCs w:val="21"/>
              </w:rPr>
            </w:pPr>
            <w:r>
              <w:rPr>
                <w:rFonts w:hint="eastAsia" w:ascii="宋体" w:hAnsi="宋体" w:eastAsia="宋体" w:cs="宋体"/>
                <w:szCs w:val="21"/>
              </w:rPr>
              <w:t>设备</w:t>
            </w:r>
            <w:r>
              <w:rPr>
                <w:rFonts w:hint="eastAsia" w:ascii="宋体" w:hAnsi="宋体" w:eastAsia="宋体" w:cs="宋体"/>
                <w:szCs w:val="21"/>
                <w:lang w:val="en-US" w:eastAsia="zh-CN"/>
              </w:rPr>
              <w:t>报价</w:t>
            </w:r>
            <w:r>
              <w:rPr>
                <w:rFonts w:hint="eastAsia" w:ascii="宋体" w:hAnsi="宋体" w:eastAsia="宋体" w:cs="宋体"/>
                <w:szCs w:val="21"/>
              </w:rPr>
              <w:t>(元)</w:t>
            </w:r>
          </w:p>
        </w:tc>
        <w:tc>
          <w:tcPr>
            <w:tcW w:w="2728" w:type="dxa"/>
            <w:noWrap w:val="0"/>
            <w:vAlign w:val="center"/>
          </w:tcPr>
          <w:p w14:paraId="2FE1859A">
            <w:pPr>
              <w:jc w:val="center"/>
              <w:rPr>
                <w:rFonts w:ascii="宋体" w:hAnsi="宋体" w:eastAsia="宋体" w:cs="宋体"/>
                <w:szCs w:val="21"/>
              </w:rPr>
            </w:pPr>
            <w:r>
              <w:rPr>
                <w:rFonts w:hint="eastAsia" w:ascii="宋体" w:hAnsi="宋体" w:eastAsia="宋体" w:cs="宋体"/>
                <w:szCs w:val="21"/>
              </w:rPr>
              <w:t>运输</w:t>
            </w:r>
            <w:r>
              <w:rPr>
                <w:rFonts w:hint="eastAsia" w:ascii="宋体" w:hAnsi="宋体" w:eastAsia="宋体" w:cs="宋体"/>
                <w:szCs w:val="21"/>
                <w:lang w:val="en-US" w:eastAsia="zh-CN"/>
              </w:rPr>
              <w:t>费报价(元)</w:t>
            </w:r>
          </w:p>
        </w:tc>
        <w:tc>
          <w:tcPr>
            <w:tcW w:w="2730" w:type="dxa"/>
            <w:noWrap w:val="0"/>
            <w:vAlign w:val="center"/>
          </w:tcPr>
          <w:p w14:paraId="58597E73">
            <w:pPr>
              <w:jc w:val="center"/>
              <w:rPr>
                <w:rFonts w:ascii="宋体" w:hAnsi="宋体" w:eastAsia="宋体" w:cs="宋体"/>
                <w:spacing w:val="-8"/>
                <w:szCs w:val="21"/>
              </w:rPr>
            </w:pPr>
            <w:r>
              <w:rPr>
                <w:rFonts w:hint="eastAsia" w:ascii="宋体" w:hAnsi="宋体" w:eastAsia="宋体" w:cs="宋体"/>
                <w:spacing w:val="-8"/>
                <w:szCs w:val="21"/>
                <w:lang w:val="en-US" w:eastAsia="zh-CN"/>
              </w:rPr>
              <w:t>拆除安装费报价(元)</w:t>
            </w:r>
          </w:p>
        </w:tc>
      </w:tr>
      <w:tr w14:paraId="0F4C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555B41E4">
            <w:pPr>
              <w:jc w:val="center"/>
              <w:rPr>
                <w:rFonts w:hint="eastAsia" w:ascii="宋体" w:hAnsi="宋体" w:eastAsia="宋体" w:cs="宋体"/>
                <w:szCs w:val="21"/>
                <w:lang w:val="en-US" w:eastAsia="zh-CN"/>
              </w:rPr>
            </w:pPr>
          </w:p>
        </w:tc>
        <w:tc>
          <w:tcPr>
            <w:tcW w:w="2728" w:type="dxa"/>
            <w:noWrap w:val="0"/>
            <w:vAlign w:val="center"/>
          </w:tcPr>
          <w:p w14:paraId="79270284">
            <w:pPr>
              <w:jc w:val="center"/>
              <w:rPr>
                <w:rFonts w:hint="eastAsia" w:ascii="宋体" w:hAnsi="宋体" w:eastAsia="宋体" w:cs="宋体"/>
                <w:szCs w:val="21"/>
              </w:rPr>
            </w:pPr>
          </w:p>
        </w:tc>
        <w:tc>
          <w:tcPr>
            <w:tcW w:w="2728" w:type="dxa"/>
            <w:noWrap w:val="0"/>
            <w:vAlign w:val="center"/>
          </w:tcPr>
          <w:p w14:paraId="4B4D2AD6">
            <w:pPr>
              <w:jc w:val="center"/>
              <w:rPr>
                <w:rFonts w:hint="eastAsia" w:ascii="宋体" w:hAnsi="宋体" w:eastAsia="宋体" w:cs="宋体"/>
                <w:szCs w:val="21"/>
              </w:rPr>
            </w:pPr>
          </w:p>
        </w:tc>
        <w:tc>
          <w:tcPr>
            <w:tcW w:w="2730" w:type="dxa"/>
            <w:noWrap w:val="0"/>
            <w:vAlign w:val="center"/>
          </w:tcPr>
          <w:p w14:paraId="7700154B">
            <w:pPr>
              <w:jc w:val="center"/>
              <w:rPr>
                <w:rFonts w:ascii="宋体" w:hAnsi="宋体" w:eastAsia="宋体" w:cs="宋体"/>
                <w:spacing w:val="-8"/>
                <w:szCs w:val="21"/>
              </w:rPr>
            </w:pPr>
          </w:p>
        </w:tc>
      </w:tr>
      <w:tr w14:paraId="20C1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7AFB90C8">
            <w:pPr>
              <w:jc w:val="center"/>
              <w:rPr>
                <w:rFonts w:hint="eastAsia" w:ascii="宋体" w:hAnsi="宋体" w:eastAsia="宋体" w:cs="宋体"/>
                <w:szCs w:val="21"/>
                <w:lang w:val="en-US" w:eastAsia="zh-CN"/>
              </w:rPr>
            </w:pPr>
          </w:p>
        </w:tc>
        <w:tc>
          <w:tcPr>
            <w:tcW w:w="2728" w:type="dxa"/>
            <w:noWrap w:val="0"/>
            <w:vAlign w:val="center"/>
          </w:tcPr>
          <w:p w14:paraId="6B33CF08">
            <w:pPr>
              <w:jc w:val="center"/>
              <w:rPr>
                <w:rFonts w:hint="eastAsia" w:ascii="宋体" w:hAnsi="宋体" w:eastAsia="宋体" w:cs="宋体"/>
                <w:szCs w:val="21"/>
              </w:rPr>
            </w:pPr>
            <w:r>
              <w:rPr>
                <w:rFonts w:hint="eastAsia" w:ascii="宋体" w:hAnsi="宋体" w:eastAsia="宋体" w:cs="宋体"/>
                <w:szCs w:val="21"/>
                <w:lang w:val="en-US" w:eastAsia="zh-CN"/>
              </w:rPr>
              <w:t>旧梯回收报价</w:t>
            </w:r>
            <w:r>
              <w:rPr>
                <w:rFonts w:hint="eastAsia" w:ascii="宋体" w:hAnsi="宋体" w:cs="宋体"/>
                <w:szCs w:val="21"/>
                <w:lang w:val="en-US" w:eastAsia="zh-CN"/>
              </w:rPr>
              <w:t>（元）</w:t>
            </w:r>
          </w:p>
        </w:tc>
        <w:tc>
          <w:tcPr>
            <w:tcW w:w="2728" w:type="dxa"/>
            <w:noWrap w:val="0"/>
            <w:vAlign w:val="center"/>
          </w:tcPr>
          <w:p w14:paraId="5469153E">
            <w:pPr>
              <w:jc w:val="center"/>
              <w:rPr>
                <w:rFonts w:hint="eastAsia" w:ascii="宋体" w:hAnsi="宋体" w:eastAsia="宋体" w:cs="宋体"/>
                <w:szCs w:val="21"/>
              </w:rPr>
            </w:pPr>
          </w:p>
        </w:tc>
        <w:tc>
          <w:tcPr>
            <w:tcW w:w="2730" w:type="dxa"/>
            <w:noWrap w:val="0"/>
            <w:vAlign w:val="center"/>
          </w:tcPr>
          <w:p w14:paraId="01DD8F39">
            <w:pPr>
              <w:jc w:val="center"/>
              <w:rPr>
                <w:rFonts w:ascii="宋体" w:hAnsi="宋体" w:eastAsia="宋体" w:cs="宋体"/>
                <w:spacing w:val="-8"/>
                <w:szCs w:val="21"/>
              </w:rPr>
            </w:pPr>
          </w:p>
        </w:tc>
      </w:tr>
      <w:tr w14:paraId="4B32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38D73F37">
            <w:pPr>
              <w:jc w:val="center"/>
              <w:rPr>
                <w:rFonts w:hint="eastAsia" w:ascii="宋体" w:hAnsi="宋体" w:eastAsia="宋体" w:cs="宋体"/>
                <w:szCs w:val="21"/>
                <w:lang w:val="en-US" w:eastAsia="zh-CN"/>
              </w:rPr>
            </w:pPr>
          </w:p>
        </w:tc>
        <w:tc>
          <w:tcPr>
            <w:tcW w:w="2728" w:type="dxa"/>
            <w:noWrap w:val="0"/>
            <w:vAlign w:val="center"/>
          </w:tcPr>
          <w:p w14:paraId="00DA9BB4">
            <w:pPr>
              <w:jc w:val="center"/>
              <w:rPr>
                <w:rFonts w:hint="eastAsia" w:ascii="宋体" w:hAnsi="宋体" w:eastAsia="宋体" w:cs="宋体"/>
                <w:szCs w:val="21"/>
              </w:rPr>
            </w:pPr>
          </w:p>
        </w:tc>
        <w:tc>
          <w:tcPr>
            <w:tcW w:w="2728" w:type="dxa"/>
            <w:noWrap w:val="0"/>
            <w:vAlign w:val="center"/>
          </w:tcPr>
          <w:p w14:paraId="3544E4C3">
            <w:pPr>
              <w:jc w:val="center"/>
              <w:rPr>
                <w:rFonts w:hint="eastAsia" w:ascii="宋体" w:hAnsi="宋体" w:eastAsia="宋体" w:cs="宋体"/>
                <w:szCs w:val="21"/>
              </w:rPr>
            </w:pPr>
          </w:p>
        </w:tc>
        <w:tc>
          <w:tcPr>
            <w:tcW w:w="2730" w:type="dxa"/>
            <w:noWrap w:val="0"/>
            <w:vAlign w:val="center"/>
          </w:tcPr>
          <w:p w14:paraId="7AC16F0C">
            <w:pPr>
              <w:jc w:val="center"/>
              <w:rPr>
                <w:rFonts w:ascii="宋体" w:hAnsi="宋体" w:eastAsia="宋体" w:cs="宋体"/>
                <w:spacing w:val="-8"/>
                <w:szCs w:val="21"/>
              </w:rPr>
            </w:pPr>
          </w:p>
        </w:tc>
      </w:tr>
      <w:tr w14:paraId="2B7D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restart"/>
            <w:noWrap w:val="0"/>
            <w:vAlign w:val="center"/>
          </w:tcPr>
          <w:p w14:paraId="270786E8">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8号  电梯</w:t>
            </w:r>
          </w:p>
        </w:tc>
        <w:tc>
          <w:tcPr>
            <w:tcW w:w="2728" w:type="dxa"/>
            <w:noWrap w:val="0"/>
            <w:vAlign w:val="center"/>
          </w:tcPr>
          <w:p w14:paraId="40081CD1">
            <w:pPr>
              <w:jc w:val="center"/>
              <w:rPr>
                <w:rFonts w:ascii="宋体" w:hAnsi="宋体" w:eastAsia="宋体" w:cs="宋体"/>
                <w:szCs w:val="21"/>
              </w:rPr>
            </w:pPr>
            <w:r>
              <w:rPr>
                <w:rFonts w:hint="eastAsia" w:ascii="宋体" w:hAnsi="宋体" w:eastAsia="宋体" w:cs="宋体"/>
                <w:szCs w:val="21"/>
              </w:rPr>
              <w:t>投标产品品牌</w:t>
            </w:r>
            <w:r>
              <w:rPr>
                <w:rFonts w:hint="eastAsia" w:ascii="宋体" w:hAnsi="宋体" w:eastAsia="宋体" w:cs="宋体"/>
                <w:szCs w:val="21"/>
                <w:lang w:val="en-US" w:eastAsia="zh-CN"/>
              </w:rPr>
              <w:t>及型号</w:t>
            </w:r>
          </w:p>
        </w:tc>
        <w:tc>
          <w:tcPr>
            <w:tcW w:w="2728" w:type="dxa"/>
            <w:noWrap w:val="0"/>
            <w:vAlign w:val="center"/>
          </w:tcPr>
          <w:p w14:paraId="69A73A69">
            <w:pPr>
              <w:jc w:val="center"/>
              <w:rPr>
                <w:rFonts w:ascii="宋体" w:hAnsi="宋体" w:eastAsia="宋体" w:cs="宋体"/>
                <w:szCs w:val="21"/>
              </w:rPr>
            </w:pPr>
            <w:r>
              <w:rPr>
                <w:rFonts w:hint="eastAsia" w:ascii="宋体" w:hAnsi="宋体" w:eastAsia="宋体" w:cs="宋体"/>
                <w:szCs w:val="21"/>
              </w:rPr>
              <w:t>额定速度</w:t>
            </w:r>
          </w:p>
        </w:tc>
        <w:tc>
          <w:tcPr>
            <w:tcW w:w="2730" w:type="dxa"/>
            <w:noWrap w:val="0"/>
            <w:vAlign w:val="center"/>
          </w:tcPr>
          <w:p w14:paraId="3B5A13A9">
            <w:pPr>
              <w:jc w:val="center"/>
              <w:rPr>
                <w:rFonts w:ascii="宋体" w:hAnsi="宋体" w:eastAsia="宋体" w:cs="宋体"/>
                <w:spacing w:val="-8"/>
                <w:szCs w:val="21"/>
              </w:rPr>
            </w:pPr>
            <w:r>
              <w:rPr>
                <w:rFonts w:hint="eastAsia" w:ascii="宋体" w:hAnsi="宋体" w:cs="宋体"/>
                <w:szCs w:val="21"/>
                <w:lang w:val="en-US" w:eastAsia="zh-CN"/>
              </w:rPr>
              <w:t>额定</w:t>
            </w:r>
            <w:r>
              <w:rPr>
                <w:rFonts w:hint="eastAsia" w:ascii="宋体" w:hAnsi="宋体" w:eastAsia="宋体" w:cs="宋体"/>
                <w:szCs w:val="21"/>
              </w:rPr>
              <w:t>载重</w:t>
            </w:r>
          </w:p>
        </w:tc>
      </w:tr>
      <w:tr w14:paraId="3926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443483A9">
            <w:pPr>
              <w:jc w:val="center"/>
              <w:rPr>
                <w:rFonts w:hint="eastAsia" w:ascii="宋体" w:hAnsi="宋体" w:eastAsia="宋体" w:cs="宋体"/>
                <w:szCs w:val="21"/>
                <w:lang w:val="en-US" w:eastAsia="zh-CN"/>
              </w:rPr>
            </w:pPr>
          </w:p>
        </w:tc>
        <w:tc>
          <w:tcPr>
            <w:tcW w:w="2728" w:type="dxa"/>
            <w:noWrap w:val="0"/>
            <w:vAlign w:val="center"/>
          </w:tcPr>
          <w:p w14:paraId="6C14B1B3">
            <w:pPr>
              <w:jc w:val="center"/>
              <w:rPr>
                <w:rFonts w:ascii="宋体" w:hAnsi="宋体" w:eastAsia="宋体" w:cs="宋体"/>
                <w:szCs w:val="21"/>
              </w:rPr>
            </w:pPr>
          </w:p>
        </w:tc>
        <w:tc>
          <w:tcPr>
            <w:tcW w:w="2728" w:type="dxa"/>
            <w:noWrap w:val="0"/>
            <w:vAlign w:val="center"/>
          </w:tcPr>
          <w:p w14:paraId="310EE58D">
            <w:pPr>
              <w:jc w:val="center"/>
              <w:rPr>
                <w:rFonts w:ascii="宋体" w:hAnsi="宋体" w:eastAsia="宋体" w:cs="宋体"/>
                <w:szCs w:val="21"/>
              </w:rPr>
            </w:pPr>
          </w:p>
        </w:tc>
        <w:tc>
          <w:tcPr>
            <w:tcW w:w="2730" w:type="dxa"/>
            <w:noWrap w:val="0"/>
            <w:vAlign w:val="center"/>
          </w:tcPr>
          <w:p w14:paraId="4798F524">
            <w:pPr>
              <w:jc w:val="center"/>
              <w:rPr>
                <w:rFonts w:ascii="宋体" w:hAnsi="宋体" w:eastAsia="宋体" w:cs="宋体"/>
                <w:spacing w:val="-8"/>
                <w:szCs w:val="21"/>
              </w:rPr>
            </w:pPr>
          </w:p>
        </w:tc>
      </w:tr>
      <w:tr w14:paraId="4845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121ECE8B">
            <w:pPr>
              <w:jc w:val="center"/>
              <w:rPr>
                <w:rFonts w:hint="eastAsia" w:ascii="宋体" w:hAnsi="宋体" w:eastAsia="宋体" w:cs="宋体"/>
                <w:szCs w:val="21"/>
                <w:lang w:val="en-US" w:eastAsia="zh-CN"/>
              </w:rPr>
            </w:pPr>
          </w:p>
        </w:tc>
        <w:tc>
          <w:tcPr>
            <w:tcW w:w="2728" w:type="dxa"/>
            <w:noWrap w:val="0"/>
            <w:vAlign w:val="center"/>
          </w:tcPr>
          <w:p w14:paraId="081248BE">
            <w:pPr>
              <w:jc w:val="center"/>
              <w:rPr>
                <w:rFonts w:ascii="宋体" w:hAnsi="宋体" w:eastAsia="宋体" w:cs="宋体"/>
                <w:szCs w:val="21"/>
              </w:rPr>
            </w:pPr>
            <w:r>
              <w:rPr>
                <w:rFonts w:hint="eastAsia" w:ascii="宋体" w:hAnsi="宋体" w:eastAsia="宋体" w:cs="宋体"/>
                <w:szCs w:val="21"/>
              </w:rPr>
              <w:t>设备</w:t>
            </w:r>
            <w:r>
              <w:rPr>
                <w:rFonts w:hint="eastAsia" w:ascii="宋体" w:hAnsi="宋体" w:eastAsia="宋体" w:cs="宋体"/>
                <w:szCs w:val="21"/>
                <w:lang w:val="en-US" w:eastAsia="zh-CN"/>
              </w:rPr>
              <w:t>报价</w:t>
            </w:r>
            <w:r>
              <w:rPr>
                <w:rFonts w:hint="eastAsia" w:ascii="宋体" w:hAnsi="宋体" w:eastAsia="宋体" w:cs="宋体"/>
                <w:szCs w:val="21"/>
              </w:rPr>
              <w:t>(元)</w:t>
            </w:r>
          </w:p>
        </w:tc>
        <w:tc>
          <w:tcPr>
            <w:tcW w:w="2728" w:type="dxa"/>
            <w:noWrap w:val="0"/>
            <w:vAlign w:val="center"/>
          </w:tcPr>
          <w:p w14:paraId="0CA1D00E">
            <w:pPr>
              <w:jc w:val="center"/>
              <w:rPr>
                <w:rFonts w:ascii="宋体" w:hAnsi="宋体" w:eastAsia="宋体" w:cs="宋体"/>
                <w:szCs w:val="21"/>
              </w:rPr>
            </w:pPr>
            <w:r>
              <w:rPr>
                <w:rFonts w:hint="eastAsia" w:ascii="宋体" w:hAnsi="宋体" w:eastAsia="宋体" w:cs="宋体"/>
                <w:szCs w:val="21"/>
              </w:rPr>
              <w:t>运输</w:t>
            </w:r>
            <w:r>
              <w:rPr>
                <w:rFonts w:hint="eastAsia" w:ascii="宋体" w:hAnsi="宋体" w:eastAsia="宋体" w:cs="宋体"/>
                <w:szCs w:val="21"/>
                <w:lang w:val="en-US" w:eastAsia="zh-CN"/>
              </w:rPr>
              <w:t>费报价(元)</w:t>
            </w:r>
          </w:p>
        </w:tc>
        <w:tc>
          <w:tcPr>
            <w:tcW w:w="2730" w:type="dxa"/>
            <w:noWrap w:val="0"/>
            <w:vAlign w:val="center"/>
          </w:tcPr>
          <w:p w14:paraId="4FBF9BF7">
            <w:pPr>
              <w:jc w:val="center"/>
              <w:rPr>
                <w:rFonts w:ascii="宋体" w:hAnsi="宋体" w:eastAsia="宋体" w:cs="宋体"/>
                <w:spacing w:val="-8"/>
                <w:szCs w:val="21"/>
              </w:rPr>
            </w:pPr>
            <w:r>
              <w:rPr>
                <w:rFonts w:hint="eastAsia" w:ascii="宋体" w:hAnsi="宋体" w:eastAsia="宋体" w:cs="宋体"/>
                <w:spacing w:val="-8"/>
                <w:szCs w:val="21"/>
                <w:lang w:val="en-US" w:eastAsia="zh-CN"/>
              </w:rPr>
              <w:t>拆除安装费报价(元)</w:t>
            </w:r>
          </w:p>
        </w:tc>
      </w:tr>
      <w:tr w14:paraId="499C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4DD532C4">
            <w:pPr>
              <w:jc w:val="center"/>
              <w:rPr>
                <w:rFonts w:hint="eastAsia" w:ascii="宋体" w:hAnsi="宋体" w:eastAsia="宋体" w:cs="宋体"/>
                <w:szCs w:val="21"/>
                <w:lang w:val="en-US" w:eastAsia="zh-CN"/>
              </w:rPr>
            </w:pPr>
          </w:p>
        </w:tc>
        <w:tc>
          <w:tcPr>
            <w:tcW w:w="2728" w:type="dxa"/>
            <w:noWrap w:val="0"/>
            <w:vAlign w:val="center"/>
          </w:tcPr>
          <w:p w14:paraId="13C9E302">
            <w:pPr>
              <w:jc w:val="center"/>
              <w:rPr>
                <w:rFonts w:ascii="宋体" w:hAnsi="宋体" w:eastAsia="宋体" w:cs="宋体"/>
                <w:szCs w:val="21"/>
              </w:rPr>
            </w:pPr>
          </w:p>
        </w:tc>
        <w:tc>
          <w:tcPr>
            <w:tcW w:w="2728" w:type="dxa"/>
            <w:noWrap w:val="0"/>
            <w:vAlign w:val="center"/>
          </w:tcPr>
          <w:p w14:paraId="289346D3">
            <w:pPr>
              <w:jc w:val="center"/>
              <w:rPr>
                <w:rFonts w:ascii="宋体" w:hAnsi="宋体" w:eastAsia="宋体" w:cs="宋体"/>
                <w:szCs w:val="21"/>
              </w:rPr>
            </w:pPr>
          </w:p>
        </w:tc>
        <w:tc>
          <w:tcPr>
            <w:tcW w:w="2730" w:type="dxa"/>
            <w:noWrap w:val="0"/>
            <w:vAlign w:val="center"/>
          </w:tcPr>
          <w:p w14:paraId="1B55162F">
            <w:pPr>
              <w:jc w:val="center"/>
              <w:rPr>
                <w:rFonts w:ascii="宋体" w:hAnsi="宋体" w:eastAsia="宋体" w:cs="宋体"/>
                <w:spacing w:val="-8"/>
                <w:szCs w:val="21"/>
              </w:rPr>
            </w:pPr>
          </w:p>
        </w:tc>
      </w:tr>
      <w:tr w14:paraId="27FA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1DFA35CE">
            <w:pPr>
              <w:jc w:val="center"/>
              <w:rPr>
                <w:rFonts w:hint="eastAsia" w:ascii="宋体" w:hAnsi="宋体" w:eastAsia="宋体" w:cs="宋体"/>
                <w:szCs w:val="21"/>
                <w:lang w:val="en-US" w:eastAsia="zh-CN"/>
              </w:rPr>
            </w:pPr>
          </w:p>
        </w:tc>
        <w:tc>
          <w:tcPr>
            <w:tcW w:w="2728" w:type="dxa"/>
            <w:noWrap w:val="0"/>
            <w:vAlign w:val="center"/>
          </w:tcPr>
          <w:p w14:paraId="6C2071A1">
            <w:pPr>
              <w:jc w:val="center"/>
              <w:rPr>
                <w:rFonts w:ascii="宋体" w:hAnsi="宋体" w:eastAsia="宋体" w:cs="宋体"/>
                <w:szCs w:val="21"/>
              </w:rPr>
            </w:pPr>
            <w:r>
              <w:rPr>
                <w:rFonts w:hint="eastAsia" w:ascii="宋体" w:hAnsi="宋体" w:eastAsia="宋体" w:cs="宋体"/>
                <w:szCs w:val="21"/>
                <w:lang w:val="en-US" w:eastAsia="zh-CN"/>
              </w:rPr>
              <w:t>旧梯回收报价</w:t>
            </w:r>
            <w:r>
              <w:rPr>
                <w:rFonts w:hint="eastAsia" w:ascii="宋体" w:hAnsi="宋体" w:cs="宋体"/>
                <w:szCs w:val="21"/>
                <w:lang w:val="en-US" w:eastAsia="zh-CN"/>
              </w:rPr>
              <w:t>（元）</w:t>
            </w:r>
          </w:p>
        </w:tc>
        <w:tc>
          <w:tcPr>
            <w:tcW w:w="2728" w:type="dxa"/>
            <w:noWrap w:val="0"/>
            <w:vAlign w:val="center"/>
          </w:tcPr>
          <w:p w14:paraId="09D7FAC2">
            <w:pPr>
              <w:jc w:val="center"/>
              <w:rPr>
                <w:rFonts w:ascii="宋体" w:hAnsi="宋体" w:eastAsia="宋体" w:cs="宋体"/>
                <w:szCs w:val="21"/>
              </w:rPr>
            </w:pPr>
          </w:p>
        </w:tc>
        <w:tc>
          <w:tcPr>
            <w:tcW w:w="2730" w:type="dxa"/>
            <w:noWrap w:val="0"/>
            <w:vAlign w:val="center"/>
          </w:tcPr>
          <w:p w14:paraId="45ED05E4">
            <w:pPr>
              <w:jc w:val="center"/>
              <w:rPr>
                <w:rFonts w:ascii="宋体" w:hAnsi="宋体" w:eastAsia="宋体" w:cs="宋体"/>
                <w:spacing w:val="-8"/>
                <w:szCs w:val="21"/>
              </w:rPr>
            </w:pPr>
          </w:p>
        </w:tc>
      </w:tr>
      <w:tr w14:paraId="2D06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1C4069E0">
            <w:pPr>
              <w:jc w:val="center"/>
              <w:rPr>
                <w:rFonts w:hint="eastAsia" w:ascii="宋体" w:hAnsi="宋体" w:eastAsia="宋体" w:cs="宋体"/>
                <w:szCs w:val="21"/>
                <w:lang w:val="en-US" w:eastAsia="zh-CN"/>
              </w:rPr>
            </w:pPr>
          </w:p>
        </w:tc>
        <w:tc>
          <w:tcPr>
            <w:tcW w:w="2728" w:type="dxa"/>
            <w:noWrap w:val="0"/>
            <w:vAlign w:val="center"/>
          </w:tcPr>
          <w:p w14:paraId="70B00A33">
            <w:pPr>
              <w:jc w:val="center"/>
              <w:rPr>
                <w:rFonts w:ascii="宋体" w:hAnsi="宋体" w:eastAsia="宋体" w:cs="宋体"/>
                <w:szCs w:val="21"/>
              </w:rPr>
            </w:pPr>
          </w:p>
        </w:tc>
        <w:tc>
          <w:tcPr>
            <w:tcW w:w="2728" w:type="dxa"/>
            <w:noWrap w:val="0"/>
            <w:vAlign w:val="center"/>
          </w:tcPr>
          <w:p w14:paraId="2DCCF603">
            <w:pPr>
              <w:jc w:val="center"/>
              <w:rPr>
                <w:rFonts w:ascii="宋体" w:hAnsi="宋体" w:eastAsia="宋体" w:cs="宋体"/>
                <w:szCs w:val="21"/>
              </w:rPr>
            </w:pPr>
          </w:p>
        </w:tc>
        <w:tc>
          <w:tcPr>
            <w:tcW w:w="2730" w:type="dxa"/>
            <w:noWrap w:val="0"/>
            <w:vAlign w:val="center"/>
          </w:tcPr>
          <w:p w14:paraId="610008B2">
            <w:pPr>
              <w:jc w:val="center"/>
              <w:rPr>
                <w:rFonts w:ascii="宋体" w:hAnsi="宋体" w:eastAsia="宋体" w:cs="宋体"/>
                <w:spacing w:val="-8"/>
                <w:szCs w:val="21"/>
              </w:rPr>
            </w:pPr>
          </w:p>
        </w:tc>
      </w:tr>
      <w:tr w14:paraId="2E19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restart"/>
            <w:noWrap w:val="0"/>
            <w:vAlign w:val="center"/>
          </w:tcPr>
          <w:p w14:paraId="63C1812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9号  电梯</w:t>
            </w:r>
          </w:p>
        </w:tc>
        <w:tc>
          <w:tcPr>
            <w:tcW w:w="2728" w:type="dxa"/>
            <w:noWrap w:val="0"/>
            <w:vAlign w:val="center"/>
          </w:tcPr>
          <w:p w14:paraId="5A49B0D5">
            <w:pPr>
              <w:jc w:val="center"/>
              <w:rPr>
                <w:rFonts w:ascii="宋体" w:hAnsi="宋体" w:eastAsia="宋体" w:cs="宋体"/>
                <w:szCs w:val="21"/>
              </w:rPr>
            </w:pPr>
            <w:r>
              <w:rPr>
                <w:rFonts w:hint="eastAsia" w:ascii="宋体" w:hAnsi="宋体" w:eastAsia="宋体" w:cs="宋体"/>
                <w:szCs w:val="21"/>
              </w:rPr>
              <w:t>投标产品品牌</w:t>
            </w:r>
            <w:r>
              <w:rPr>
                <w:rFonts w:hint="eastAsia" w:ascii="宋体" w:hAnsi="宋体" w:eastAsia="宋体" w:cs="宋体"/>
                <w:szCs w:val="21"/>
                <w:lang w:val="en-US" w:eastAsia="zh-CN"/>
              </w:rPr>
              <w:t>及型号</w:t>
            </w:r>
          </w:p>
        </w:tc>
        <w:tc>
          <w:tcPr>
            <w:tcW w:w="2728" w:type="dxa"/>
            <w:noWrap w:val="0"/>
            <w:vAlign w:val="center"/>
          </w:tcPr>
          <w:p w14:paraId="636FB2E2">
            <w:pPr>
              <w:jc w:val="center"/>
              <w:rPr>
                <w:rFonts w:ascii="宋体" w:hAnsi="宋体" w:eastAsia="宋体" w:cs="宋体"/>
                <w:szCs w:val="21"/>
              </w:rPr>
            </w:pPr>
            <w:r>
              <w:rPr>
                <w:rFonts w:hint="eastAsia" w:ascii="宋体" w:hAnsi="宋体" w:eastAsia="宋体" w:cs="宋体"/>
                <w:szCs w:val="21"/>
              </w:rPr>
              <w:t>额定速度</w:t>
            </w:r>
          </w:p>
        </w:tc>
        <w:tc>
          <w:tcPr>
            <w:tcW w:w="2730" w:type="dxa"/>
            <w:noWrap w:val="0"/>
            <w:vAlign w:val="center"/>
          </w:tcPr>
          <w:p w14:paraId="25859647">
            <w:pPr>
              <w:jc w:val="center"/>
              <w:rPr>
                <w:rFonts w:ascii="宋体" w:hAnsi="宋体" w:eastAsia="宋体" w:cs="宋体"/>
                <w:spacing w:val="-8"/>
                <w:szCs w:val="21"/>
              </w:rPr>
            </w:pPr>
            <w:r>
              <w:rPr>
                <w:rFonts w:hint="eastAsia" w:ascii="宋体" w:hAnsi="宋体" w:cs="宋体"/>
                <w:szCs w:val="21"/>
                <w:lang w:val="en-US" w:eastAsia="zh-CN"/>
              </w:rPr>
              <w:t>额定</w:t>
            </w:r>
            <w:r>
              <w:rPr>
                <w:rFonts w:hint="eastAsia" w:ascii="宋体" w:hAnsi="宋体" w:eastAsia="宋体" w:cs="宋体"/>
                <w:szCs w:val="21"/>
              </w:rPr>
              <w:t>载重</w:t>
            </w:r>
          </w:p>
        </w:tc>
      </w:tr>
      <w:tr w14:paraId="2D53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606189DF">
            <w:pPr>
              <w:jc w:val="center"/>
              <w:rPr>
                <w:rFonts w:hint="eastAsia" w:ascii="宋体" w:hAnsi="宋体" w:eastAsia="宋体" w:cs="宋体"/>
                <w:szCs w:val="21"/>
                <w:lang w:val="en-US" w:eastAsia="zh-CN"/>
              </w:rPr>
            </w:pPr>
          </w:p>
        </w:tc>
        <w:tc>
          <w:tcPr>
            <w:tcW w:w="2728" w:type="dxa"/>
            <w:noWrap w:val="0"/>
            <w:vAlign w:val="center"/>
          </w:tcPr>
          <w:p w14:paraId="5235BAE6">
            <w:pPr>
              <w:jc w:val="center"/>
              <w:rPr>
                <w:rFonts w:ascii="宋体" w:hAnsi="宋体" w:eastAsia="宋体" w:cs="宋体"/>
                <w:szCs w:val="21"/>
              </w:rPr>
            </w:pPr>
          </w:p>
        </w:tc>
        <w:tc>
          <w:tcPr>
            <w:tcW w:w="2728" w:type="dxa"/>
            <w:noWrap w:val="0"/>
            <w:vAlign w:val="center"/>
          </w:tcPr>
          <w:p w14:paraId="1267EC6A">
            <w:pPr>
              <w:jc w:val="center"/>
              <w:rPr>
                <w:rFonts w:ascii="宋体" w:hAnsi="宋体" w:eastAsia="宋体" w:cs="宋体"/>
                <w:szCs w:val="21"/>
              </w:rPr>
            </w:pPr>
          </w:p>
        </w:tc>
        <w:tc>
          <w:tcPr>
            <w:tcW w:w="2730" w:type="dxa"/>
            <w:noWrap w:val="0"/>
            <w:vAlign w:val="center"/>
          </w:tcPr>
          <w:p w14:paraId="1EE1F36F">
            <w:pPr>
              <w:jc w:val="center"/>
              <w:rPr>
                <w:rFonts w:ascii="宋体" w:hAnsi="宋体" w:eastAsia="宋体" w:cs="宋体"/>
                <w:spacing w:val="-8"/>
                <w:szCs w:val="21"/>
              </w:rPr>
            </w:pPr>
          </w:p>
        </w:tc>
      </w:tr>
      <w:tr w14:paraId="11A3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6B90E66B">
            <w:pPr>
              <w:jc w:val="center"/>
              <w:rPr>
                <w:rFonts w:hint="eastAsia" w:ascii="宋体" w:hAnsi="宋体" w:eastAsia="宋体" w:cs="宋体"/>
                <w:szCs w:val="21"/>
                <w:lang w:val="en-US" w:eastAsia="zh-CN"/>
              </w:rPr>
            </w:pPr>
          </w:p>
        </w:tc>
        <w:tc>
          <w:tcPr>
            <w:tcW w:w="2728" w:type="dxa"/>
            <w:noWrap w:val="0"/>
            <w:vAlign w:val="center"/>
          </w:tcPr>
          <w:p w14:paraId="122F01CF">
            <w:pPr>
              <w:jc w:val="center"/>
              <w:rPr>
                <w:rFonts w:ascii="宋体" w:hAnsi="宋体" w:eastAsia="宋体" w:cs="宋体"/>
                <w:szCs w:val="21"/>
              </w:rPr>
            </w:pPr>
            <w:r>
              <w:rPr>
                <w:rFonts w:hint="eastAsia" w:ascii="宋体" w:hAnsi="宋体" w:eastAsia="宋体" w:cs="宋体"/>
                <w:szCs w:val="21"/>
              </w:rPr>
              <w:t>设备</w:t>
            </w:r>
            <w:r>
              <w:rPr>
                <w:rFonts w:hint="eastAsia" w:ascii="宋体" w:hAnsi="宋体" w:eastAsia="宋体" w:cs="宋体"/>
                <w:szCs w:val="21"/>
                <w:lang w:val="en-US" w:eastAsia="zh-CN"/>
              </w:rPr>
              <w:t>报价</w:t>
            </w:r>
            <w:r>
              <w:rPr>
                <w:rFonts w:hint="eastAsia" w:ascii="宋体" w:hAnsi="宋体" w:eastAsia="宋体" w:cs="宋体"/>
                <w:szCs w:val="21"/>
              </w:rPr>
              <w:t>(元)</w:t>
            </w:r>
          </w:p>
        </w:tc>
        <w:tc>
          <w:tcPr>
            <w:tcW w:w="2728" w:type="dxa"/>
            <w:noWrap w:val="0"/>
            <w:vAlign w:val="center"/>
          </w:tcPr>
          <w:p w14:paraId="31CCE468">
            <w:pPr>
              <w:jc w:val="center"/>
              <w:rPr>
                <w:rFonts w:ascii="宋体" w:hAnsi="宋体" w:eastAsia="宋体" w:cs="宋体"/>
                <w:szCs w:val="21"/>
              </w:rPr>
            </w:pPr>
            <w:r>
              <w:rPr>
                <w:rFonts w:hint="eastAsia" w:ascii="宋体" w:hAnsi="宋体" w:eastAsia="宋体" w:cs="宋体"/>
                <w:szCs w:val="21"/>
              </w:rPr>
              <w:t>运输</w:t>
            </w:r>
            <w:r>
              <w:rPr>
                <w:rFonts w:hint="eastAsia" w:ascii="宋体" w:hAnsi="宋体" w:eastAsia="宋体" w:cs="宋体"/>
                <w:szCs w:val="21"/>
                <w:lang w:val="en-US" w:eastAsia="zh-CN"/>
              </w:rPr>
              <w:t>费报价(元)</w:t>
            </w:r>
          </w:p>
        </w:tc>
        <w:tc>
          <w:tcPr>
            <w:tcW w:w="2730" w:type="dxa"/>
            <w:noWrap w:val="0"/>
            <w:vAlign w:val="center"/>
          </w:tcPr>
          <w:p w14:paraId="65B75561">
            <w:pPr>
              <w:jc w:val="center"/>
              <w:rPr>
                <w:rFonts w:ascii="宋体" w:hAnsi="宋体" w:eastAsia="宋体" w:cs="宋体"/>
                <w:spacing w:val="-8"/>
                <w:szCs w:val="21"/>
              </w:rPr>
            </w:pPr>
            <w:r>
              <w:rPr>
                <w:rFonts w:hint="eastAsia" w:ascii="宋体" w:hAnsi="宋体" w:eastAsia="宋体" w:cs="宋体"/>
                <w:spacing w:val="-8"/>
                <w:szCs w:val="21"/>
                <w:lang w:val="en-US" w:eastAsia="zh-CN"/>
              </w:rPr>
              <w:t>拆除安装费报价(元)</w:t>
            </w:r>
          </w:p>
        </w:tc>
      </w:tr>
      <w:tr w14:paraId="009CC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589B0D83">
            <w:pPr>
              <w:jc w:val="center"/>
              <w:rPr>
                <w:rFonts w:hint="eastAsia" w:ascii="宋体" w:hAnsi="宋体" w:eastAsia="宋体" w:cs="宋体"/>
                <w:szCs w:val="21"/>
                <w:lang w:val="en-US" w:eastAsia="zh-CN"/>
              </w:rPr>
            </w:pPr>
          </w:p>
        </w:tc>
        <w:tc>
          <w:tcPr>
            <w:tcW w:w="2728" w:type="dxa"/>
            <w:noWrap w:val="0"/>
            <w:vAlign w:val="center"/>
          </w:tcPr>
          <w:p w14:paraId="761AB870">
            <w:pPr>
              <w:jc w:val="center"/>
              <w:rPr>
                <w:rFonts w:ascii="宋体" w:hAnsi="宋体" w:eastAsia="宋体" w:cs="宋体"/>
                <w:szCs w:val="21"/>
              </w:rPr>
            </w:pPr>
          </w:p>
        </w:tc>
        <w:tc>
          <w:tcPr>
            <w:tcW w:w="2728" w:type="dxa"/>
            <w:noWrap w:val="0"/>
            <w:vAlign w:val="center"/>
          </w:tcPr>
          <w:p w14:paraId="04596DE8">
            <w:pPr>
              <w:jc w:val="center"/>
              <w:rPr>
                <w:rFonts w:ascii="宋体" w:hAnsi="宋体" w:eastAsia="宋体" w:cs="宋体"/>
                <w:szCs w:val="21"/>
              </w:rPr>
            </w:pPr>
          </w:p>
        </w:tc>
        <w:tc>
          <w:tcPr>
            <w:tcW w:w="2730" w:type="dxa"/>
            <w:noWrap w:val="0"/>
            <w:vAlign w:val="center"/>
          </w:tcPr>
          <w:p w14:paraId="0B80FE87">
            <w:pPr>
              <w:jc w:val="center"/>
              <w:rPr>
                <w:rFonts w:ascii="宋体" w:hAnsi="宋体" w:eastAsia="宋体" w:cs="宋体"/>
                <w:spacing w:val="-8"/>
                <w:szCs w:val="21"/>
              </w:rPr>
            </w:pPr>
          </w:p>
        </w:tc>
      </w:tr>
      <w:tr w14:paraId="1942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25D7BD0B">
            <w:pPr>
              <w:jc w:val="center"/>
              <w:rPr>
                <w:rFonts w:hint="eastAsia" w:ascii="宋体" w:hAnsi="宋体" w:eastAsia="宋体" w:cs="宋体"/>
                <w:szCs w:val="21"/>
                <w:lang w:val="en-US" w:eastAsia="zh-CN"/>
              </w:rPr>
            </w:pPr>
          </w:p>
        </w:tc>
        <w:tc>
          <w:tcPr>
            <w:tcW w:w="2728" w:type="dxa"/>
            <w:noWrap w:val="0"/>
            <w:vAlign w:val="center"/>
          </w:tcPr>
          <w:p w14:paraId="27B3EC95">
            <w:pPr>
              <w:jc w:val="center"/>
              <w:rPr>
                <w:rFonts w:ascii="宋体" w:hAnsi="宋体" w:eastAsia="宋体" w:cs="宋体"/>
                <w:szCs w:val="21"/>
              </w:rPr>
            </w:pPr>
            <w:r>
              <w:rPr>
                <w:rFonts w:hint="eastAsia" w:ascii="宋体" w:hAnsi="宋体" w:eastAsia="宋体" w:cs="宋体"/>
                <w:szCs w:val="21"/>
                <w:lang w:val="en-US" w:eastAsia="zh-CN"/>
              </w:rPr>
              <w:t>旧梯回收报价</w:t>
            </w:r>
            <w:r>
              <w:rPr>
                <w:rFonts w:hint="eastAsia" w:ascii="宋体" w:hAnsi="宋体" w:cs="宋体"/>
                <w:szCs w:val="21"/>
                <w:lang w:val="en-US" w:eastAsia="zh-CN"/>
              </w:rPr>
              <w:t>（元）</w:t>
            </w:r>
          </w:p>
        </w:tc>
        <w:tc>
          <w:tcPr>
            <w:tcW w:w="2728" w:type="dxa"/>
            <w:noWrap w:val="0"/>
            <w:vAlign w:val="center"/>
          </w:tcPr>
          <w:p w14:paraId="42FE5180">
            <w:pPr>
              <w:jc w:val="center"/>
              <w:rPr>
                <w:rFonts w:ascii="宋体" w:hAnsi="宋体" w:eastAsia="宋体" w:cs="宋体"/>
                <w:szCs w:val="21"/>
              </w:rPr>
            </w:pPr>
          </w:p>
        </w:tc>
        <w:tc>
          <w:tcPr>
            <w:tcW w:w="2730" w:type="dxa"/>
            <w:noWrap w:val="0"/>
            <w:vAlign w:val="center"/>
          </w:tcPr>
          <w:p w14:paraId="2700403B">
            <w:pPr>
              <w:jc w:val="center"/>
              <w:rPr>
                <w:rFonts w:ascii="宋体" w:hAnsi="宋体" w:eastAsia="宋体" w:cs="宋体"/>
                <w:spacing w:val="-8"/>
                <w:szCs w:val="21"/>
              </w:rPr>
            </w:pPr>
          </w:p>
        </w:tc>
      </w:tr>
      <w:tr w14:paraId="6DA7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6FDC15B0">
            <w:pPr>
              <w:jc w:val="center"/>
              <w:rPr>
                <w:rFonts w:hint="eastAsia" w:ascii="宋体" w:hAnsi="宋体" w:eastAsia="宋体" w:cs="宋体"/>
                <w:szCs w:val="21"/>
                <w:lang w:val="en-US" w:eastAsia="zh-CN"/>
              </w:rPr>
            </w:pPr>
          </w:p>
        </w:tc>
        <w:tc>
          <w:tcPr>
            <w:tcW w:w="2728" w:type="dxa"/>
            <w:noWrap w:val="0"/>
            <w:vAlign w:val="center"/>
          </w:tcPr>
          <w:p w14:paraId="67EA43B6">
            <w:pPr>
              <w:jc w:val="center"/>
              <w:rPr>
                <w:rFonts w:ascii="宋体" w:hAnsi="宋体" w:eastAsia="宋体" w:cs="宋体"/>
                <w:szCs w:val="21"/>
              </w:rPr>
            </w:pPr>
          </w:p>
        </w:tc>
        <w:tc>
          <w:tcPr>
            <w:tcW w:w="2728" w:type="dxa"/>
            <w:noWrap w:val="0"/>
            <w:vAlign w:val="center"/>
          </w:tcPr>
          <w:p w14:paraId="715F68E1">
            <w:pPr>
              <w:jc w:val="center"/>
              <w:rPr>
                <w:rFonts w:ascii="宋体" w:hAnsi="宋体" w:eastAsia="宋体" w:cs="宋体"/>
                <w:szCs w:val="21"/>
              </w:rPr>
            </w:pPr>
          </w:p>
        </w:tc>
        <w:tc>
          <w:tcPr>
            <w:tcW w:w="2730" w:type="dxa"/>
            <w:noWrap w:val="0"/>
            <w:vAlign w:val="center"/>
          </w:tcPr>
          <w:p w14:paraId="2299C5F1">
            <w:pPr>
              <w:jc w:val="center"/>
              <w:rPr>
                <w:rFonts w:ascii="宋体" w:hAnsi="宋体" w:eastAsia="宋体" w:cs="宋体"/>
                <w:spacing w:val="-8"/>
                <w:szCs w:val="21"/>
              </w:rPr>
            </w:pPr>
          </w:p>
        </w:tc>
      </w:tr>
      <w:tr w14:paraId="3114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restart"/>
            <w:noWrap w:val="0"/>
            <w:vAlign w:val="center"/>
          </w:tcPr>
          <w:p w14:paraId="56BEBE9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10号  电梯</w:t>
            </w:r>
          </w:p>
        </w:tc>
        <w:tc>
          <w:tcPr>
            <w:tcW w:w="2728" w:type="dxa"/>
            <w:noWrap w:val="0"/>
            <w:vAlign w:val="center"/>
          </w:tcPr>
          <w:p w14:paraId="1AA64F14">
            <w:pPr>
              <w:jc w:val="center"/>
              <w:rPr>
                <w:rFonts w:ascii="宋体" w:hAnsi="宋体" w:eastAsia="宋体" w:cs="宋体"/>
                <w:szCs w:val="21"/>
              </w:rPr>
            </w:pPr>
            <w:r>
              <w:rPr>
                <w:rFonts w:hint="eastAsia" w:ascii="宋体" w:hAnsi="宋体" w:eastAsia="宋体" w:cs="宋体"/>
                <w:szCs w:val="21"/>
              </w:rPr>
              <w:t>投标产品品牌</w:t>
            </w:r>
            <w:r>
              <w:rPr>
                <w:rFonts w:hint="eastAsia" w:ascii="宋体" w:hAnsi="宋体" w:eastAsia="宋体" w:cs="宋体"/>
                <w:szCs w:val="21"/>
                <w:lang w:val="en-US" w:eastAsia="zh-CN"/>
              </w:rPr>
              <w:t>及型号</w:t>
            </w:r>
          </w:p>
        </w:tc>
        <w:tc>
          <w:tcPr>
            <w:tcW w:w="2728" w:type="dxa"/>
            <w:noWrap w:val="0"/>
            <w:vAlign w:val="center"/>
          </w:tcPr>
          <w:p w14:paraId="525C783F">
            <w:pPr>
              <w:jc w:val="center"/>
              <w:rPr>
                <w:rFonts w:ascii="宋体" w:hAnsi="宋体" w:eastAsia="宋体" w:cs="宋体"/>
                <w:szCs w:val="21"/>
              </w:rPr>
            </w:pPr>
            <w:r>
              <w:rPr>
                <w:rFonts w:hint="eastAsia" w:ascii="宋体" w:hAnsi="宋体" w:eastAsia="宋体" w:cs="宋体"/>
                <w:szCs w:val="21"/>
              </w:rPr>
              <w:t>额定速度</w:t>
            </w:r>
          </w:p>
        </w:tc>
        <w:tc>
          <w:tcPr>
            <w:tcW w:w="2730" w:type="dxa"/>
            <w:noWrap w:val="0"/>
            <w:vAlign w:val="center"/>
          </w:tcPr>
          <w:p w14:paraId="318E92DD">
            <w:pPr>
              <w:jc w:val="center"/>
              <w:rPr>
                <w:rFonts w:ascii="宋体" w:hAnsi="宋体" w:eastAsia="宋体" w:cs="宋体"/>
                <w:spacing w:val="-8"/>
                <w:szCs w:val="21"/>
              </w:rPr>
            </w:pPr>
            <w:r>
              <w:rPr>
                <w:rFonts w:hint="eastAsia" w:ascii="宋体" w:hAnsi="宋体" w:cs="宋体"/>
                <w:szCs w:val="21"/>
                <w:lang w:val="en-US" w:eastAsia="zh-CN"/>
              </w:rPr>
              <w:t>额定</w:t>
            </w:r>
            <w:r>
              <w:rPr>
                <w:rFonts w:hint="eastAsia" w:ascii="宋体" w:hAnsi="宋体" w:eastAsia="宋体" w:cs="宋体"/>
                <w:szCs w:val="21"/>
              </w:rPr>
              <w:t>载重</w:t>
            </w:r>
          </w:p>
        </w:tc>
      </w:tr>
      <w:tr w14:paraId="02A1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5BBEA715">
            <w:pPr>
              <w:jc w:val="center"/>
            </w:pPr>
          </w:p>
        </w:tc>
        <w:tc>
          <w:tcPr>
            <w:tcW w:w="2728" w:type="dxa"/>
            <w:noWrap w:val="0"/>
            <w:vAlign w:val="center"/>
          </w:tcPr>
          <w:p w14:paraId="24EB7E8F">
            <w:pPr>
              <w:jc w:val="center"/>
              <w:rPr>
                <w:rFonts w:ascii="宋体" w:hAnsi="宋体" w:eastAsia="宋体" w:cs="宋体"/>
                <w:szCs w:val="21"/>
              </w:rPr>
            </w:pPr>
          </w:p>
        </w:tc>
        <w:tc>
          <w:tcPr>
            <w:tcW w:w="2728" w:type="dxa"/>
            <w:noWrap w:val="0"/>
            <w:vAlign w:val="center"/>
          </w:tcPr>
          <w:p w14:paraId="57458173">
            <w:pPr>
              <w:jc w:val="center"/>
              <w:rPr>
                <w:rFonts w:ascii="宋体" w:hAnsi="宋体" w:eastAsia="宋体" w:cs="宋体"/>
                <w:szCs w:val="21"/>
              </w:rPr>
            </w:pPr>
          </w:p>
        </w:tc>
        <w:tc>
          <w:tcPr>
            <w:tcW w:w="2730" w:type="dxa"/>
            <w:noWrap w:val="0"/>
            <w:vAlign w:val="center"/>
          </w:tcPr>
          <w:p w14:paraId="7487C4F2">
            <w:pPr>
              <w:jc w:val="center"/>
              <w:rPr>
                <w:rFonts w:ascii="宋体" w:hAnsi="宋体" w:eastAsia="宋体" w:cs="宋体"/>
                <w:spacing w:val="-8"/>
                <w:szCs w:val="21"/>
              </w:rPr>
            </w:pPr>
          </w:p>
        </w:tc>
      </w:tr>
      <w:tr w14:paraId="4792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4F778B48">
            <w:pPr>
              <w:jc w:val="center"/>
            </w:pPr>
          </w:p>
        </w:tc>
        <w:tc>
          <w:tcPr>
            <w:tcW w:w="2728" w:type="dxa"/>
            <w:noWrap w:val="0"/>
            <w:vAlign w:val="center"/>
          </w:tcPr>
          <w:p w14:paraId="2140689C">
            <w:pPr>
              <w:jc w:val="center"/>
              <w:rPr>
                <w:rFonts w:ascii="宋体" w:hAnsi="宋体" w:eastAsia="宋体" w:cs="宋体"/>
                <w:szCs w:val="21"/>
              </w:rPr>
            </w:pPr>
            <w:r>
              <w:rPr>
                <w:rFonts w:hint="eastAsia" w:ascii="宋体" w:hAnsi="宋体" w:eastAsia="宋体" w:cs="宋体"/>
                <w:szCs w:val="21"/>
              </w:rPr>
              <w:t>设备</w:t>
            </w:r>
            <w:r>
              <w:rPr>
                <w:rFonts w:hint="eastAsia" w:ascii="宋体" w:hAnsi="宋体" w:eastAsia="宋体" w:cs="宋体"/>
                <w:szCs w:val="21"/>
                <w:lang w:val="en-US" w:eastAsia="zh-CN"/>
              </w:rPr>
              <w:t>报价</w:t>
            </w:r>
            <w:r>
              <w:rPr>
                <w:rFonts w:hint="eastAsia" w:ascii="宋体" w:hAnsi="宋体" w:eastAsia="宋体" w:cs="宋体"/>
                <w:szCs w:val="21"/>
              </w:rPr>
              <w:t>(元)</w:t>
            </w:r>
          </w:p>
        </w:tc>
        <w:tc>
          <w:tcPr>
            <w:tcW w:w="2728" w:type="dxa"/>
            <w:noWrap w:val="0"/>
            <w:vAlign w:val="center"/>
          </w:tcPr>
          <w:p w14:paraId="7E9CB075">
            <w:pPr>
              <w:jc w:val="center"/>
              <w:rPr>
                <w:rFonts w:ascii="宋体" w:hAnsi="宋体" w:eastAsia="宋体" w:cs="宋体"/>
                <w:szCs w:val="21"/>
              </w:rPr>
            </w:pPr>
            <w:r>
              <w:rPr>
                <w:rFonts w:hint="eastAsia" w:ascii="宋体" w:hAnsi="宋体" w:eastAsia="宋体" w:cs="宋体"/>
                <w:szCs w:val="21"/>
              </w:rPr>
              <w:t>运输</w:t>
            </w:r>
            <w:r>
              <w:rPr>
                <w:rFonts w:hint="eastAsia" w:ascii="宋体" w:hAnsi="宋体" w:eastAsia="宋体" w:cs="宋体"/>
                <w:szCs w:val="21"/>
                <w:lang w:val="en-US" w:eastAsia="zh-CN"/>
              </w:rPr>
              <w:t>费报价(元)</w:t>
            </w:r>
          </w:p>
        </w:tc>
        <w:tc>
          <w:tcPr>
            <w:tcW w:w="2730" w:type="dxa"/>
            <w:noWrap w:val="0"/>
            <w:vAlign w:val="center"/>
          </w:tcPr>
          <w:p w14:paraId="0C800E55">
            <w:pPr>
              <w:jc w:val="center"/>
              <w:rPr>
                <w:rFonts w:ascii="宋体" w:hAnsi="宋体" w:eastAsia="宋体" w:cs="宋体"/>
                <w:spacing w:val="-8"/>
                <w:szCs w:val="21"/>
              </w:rPr>
            </w:pPr>
            <w:r>
              <w:rPr>
                <w:rFonts w:hint="eastAsia" w:ascii="宋体" w:hAnsi="宋体" w:eastAsia="宋体" w:cs="宋体"/>
                <w:spacing w:val="-8"/>
                <w:szCs w:val="21"/>
                <w:lang w:val="en-US" w:eastAsia="zh-CN"/>
              </w:rPr>
              <w:t>拆除安装费报价(元)</w:t>
            </w:r>
          </w:p>
        </w:tc>
      </w:tr>
      <w:tr w14:paraId="2A97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76089639">
            <w:pPr>
              <w:jc w:val="center"/>
            </w:pPr>
          </w:p>
        </w:tc>
        <w:tc>
          <w:tcPr>
            <w:tcW w:w="2728" w:type="dxa"/>
            <w:noWrap w:val="0"/>
            <w:vAlign w:val="center"/>
          </w:tcPr>
          <w:p w14:paraId="5E24963A">
            <w:pPr>
              <w:jc w:val="center"/>
              <w:rPr>
                <w:rFonts w:ascii="宋体" w:hAnsi="宋体" w:eastAsia="宋体" w:cs="宋体"/>
                <w:szCs w:val="21"/>
              </w:rPr>
            </w:pPr>
          </w:p>
        </w:tc>
        <w:tc>
          <w:tcPr>
            <w:tcW w:w="2728" w:type="dxa"/>
            <w:noWrap w:val="0"/>
            <w:vAlign w:val="center"/>
          </w:tcPr>
          <w:p w14:paraId="6F08ED0B">
            <w:pPr>
              <w:jc w:val="center"/>
              <w:rPr>
                <w:rFonts w:ascii="宋体" w:hAnsi="宋体" w:eastAsia="宋体" w:cs="宋体"/>
                <w:szCs w:val="21"/>
              </w:rPr>
            </w:pPr>
          </w:p>
        </w:tc>
        <w:tc>
          <w:tcPr>
            <w:tcW w:w="2730" w:type="dxa"/>
            <w:noWrap w:val="0"/>
            <w:vAlign w:val="center"/>
          </w:tcPr>
          <w:p w14:paraId="6B690D52">
            <w:pPr>
              <w:jc w:val="center"/>
              <w:rPr>
                <w:rFonts w:ascii="宋体" w:hAnsi="宋体" w:eastAsia="宋体" w:cs="宋体"/>
                <w:spacing w:val="-8"/>
                <w:szCs w:val="21"/>
              </w:rPr>
            </w:pPr>
          </w:p>
        </w:tc>
      </w:tr>
      <w:tr w14:paraId="44D2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16692A4B">
            <w:pPr>
              <w:jc w:val="center"/>
            </w:pPr>
          </w:p>
        </w:tc>
        <w:tc>
          <w:tcPr>
            <w:tcW w:w="2728" w:type="dxa"/>
            <w:noWrap w:val="0"/>
            <w:vAlign w:val="center"/>
          </w:tcPr>
          <w:p w14:paraId="29F1B092">
            <w:pPr>
              <w:jc w:val="center"/>
              <w:rPr>
                <w:rFonts w:ascii="宋体" w:hAnsi="宋体" w:eastAsia="宋体" w:cs="宋体"/>
                <w:szCs w:val="21"/>
              </w:rPr>
            </w:pPr>
            <w:r>
              <w:rPr>
                <w:rFonts w:hint="eastAsia" w:ascii="宋体" w:hAnsi="宋体" w:eastAsia="宋体" w:cs="宋体"/>
                <w:szCs w:val="21"/>
                <w:lang w:val="en-US" w:eastAsia="zh-CN"/>
              </w:rPr>
              <w:t>旧梯回收报价</w:t>
            </w:r>
            <w:r>
              <w:rPr>
                <w:rFonts w:hint="eastAsia" w:ascii="宋体" w:hAnsi="宋体" w:cs="宋体"/>
                <w:szCs w:val="21"/>
                <w:lang w:val="en-US" w:eastAsia="zh-CN"/>
              </w:rPr>
              <w:t>（元）</w:t>
            </w:r>
          </w:p>
        </w:tc>
        <w:tc>
          <w:tcPr>
            <w:tcW w:w="2728" w:type="dxa"/>
            <w:noWrap w:val="0"/>
            <w:vAlign w:val="center"/>
          </w:tcPr>
          <w:p w14:paraId="5591BECA">
            <w:pPr>
              <w:jc w:val="center"/>
              <w:rPr>
                <w:rFonts w:ascii="宋体" w:hAnsi="宋体" w:eastAsia="宋体" w:cs="宋体"/>
                <w:szCs w:val="21"/>
              </w:rPr>
            </w:pPr>
          </w:p>
        </w:tc>
        <w:tc>
          <w:tcPr>
            <w:tcW w:w="2730" w:type="dxa"/>
            <w:noWrap w:val="0"/>
            <w:vAlign w:val="center"/>
          </w:tcPr>
          <w:p w14:paraId="6F90F852">
            <w:pPr>
              <w:jc w:val="center"/>
              <w:rPr>
                <w:rFonts w:ascii="宋体" w:hAnsi="宋体" w:eastAsia="宋体" w:cs="宋体"/>
                <w:spacing w:val="-8"/>
                <w:szCs w:val="21"/>
              </w:rPr>
            </w:pPr>
          </w:p>
        </w:tc>
      </w:tr>
      <w:tr w14:paraId="5559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501ABBB9">
            <w:pPr>
              <w:jc w:val="center"/>
            </w:pPr>
          </w:p>
        </w:tc>
        <w:tc>
          <w:tcPr>
            <w:tcW w:w="2728" w:type="dxa"/>
            <w:noWrap w:val="0"/>
            <w:vAlign w:val="center"/>
          </w:tcPr>
          <w:p w14:paraId="1D3EEB2D">
            <w:pPr>
              <w:jc w:val="center"/>
              <w:rPr>
                <w:rFonts w:ascii="宋体" w:hAnsi="宋体" w:eastAsia="宋体" w:cs="宋体"/>
                <w:szCs w:val="21"/>
              </w:rPr>
            </w:pPr>
          </w:p>
        </w:tc>
        <w:tc>
          <w:tcPr>
            <w:tcW w:w="2728" w:type="dxa"/>
            <w:noWrap w:val="0"/>
            <w:vAlign w:val="center"/>
          </w:tcPr>
          <w:p w14:paraId="569EFECC">
            <w:pPr>
              <w:jc w:val="center"/>
              <w:rPr>
                <w:rFonts w:ascii="宋体" w:hAnsi="宋体" w:eastAsia="宋体" w:cs="宋体"/>
                <w:szCs w:val="21"/>
              </w:rPr>
            </w:pPr>
          </w:p>
        </w:tc>
        <w:tc>
          <w:tcPr>
            <w:tcW w:w="2730" w:type="dxa"/>
            <w:noWrap w:val="0"/>
            <w:vAlign w:val="center"/>
          </w:tcPr>
          <w:p w14:paraId="226EC3FF">
            <w:pPr>
              <w:jc w:val="center"/>
              <w:rPr>
                <w:rFonts w:ascii="宋体" w:hAnsi="宋体" w:eastAsia="宋体" w:cs="宋体"/>
                <w:spacing w:val="-8"/>
                <w:szCs w:val="21"/>
              </w:rPr>
            </w:pPr>
          </w:p>
        </w:tc>
      </w:tr>
      <w:tr w14:paraId="478D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restart"/>
            <w:noWrap w:val="0"/>
            <w:vAlign w:val="center"/>
          </w:tcPr>
          <w:p w14:paraId="0B29A23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11号</w:t>
            </w:r>
          </w:p>
          <w:p w14:paraId="4D72B629">
            <w:pPr>
              <w:jc w:val="center"/>
            </w:pPr>
            <w:r>
              <w:rPr>
                <w:rFonts w:hint="eastAsia" w:ascii="宋体" w:hAnsi="宋体" w:eastAsia="宋体" w:cs="宋体"/>
                <w:szCs w:val="21"/>
                <w:lang w:val="en-US" w:eastAsia="zh-CN"/>
              </w:rPr>
              <w:t>电梯</w:t>
            </w:r>
          </w:p>
        </w:tc>
        <w:tc>
          <w:tcPr>
            <w:tcW w:w="2728" w:type="dxa"/>
            <w:noWrap w:val="0"/>
            <w:vAlign w:val="center"/>
          </w:tcPr>
          <w:p w14:paraId="59A81B8C">
            <w:pPr>
              <w:jc w:val="center"/>
              <w:rPr>
                <w:rFonts w:ascii="宋体" w:hAnsi="宋体" w:eastAsia="宋体" w:cs="宋体"/>
                <w:kern w:val="2"/>
                <w:sz w:val="21"/>
                <w:szCs w:val="21"/>
                <w:lang w:val="en-US" w:eastAsia="zh-CN" w:bidi="ar-SA"/>
              </w:rPr>
            </w:pPr>
            <w:r>
              <w:rPr>
                <w:rFonts w:hint="eastAsia" w:ascii="宋体" w:hAnsi="宋体" w:eastAsia="宋体" w:cs="宋体"/>
                <w:szCs w:val="21"/>
              </w:rPr>
              <w:t>投标产品品牌</w:t>
            </w:r>
            <w:r>
              <w:rPr>
                <w:rFonts w:hint="eastAsia" w:ascii="宋体" w:hAnsi="宋体" w:eastAsia="宋体" w:cs="宋体"/>
                <w:szCs w:val="21"/>
                <w:lang w:val="en-US" w:eastAsia="zh-CN"/>
              </w:rPr>
              <w:t>及型号</w:t>
            </w:r>
          </w:p>
        </w:tc>
        <w:tc>
          <w:tcPr>
            <w:tcW w:w="2728" w:type="dxa"/>
            <w:noWrap w:val="0"/>
            <w:vAlign w:val="center"/>
          </w:tcPr>
          <w:p w14:paraId="63550CC6">
            <w:pPr>
              <w:jc w:val="center"/>
              <w:rPr>
                <w:rFonts w:ascii="宋体" w:hAnsi="宋体" w:eastAsia="宋体" w:cs="宋体"/>
                <w:kern w:val="2"/>
                <w:sz w:val="21"/>
                <w:szCs w:val="21"/>
                <w:lang w:val="en-US" w:eastAsia="zh-CN" w:bidi="ar-SA"/>
              </w:rPr>
            </w:pPr>
            <w:r>
              <w:rPr>
                <w:rFonts w:hint="eastAsia" w:ascii="宋体" w:hAnsi="宋体" w:eastAsia="宋体" w:cs="宋体"/>
                <w:szCs w:val="21"/>
              </w:rPr>
              <w:t>额定速度</w:t>
            </w:r>
          </w:p>
        </w:tc>
        <w:tc>
          <w:tcPr>
            <w:tcW w:w="2730" w:type="dxa"/>
            <w:noWrap w:val="0"/>
            <w:vAlign w:val="center"/>
          </w:tcPr>
          <w:p w14:paraId="4DD28DD0">
            <w:pPr>
              <w:jc w:val="center"/>
              <w:rPr>
                <w:rFonts w:ascii="宋体" w:hAnsi="宋体" w:eastAsia="宋体" w:cs="宋体"/>
                <w:spacing w:val="-8"/>
                <w:kern w:val="2"/>
                <w:sz w:val="21"/>
                <w:szCs w:val="21"/>
                <w:lang w:val="en-US" w:eastAsia="zh-CN" w:bidi="ar-SA"/>
              </w:rPr>
            </w:pPr>
            <w:r>
              <w:rPr>
                <w:rFonts w:hint="eastAsia" w:ascii="宋体" w:hAnsi="宋体" w:cs="宋体"/>
                <w:szCs w:val="21"/>
                <w:lang w:val="en-US" w:eastAsia="zh-CN"/>
              </w:rPr>
              <w:t>额定</w:t>
            </w:r>
            <w:r>
              <w:rPr>
                <w:rFonts w:hint="eastAsia" w:ascii="宋体" w:hAnsi="宋体" w:eastAsia="宋体" w:cs="宋体"/>
                <w:szCs w:val="21"/>
              </w:rPr>
              <w:t>载重</w:t>
            </w:r>
          </w:p>
        </w:tc>
      </w:tr>
      <w:tr w14:paraId="6D51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5F58DA81">
            <w:pPr>
              <w:pStyle w:val="51"/>
              <w:ind w:left="0" w:leftChars="0" w:firstLine="0" w:firstLineChars="0"/>
            </w:pPr>
          </w:p>
        </w:tc>
        <w:tc>
          <w:tcPr>
            <w:tcW w:w="2728" w:type="dxa"/>
            <w:noWrap w:val="0"/>
            <w:vAlign w:val="center"/>
          </w:tcPr>
          <w:p w14:paraId="3CACFB14">
            <w:pPr>
              <w:jc w:val="center"/>
              <w:rPr>
                <w:rFonts w:ascii="宋体" w:hAnsi="宋体" w:eastAsia="宋体" w:cs="宋体"/>
                <w:kern w:val="2"/>
                <w:sz w:val="21"/>
                <w:szCs w:val="21"/>
                <w:lang w:val="en-US" w:eastAsia="zh-CN" w:bidi="ar-SA"/>
              </w:rPr>
            </w:pPr>
          </w:p>
        </w:tc>
        <w:tc>
          <w:tcPr>
            <w:tcW w:w="2728" w:type="dxa"/>
            <w:noWrap w:val="0"/>
            <w:vAlign w:val="center"/>
          </w:tcPr>
          <w:p w14:paraId="04EE42F9">
            <w:pPr>
              <w:jc w:val="center"/>
              <w:rPr>
                <w:rFonts w:ascii="宋体" w:hAnsi="宋体" w:eastAsia="宋体" w:cs="宋体"/>
                <w:kern w:val="2"/>
                <w:sz w:val="21"/>
                <w:szCs w:val="21"/>
                <w:lang w:val="en-US" w:eastAsia="zh-CN" w:bidi="ar-SA"/>
              </w:rPr>
            </w:pPr>
          </w:p>
        </w:tc>
        <w:tc>
          <w:tcPr>
            <w:tcW w:w="2730" w:type="dxa"/>
            <w:noWrap w:val="0"/>
            <w:vAlign w:val="center"/>
          </w:tcPr>
          <w:p w14:paraId="09CB1BAD">
            <w:pPr>
              <w:jc w:val="center"/>
              <w:rPr>
                <w:rFonts w:ascii="宋体" w:hAnsi="宋体" w:eastAsia="宋体" w:cs="宋体"/>
                <w:spacing w:val="-8"/>
                <w:kern w:val="2"/>
                <w:sz w:val="21"/>
                <w:szCs w:val="21"/>
                <w:lang w:val="en-US" w:eastAsia="zh-CN" w:bidi="ar-SA"/>
              </w:rPr>
            </w:pPr>
          </w:p>
        </w:tc>
      </w:tr>
      <w:tr w14:paraId="122C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64451A37">
            <w:pPr>
              <w:pStyle w:val="51"/>
              <w:ind w:left="0" w:leftChars="0" w:firstLine="0" w:firstLineChars="0"/>
            </w:pPr>
          </w:p>
        </w:tc>
        <w:tc>
          <w:tcPr>
            <w:tcW w:w="2728" w:type="dxa"/>
            <w:noWrap w:val="0"/>
            <w:vAlign w:val="center"/>
          </w:tcPr>
          <w:p w14:paraId="2BDE4939">
            <w:pPr>
              <w:jc w:val="center"/>
              <w:rPr>
                <w:rFonts w:ascii="宋体" w:hAnsi="宋体" w:eastAsia="宋体" w:cs="宋体"/>
                <w:kern w:val="2"/>
                <w:sz w:val="21"/>
                <w:szCs w:val="21"/>
                <w:lang w:val="en-US" w:eastAsia="zh-CN" w:bidi="ar-SA"/>
              </w:rPr>
            </w:pPr>
            <w:r>
              <w:rPr>
                <w:rFonts w:hint="eastAsia" w:ascii="宋体" w:hAnsi="宋体" w:eastAsia="宋体" w:cs="宋体"/>
                <w:szCs w:val="21"/>
              </w:rPr>
              <w:t>设备</w:t>
            </w:r>
            <w:r>
              <w:rPr>
                <w:rFonts w:hint="eastAsia" w:ascii="宋体" w:hAnsi="宋体" w:eastAsia="宋体" w:cs="宋体"/>
                <w:szCs w:val="21"/>
                <w:lang w:val="en-US" w:eastAsia="zh-CN"/>
              </w:rPr>
              <w:t>报价</w:t>
            </w:r>
            <w:r>
              <w:rPr>
                <w:rFonts w:hint="eastAsia" w:ascii="宋体" w:hAnsi="宋体" w:eastAsia="宋体" w:cs="宋体"/>
                <w:szCs w:val="21"/>
              </w:rPr>
              <w:t>(元)</w:t>
            </w:r>
          </w:p>
        </w:tc>
        <w:tc>
          <w:tcPr>
            <w:tcW w:w="2728" w:type="dxa"/>
            <w:noWrap w:val="0"/>
            <w:vAlign w:val="center"/>
          </w:tcPr>
          <w:p w14:paraId="70A59206">
            <w:pPr>
              <w:jc w:val="center"/>
              <w:rPr>
                <w:rFonts w:ascii="宋体" w:hAnsi="宋体" w:eastAsia="宋体" w:cs="宋体"/>
                <w:kern w:val="2"/>
                <w:sz w:val="21"/>
                <w:szCs w:val="21"/>
                <w:lang w:val="en-US" w:eastAsia="zh-CN" w:bidi="ar-SA"/>
              </w:rPr>
            </w:pPr>
            <w:r>
              <w:rPr>
                <w:rFonts w:hint="eastAsia" w:ascii="宋体" w:hAnsi="宋体" w:eastAsia="宋体" w:cs="宋体"/>
                <w:szCs w:val="21"/>
              </w:rPr>
              <w:t>运输</w:t>
            </w:r>
            <w:r>
              <w:rPr>
                <w:rFonts w:hint="eastAsia" w:ascii="宋体" w:hAnsi="宋体" w:eastAsia="宋体" w:cs="宋体"/>
                <w:szCs w:val="21"/>
                <w:lang w:val="en-US" w:eastAsia="zh-CN"/>
              </w:rPr>
              <w:t>费报价(元)</w:t>
            </w:r>
          </w:p>
        </w:tc>
        <w:tc>
          <w:tcPr>
            <w:tcW w:w="2730" w:type="dxa"/>
            <w:noWrap w:val="0"/>
            <w:vAlign w:val="center"/>
          </w:tcPr>
          <w:p w14:paraId="15C74F74">
            <w:pPr>
              <w:jc w:val="center"/>
              <w:rPr>
                <w:rFonts w:ascii="宋体" w:hAnsi="宋体" w:eastAsia="宋体" w:cs="宋体"/>
                <w:spacing w:val="-8"/>
                <w:kern w:val="2"/>
                <w:sz w:val="21"/>
                <w:szCs w:val="21"/>
                <w:lang w:val="en-US" w:eastAsia="zh-CN" w:bidi="ar-SA"/>
              </w:rPr>
            </w:pPr>
            <w:r>
              <w:rPr>
                <w:rFonts w:hint="eastAsia" w:ascii="宋体" w:hAnsi="宋体" w:eastAsia="宋体" w:cs="宋体"/>
                <w:spacing w:val="-8"/>
                <w:szCs w:val="21"/>
                <w:lang w:val="en-US" w:eastAsia="zh-CN"/>
              </w:rPr>
              <w:t>拆除安装费报价(元)</w:t>
            </w:r>
          </w:p>
        </w:tc>
      </w:tr>
      <w:tr w14:paraId="0D92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5D252CE4">
            <w:pPr>
              <w:pStyle w:val="51"/>
              <w:ind w:left="0" w:leftChars="0" w:firstLine="0" w:firstLineChars="0"/>
            </w:pPr>
          </w:p>
        </w:tc>
        <w:tc>
          <w:tcPr>
            <w:tcW w:w="2728" w:type="dxa"/>
            <w:noWrap w:val="0"/>
            <w:vAlign w:val="center"/>
          </w:tcPr>
          <w:p w14:paraId="55FF272A">
            <w:pPr>
              <w:jc w:val="center"/>
              <w:rPr>
                <w:rFonts w:ascii="宋体" w:hAnsi="宋体" w:eastAsia="宋体" w:cs="宋体"/>
                <w:szCs w:val="21"/>
              </w:rPr>
            </w:pPr>
          </w:p>
        </w:tc>
        <w:tc>
          <w:tcPr>
            <w:tcW w:w="2728" w:type="dxa"/>
            <w:noWrap w:val="0"/>
            <w:vAlign w:val="center"/>
          </w:tcPr>
          <w:p w14:paraId="6F014370">
            <w:pPr>
              <w:jc w:val="center"/>
              <w:rPr>
                <w:rFonts w:ascii="宋体" w:hAnsi="宋体" w:eastAsia="宋体" w:cs="宋体"/>
                <w:szCs w:val="21"/>
              </w:rPr>
            </w:pPr>
          </w:p>
        </w:tc>
        <w:tc>
          <w:tcPr>
            <w:tcW w:w="2730" w:type="dxa"/>
            <w:noWrap w:val="0"/>
            <w:vAlign w:val="center"/>
          </w:tcPr>
          <w:p w14:paraId="784A759A">
            <w:pPr>
              <w:jc w:val="center"/>
              <w:rPr>
                <w:rFonts w:ascii="宋体" w:hAnsi="宋体" w:eastAsia="宋体" w:cs="宋体"/>
                <w:spacing w:val="-8"/>
                <w:szCs w:val="21"/>
              </w:rPr>
            </w:pPr>
          </w:p>
        </w:tc>
      </w:tr>
      <w:tr w14:paraId="5D7C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11B24256">
            <w:pPr>
              <w:pStyle w:val="51"/>
              <w:ind w:left="0" w:leftChars="0" w:firstLine="0" w:firstLineChars="0"/>
            </w:pPr>
          </w:p>
        </w:tc>
        <w:tc>
          <w:tcPr>
            <w:tcW w:w="2728" w:type="dxa"/>
            <w:noWrap w:val="0"/>
            <w:vAlign w:val="center"/>
          </w:tcPr>
          <w:p w14:paraId="1322DA0B">
            <w:pPr>
              <w:jc w:val="center"/>
              <w:rPr>
                <w:rFonts w:ascii="宋体" w:hAnsi="宋体" w:eastAsia="宋体" w:cs="宋体"/>
                <w:szCs w:val="21"/>
              </w:rPr>
            </w:pPr>
            <w:r>
              <w:rPr>
                <w:rFonts w:hint="eastAsia" w:ascii="宋体" w:hAnsi="宋体" w:eastAsia="宋体" w:cs="宋体"/>
                <w:szCs w:val="21"/>
                <w:lang w:val="en-US" w:eastAsia="zh-CN"/>
              </w:rPr>
              <w:t>旧梯回收报价</w:t>
            </w:r>
            <w:r>
              <w:rPr>
                <w:rFonts w:hint="eastAsia" w:ascii="宋体" w:hAnsi="宋体" w:cs="宋体"/>
                <w:szCs w:val="21"/>
                <w:lang w:val="en-US" w:eastAsia="zh-CN"/>
              </w:rPr>
              <w:t>（元）</w:t>
            </w:r>
          </w:p>
        </w:tc>
        <w:tc>
          <w:tcPr>
            <w:tcW w:w="2728" w:type="dxa"/>
            <w:noWrap w:val="0"/>
            <w:vAlign w:val="center"/>
          </w:tcPr>
          <w:p w14:paraId="7280D282">
            <w:pPr>
              <w:jc w:val="center"/>
              <w:rPr>
                <w:rFonts w:ascii="宋体" w:hAnsi="宋体" w:eastAsia="宋体" w:cs="宋体"/>
                <w:szCs w:val="21"/>
              </w:rPr>
            </w:pPr>
          </w:p>
        </w:tc>
        <w:tc>
          <w:tcPr>
            <w:tcW w:w="2730" w:type="dxa"/>
            <w:noWrap w:val="0"/>
            <w:vAlign w:val="center"/>
          </w:tcPr>
          <w:p w14:paraId="3C3AA77F">
            <w:pPr>
              <w:jc w:val="center"/>
              <w:rPr>
                <w:rFonts w:ascii="宋体" w:hAnsi="宋体" w:eastAsia="宋体" w:cs="宋体"/>
                <w:spacing w:val="-8"/>
                <w:szCs w:val="21"/>
              </w:rPr>
            </w:pPr>
          </w:p>
        </w:tc>
      </w:tr>
      <w:tr w14:paraId="22B3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712" w:type="dxa"/>
            <w:vMerge w:val="continue"/>
            <w:noWrap w:val="0"/>
            <w:vAlign w:val="center"/>
          </w:tcPr>
          <w:p w14:paraId="54DE8C8D">
            <w:pPr>
              <w:pStyle w:val="51"/>
              <w:ind w:left="0" w:leftChars="0" w:firstLine="0" w:firstLineChars="0"/>
            </w:pPr>
          </w:p>
        </w:tc>
        <w:tc>
          <w:tcPr>
            <w:tcW w:w="2728" w:type="dxa"/>
            <w:noWrap w:val="0"/>
            <w:vAlign w:val="center"/>
          </w:tcPr>
          <w:p w14:paraId="1D2A3337">
            <w:pPr>
              <w:jc w:val="center"/>
              <w:rPr>
                <w:rFonts w:ascii="宋体" w:hAnsi="宋体" w:eastAsia="宋体" w:cs="宋体"/>
                <w:szCs w:val="21"/>
              </w:rPr>
            </w:pPr>
          </w:p>
        </w:tc>
        <w:tc>
          <w:tcPr>
            <w:tcW w:w="2728" w:type="dxa"/>
            <w:noWrap w:val="0"/>
            <w:vAlign w:val="center"/>
          </w:tcPr>
          <w:p w14:paraId="412009FF">
            <w:pPr>
              <w:jc w:val="center"/>
              <w:rPr>
                <w:rFonts w:ascii="宋体" w:hAnsi="宋体" w:eastAsia="宋体" w:cs="宋体"/>
                <w:szCs w:val="21"/>
              </w:rPr>
            </w:pPr>
          </w:p>
        </w:tc>
        <w:tc>
          <w:tcPr>
            <w:tcW w:w="2730" w:type="dxa"/>
            <w:noWrap w:val="0"/>
            <w:vAlign w:val="center"/>
          </w:tcPr>
          <w:p w14:paraId="100A402D">
            <w:pPr>
              <w:jc w:val="center"/>
              <w:rPr>
                <w:rFonts w:ascii="宋体" w:hAnsi="宋体" w:eastAsia="宋体" w:cs="宋体"/>
                <w:spacing w:val="-8"/>
                <w:szCs w:val="21"/>
              </w:rPr>
            </w:pPr>
          </w:p>
        </w:tc>
      </w:tr>
      <w:tr w14:paraId="67AC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8898" w:type="dxa"/>
            <w:gridSpan w:val="4"/>
            <w:noWrap w:val="0"/>
            <w:vAlign w:val="center"/>
          </w:tcPr>
          <w:p w14:paraId="5172962E">
            <w:pPr>
              <w:pStyle w:val="51"/>
              <w:ind w:left="0" w:leftChars="0" w:firstLine="210" w:firstLineChars="100"/>
              <w:jc w:val="both"/>
            </w:pPr>
            <w:r>
              <w:rPr>
                <w:rFonts w:hint="eastAsia" w:ascii="宋体" w:hAnsi="宋体" w:eastAsia="宋体" w:cs="宋体"/>
                <w:szCs w:val="21"/>
                <w:lang w:val="en-US" w:eastAsia="zh-CN"/>
              </w:rPr>
              <w:t>5台旧梯回收报价</w:t>
            </w:r>
            <w:r>
              <w:rPr>
                <w:rFonts w:hint="eastAsia" w:ascii="宋体" w:hAnsi="宋体" w:eastAsia="宋体" w:cs="宋体"/>
                <w:szCs w:val="21"/>
              </w:rPr>
              <w:t>（大写）：人民币</w:t>
            </w:r>
            <w:r>
              <w:rPr>
                <w:rFonts w:hint="eastAsia" w:ascii="宋体" w:hAnsi="宋体" w:eastAsia="宋体" w:cs="宋体"/>
                <w:szCs w:val="21"/>
                <w:u w:val="single"/>
              </w:rPr>
              <w:t xml:space="preserve">          </w:t>
            </w:r>
            <w:r>
              <w:rPr>
                <w:rFonts w:hint="eastAsia" w:ascii="宋体" w:hAnsi="宋体" w:eastAsia="宋体" w:cs="宋体"/>
                <w:szCs w:val="21"/>
              </w:rPr>
              <w:t>元整</w:t>
            </w:r>
            <w:r>
              <w:rPr>
                <w:rFonts w:hint="eastAsia" w:ascii="宋体" w:hAnsi="宋体" w:cs="宋体"/>
                <w:bCs/>
                <w:color w:val="000000"/>
                <w:szCs w:val="21"/>
              </w:rPr>
              <w:t>（¥</w:t>
            </w:r>
            <w:r>
              <w:rPr>
                <w:rFonts w:hint="eastAsia" w:ascii="宋体" w:hAnsi="宋体" w:cs="宋体"/>
                <w:bCs/>
                <w:color w:val="000000"/>
                <w:szCs w:val="21"/>
                <w:u w:val="single"/>
              </w:rPr>
              <w:t xml:space="preserve">           </w:t>
            </w:r>
            <w:r>
              <w:rPr>
                <w:rFonts w:hint="eastAsia" w:ascii="宋体" w:hAnsi="宋体" w:cs="宋体"/>
                <w:bCs/>
                <w:color w:val="000000"/>
                <w:szCs w:val="21"/>
              </w:rPr>
              <w:t>）</w:t>
            </w:r>
          </w:p>
        </w:tc>
      </w:tr>
      <w:tr w14:paraId="6426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8898" w:type="dxa"/>
            <w:gridSpan w:val="4"/>
            <w:noWrap w:val="0"/>
            <w:vAlign w:val="center"/>
          </w:tcPr>
          <w:p w14:paraId="03240A36">
            <w:pPr>
              <w:pStyle w:val="51"/>
              <w:ind w:left="0" w:leftChars="0" w:firstLine="0" w:firstLineChars="0"/>
              <w:jc w:val="both"/>
              <w:rPr>
                <w:rFonts w:hint="eastAsia" w:eastAsia="宋体"/>
                <w:lang w:eastAsia="zh-CN"/>
              </w:rPr>
            </w:pPr>
            <w:r>
              <w:rPr>
                <w:rFonts w:hint="eastAsia"/>
              </w:rPr>
              <w:t>投标总报价（大写）：人民币</w:t>
            </w:r>
            <w:r>
              <w:rPr>
                <w:rFonts w:hint="eastAsia"/>
                <w:u w:val="single"/>
              </w:rPr>
              <w:t xml:space="preserve">          </w:t>
            </w:r>
            <w:r>
              <w:rPr>
                <w:rFonts w:hint="eastAsia"/>
              </w:rPr>
              <w:t>元整（¥</w:t>
            </w:r>
            <w:r>
              <w:rPr>
                <w:rFonts w:hint="eastAsia"/>
                <w:u w:val="single"/>
              </w:rPr>
              <w:t xml:space="preserve">           </w:t>
            </w:r>
            <w:r>
              <w:rPr>
                <w:rFonts w:hint="eastAsia"/>
              </w:rPr>
              <w:t>）</w:t>
            </w:r>
            <w:r>
              <w:rPr>
                <w:rFonts w:hint="eastAsia"/>
                <w:b/>
                <w:bCs/>
                <w:lang w:eastAsia="zh-CN"/>
              </w:rPr>
              <w:t>（</w:t>
            </w:r>
            <w:r>
              <w:rPr>
                <w:rFonts w:hint="eastAsia"/>
                <w:b/>
                <w:bCs/>
                <w:lang w:val="en-US" w:eastAsia="zh-CN"/>
              </w:rPr>
              <w:t>抵扣旧梯回收后的报价</w:t>
            </w:r>
            <w:r>
              <w:rPr>
                <w:rFonts w:hint="eastAsia"/>
                <w:b/>
                <w:bCs/>
                <w:lang w:eastAsia="zh-CN"/>
              </w:rPr>
              <w:t>）</w:t>
            </w:r>
          </w:p>
        </w:tc>
      </w:tr>
      <w:tr w14:paraId="79FA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8898" w:type="dxa"/>
            <w:gridSpan w:val="4"/>
            <w:noWrap w:val="0"/>
            <w:vAlign w:val="center"/>
          </w:tcPr>
          <w:p w14:paraId="669C4BE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1"/>
                <w:szCs w:val="24"/>
                <w:u w:val="none"/>
                <w:lang w:val="en-US" w:eastAsia="zh-CN"/>
              </w:rPr>
            </w:pPr>
            <w:r>
              <w:rPr>
                <w:rFonts w:hint="eastAsia" w:ascii="Times New Roman" w:hAnsi="Times New Roman" w:eastAsia="宋体" w:cs="Times New Roman"/>
                <w:sz w:val="21"/>
                <w:szCs w:val="24"/>
              </w:rPr>
              <w:t>设备款</w:t>
            </w:r>
            <w:r>
              <w:rPr>
                <w:rFonts w:hint="eastAsia" w:ascii="Times New Roman" w:hAnsi="Times New Roman" w:eastAsia="宋体" w:cs="Times New Roman"/>
                <w:sz w:val="21"/>
                <w:szCs w:val="24"/>
                <w:lang w:val="en-US" w:eastAsia="zh-CN"/>
              </w:rPr>
              <w:t>税率</w:t>
            </w:r>
            <w:r>
              <w:rPr>
                <w:rFonts w:hint="eastAsia" w:ascii="Times New Roman" w:hAnsi="Times New Roman" w:eastAsia="宋体" w:cs="Times New Roman"/>
                <w:sz w:val="21"/>
                <w:szCs w:val="24"/>
                <w:u w:val="none"/>
                <w:lang w:val="en-US" w:eastAsia="zh-CN"/>
              </w:rPr>
              <w:t xml:space="preserve">   %</w:t>
            </w:r>
          </w:p>
          <w:p w14:paraId="3622919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1"/>
                <w:szCs w:val="24"/>
              </w:rPr>
            </w:pPr>
            <w:r>
              <w:rPr>
                <w:rFonts w:hint="eastAsia" w:ascii="Times New Roman" w:hAnsi="Times New Roman" w:eastAsia="宋体" w:cs="Times New Roman"/>
                <w:sz w:val="21"/>
                <w:szCs w:val="24"/>
              </w:rPr>
              <w:t>运输</w:t>
            </w:r>
            <w:r>
              <w:rPr>
                <w:rFonts w:hint="eastAsia" w:ascii="Times New Roman" w:hAnsi="Times New Roman" w:eastAsia="宋体" w:cs="Times New Roman"/>
                <w:sz w:val="21"/>
                <w:szCs w:val="24"/>
                <w:lang w:eastAsia="zh-CN"/>
              </w:rPr>
              <w:t>费</w:t>
            </w:r>
            <w:r>
              <w:rPr>
                <w:rFonts w:hint="eastAsia" w:ascii="Times New Roman" w:hAnsi="Times New Roman" w:eastAsia="宋体" w:cs="Times New Roman"/>
                <w:sz w:val="21"/>
                <w:szCs w:val="24"/>
                <w:lang w:val="en-US" w:eastAsia="zh-CN"/>
              </w:rPr>
              <w:t>税率</w:t>
            </w:r>
            <w:r>
              <w:rPr>
                <w:rFonts w:hint="eastAsia" w:ascii="Times New Roman" w:hAnsi="Times New Roman" w:eastAsia="宋体" w:cs="Times New Roman"/>
                <w:sz w:val="21"/>
                <w:szCs w:val="24"/>
                <w:u w:val="none"/>
                <w:lang w:val="en-US" w:eastAsia="zh-CN"/>
              </w:rPr>
              <w:t xml:space="preserve">   %；</w:t>
            </w:r>
          </w:p>
          <w:p w14:paraId="51DAE17D">
            <w:pPr>
              <w:jc w:val="both"/>
              <w:rPr>
                <w:rFonts w:hint="eastAsia" w:ascii="宋体" w:hAnsi="宋体" w:eastAsia="宋体" w:cs="宋体"/>
                <w:b/>
                <w:bCs/>
                <w:color w:val="000000"/>
                <w:kern w:val="0"/>
                <w:szCs w:val="21"/>
                <w:lang w:eastAsia="zh-CN"/>
              </w:rPr>
            </w:pPr>
            <w:r>
              <w:rPr>
                <w:rFonts w:hint="eastAsia" w:ascii="Times New Roman" w:hAnsi="Times New Roman" w:eastAsia="宋体" w:cs="Times New Roman"/>
                <w:sz w:val="21"/>
                <w:szCs w:val="24"/>
                <w:lang w:val="en-US" w:eastAsia="zh-CN"/>
              </w:rPr>
              <w:t>拆除</w:t>
            </w:r>
            <w:r>
              <w:rPr>
                <w:rFonts w:hint="eastAsia" w:ascii="Times New Roman" w:hAnsi="Times New Roman" w:eastAsia="宋体" w:cs="Times New Roman"/>
                <w:sz w:val="21"/>
                <w:szCs w:val="24"/>
              </w:rPr>
              <w:t>安装费</w:t>
            </w:r>
            <w:r>
              <w:rPr>
                <w:rFonts w:hint="eastAsia" w:ascii="Times New Roman" w:hAnsi="Times New Roman" w:eastAsia="宋体" w:cs="Times New Roman"/>
                <w:sz w:val="21"/>
                <w:szCs w:val="24"/>
                <w:lang w:val="en-US" w:eastAsia="zh-CN"/>
              </w:rPr>
              <w:t>税率</w:t>
            </w:r>
            <w:r>
              <w:rPr>
                <w:rFonts w:hint="eastAsia" w:ascii="Times New Roman" w:hAnsi="Times New Roman" w:eastAsia="宋体" w:cs="Times New Roman"/>
                <w:sz w:val="21"/>
                <w:szCs w:val="24"/>
                <w:u w:val="none"/>
                <w:lang w:val="en-US" w:eastAsia="zh-CN"/>
              </w:rPr>
              <w:t xml:space="preserve">   %</w:t>
            </w:r>
          </w:p>
        </w:tc>
      </w:tr>
      <w:tr w14:paraId="4C92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8898" w:type="dxa"/>
            <w:gridSpan w:val="4"/>
            <w:noWrap w:val="0"/>
            <w:vAlign w:val="bottom"/>
          </w:tcPr>
          <w:p w14:paraId="46A12DF2">
            <w:pPr>
              <w:rPr>
                <w:rFonts w:hint="eastAsia"/>
              </w:rPr>
            </w:pPr>
            <w:r>
              <w:rPr>
                <w:rFonts w:hint="eastAsia"/>
                <w:lang w:val="en-US" w:eastAsia="zh-CN"/>
              </w:rPr>
              <w:t>备</w:t>
            </w:r>
            <w:r>
              <w:rPr>
                <w:rFonts w:hint="eastAsia"/>
              </w:rPr>
              <w:t>注：</w:t>
            </w:r>
          </w:p>
          <w:p w14:paraId="1D138244">
            <w:pPr>
              <w:pStyle w:val="51"/>
              <w:numPr>
                <w:ilvl w:val="0"/>
                <w:numId w:val="10"/>
              </w:numPr>
              <w:rPr>
                <w:rFonts w:hint="eastAsia"/>
              </w:rPr>
            </w:pPr>
            <w:r>
              <w:rPr>
                <w:rFonts w:hint="eastAsia"/>
                <w:lang w:val="en-US" w:eastAsia="zh-CN"/>
              </w:rPr>
              <w:t>投标总报价</w:t>
            </w:r>
            <w:r>
              <w:rPr>
                <w:rFonts w:hint="eastAsia"/>
              </w:rPr>
              <w:t>已包含：</w:t>
            </w:r>
            <w:r>
              <w:rPr>
                <w:rFonts w:hint="eastAsia"/>
                <w:lang w:val="en-US" w:eastAsia="zh-CN"/>
              </w:rPr>
              <w:t>旧梯回收、</w:t>
            </w:r>
            <w:r>
              <w:rPr>
                <w:rFonts w:hint="eastAsia"/>
              </w:rPr>
              <w:t>设备</w:t>
            </w:r>
            <w:r>
              <w:rPr>
                <w:rFonts w:hint="eastAsia"/>
                <w:lang w:val="en-US" w:eastAsia="zh-CN"/>
              </w:rPr>
              <w:t>金额</w:t>
            </w:r>
            <w:r>
              <w:rPr>
                <w:rFonts w:hint="eastAsia"/>
              </w:rPr>
              <w:t>、包装费、运输费、保险费、设备装卸费、保管费、质保维护和调试费，税费。</w:t>
            </w:r>
          </w:p>
          <w:p w14:paraId="3540086A">
            <w:pPr>
              <w:pStyle w:val="51"/>
              <w:numPr>
                <w:ilvl w:val="0"/>
                <w:numId w:val="10"/>
              </w:numPr>
              <w:ind w:left="0" w:leftChars="0" w:firstLine="210" w:firstLineChars="100"/>
              <w:rPr>
                <w:rFonts w:hint="default" w:eastAsia="宋体"/>
                <w:lang w:val="en-US" w:eastAsia="zh-CN"/>
              </w:rPr>
            </w:pPr>
            <w:r>
              <w:rPr>
                <w:rFonts w:hint="eastAsia"/>
                <w:lang w:val="en-US" w:eastAsia="zh-CN"/>
              </w:rPr>
              <w:t>施工工期：</w:t>
            </w:r>
            <w:r>
              <w:rPr>
                <w:rFonts w:hint="eastAsia"/>
                <w:color w:val="000000"/>
                <w:szCs w:val="21"/>
              </w:rPr>
              <w:t>每台电梯的施工期不能够超过</w:t>
            </w:r>
            <w:r>
              <w:rPr>
                <w:rFonts w:hint="eastAsia"/>
                <w:color w:val="000000"/>
                <w:szCs w:val="21"/>
                <w:lang w:val="en-US" w:eastAsia="zh-CN"/>
              </w:rPr>
              <w:t>35</w:t>
            </w:r>
            <w:r>
              <w:rPr>
                <w:rFonts w:hint="eastAsia"/>
                <w:color w:val="000000"/>
                <w:szCs w:val="21"/>
              </w:rPr>
              <w:t>天。</w:t>
            </w:r>
          </w:p>
        </w:tc>
      </w:tr>
    </w:tbl>
    <w:p w14:paraId="5C17D29B">
      <w:pPr>
        <w:rPr>
          <w:rFonts w:hint="eastAsia"/>
        </w:rPr>
      </w:pPr>
    </w:p>
    <w:p w14:paraId="6B121C26">
      <w:pPr>
        <w:pStyle w:val="26"/>
        <w:snapToGrid w:val="0"/>
        <w:ind w:right="120" w:rightChars="57"/>
        <w:jc w:val="left"/>
        <w:rPr>
          <w:rFonts w:hint="eastAsia" w:ascii="宋体" w:hAnsi="宋体" w:eastAsia="宋体" w:cs="宋体"/>
          <w:b/>
          <w:color w:val="auto"/>
          <w:highlight w:val="none"/>
        </w:rPr>
      </w:pPr>
      <w:r>
        <w:rPr>
          <w:rFonts w:hint="eastAsia" w:ascii="宋体" w:hAnsi="宋体" w:eastAsia="宋体" w:cs="宋体"/>
          <w:b/>
          <w:color w:val="auto"/>
          <w:highlight w:val="none"/>
        </w:rPr>
        <w:t>注：</w:t>
      </w:r>
    </w:p>
    <w:p w14:paraId="7AD9AF7C">
      <w:pPr>
        <w:pStyle w:val="26"/>
        <w:numPr>
          <w:ilvl w:val="0"/>
          <w:numId w:val="11"/>
        </w:numPr>
        <w:snapToGrid w:val="0"/>
        <w:ind w:right="120" w:rightChars="57"/>
        <w:jc w:val="left"/>
        <w:rPr>
          <w:rFonts w:hint="eastAsia" w:ascii="宋体" w:hAnsi="宋体" w:eastAsia="宋体" w:cs="宋体"/>
          <w:b/>
          <w:color w:val="auto"/>
          <w:highlight w:val="none"/>
        </w:rPr>
      </w:pPr>
      <w:r>
        <w:rPr>
          <w:rFonts w:hint="eastAsia" w:ascii="宋体" w:hAnsi="宋体" w:eastAsia="宋体" w:cs="宋体"/>
          <w:b/>
          <w:color w:val="auto"/>
          <w:highlight w:val="none"/>
        </w:rPr>
        <w:t>增值税税率必须按照国家标准填写，如投标人的税率与国家标准不一致，招标人有权调整其税率。</w:t>
      </w:r>
    </w:p>
    <w:p w14:paraId="4FD13E46">
      <w:pPr>
        <w:pStyle w:val="26"/>
        <w:numPr>
          <w:ilvl w:val="0"/>
          <w:numId w:val="11"/>
        </w:numPr>
        <w:snapToGrid w:val="0"/>
        <w:ind w:right="120" w:rightChars="57"/>
        <w:jc w:val="left"/>
        <w:rPr>
          <w:rFonts w:hint="eastAsia" w:ascii="宋体" w:hAnsi="宋体" w:eastAsia="宋体" w:cs="宋体"/>
          <w:b/>
          <w:color w:val="auto"/>
          <w:highlight w:val="none"/>
        </w:rPr>
      </w:pPr>
      <w:r>
        <w:rPr>
          <w:rFonts w:hint="eastAsia" w:ascii="宋体" w:hAnsi="宋体" w:eastAsia="宋体" w:cs="宋体"/>
          <w:b/>
          <w:color w:val="auto"/>
          <w:highlight w:val="none"/>
        </w:rPr>
        <w:t>投标报价超过最高限价的属于无效投标。</w:t>
      </w:r>
    </w:p>
    <w:p w14:paraId="0DC12FB6">
      <w:pPr>
        <w:pStyle w:val="26"/>
        <w:numPr>
          <w:ilvl w:val="0"/>
          <w:numId w:val="11"/>
        </w:numPr>
        <w:snapToGrid w:val="0"/>
        <w:ind w:right="120" w:rightChars="57"/>
        <w:jc w:val="left"/>
        <w:rPr>
          <w:rFonts w:hint="eastAsia" w:ascii="宋体" w:hAnsi="宋体" w:eastAsia="宋体" w:cs="宋体"/>
          <w:b/>
          <w:color w:val="auto"/>
          <w:highlight w:val="none"/>
        </w:rPr>
      </w:pPr>
      <w:r>
        <w:rPr>
          <w:rFonts w:hint="eastAsia" w:ascii="宋体" w:hAnsi="宋体" w:eastAsia="宋体" w:cs="宋体"/>
          <w:b/>
          <w:color w:val="auto"/>
          <w:highlight w:val="none"/>
        </w:rPr>
        <w:t>投标报价是所有需招标人支付本次招标的金额总数。</w:t>
      </w:r>
    </w:p>
    <w:p w14:paraId="103BA802">
      <w:pPr>
        <w:pStyle w:val="26"/>
        <w:numPr>
          <w:ilvl w:val="0"/>
          <w:numId w:val="11"/>
        </w:numPr>
        <w:snapToGrid w:val="0"/>
        <w:ind w:right="120" w:rightChars="57"/>
        <w:jc w:val="left"/>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lang w:val="en-US" w:eastAsia="zh-CN"/>
        </w:rPr>
        <w:t>总报价=7-11号电梯的总报价</w:t>
      </w:r>
      <w:r>
        <w:rPr>
          <w:rFonts w:hint="eastAsia" w:hAnsi="宋体" w:cs="宋体"/>
          <w:b/>
          <w:color w:val="auto"/>
          <w:highlight w:val="none"/>
          <w:lang w:val="en-US" w:eastAsia="zh-CN"/>
        </w:rPr>
        <w:t>（即各电梯</w:t>
      </w:r>
      <w:r>
        <w:rPr>
          <w:rFonts w:hint="eastAsia" w:ascii="宋体" w:hAnsi="宋体" w:eastAsia="宋体" w:cs="宋体"/>
          <w:b/>
          <w:color w:val="auto"/>
          <w:szCs w:val="24"/>
          <w:highlight w:val="none"/>
        </w:rPr>
        <w:t>设备</w:t>
      </w:r>
      <w:r>
        <w:rPr>
          <w:rFonts w:hint="eastAsia" w:ascii="宋体" w:hAnsi="宋体" w:eastAsia="宋体" w:cs="宋体"/>
          <w:b/>
          <w:color w:val="auto"/>
          <w:szCs w:val="24"/>
          <w:highlight w:val="none"/>
          <w:lang w:val="en-US" w:eastAsia="zh-CN"/>
        </w:rPr>
        <w:t>报价</w:t>
      </w:r>
      <w:r>
        <w:rPr>
          <w:rFonts w:hint="eastAsia" w:hAnsi="宋体" w:cs="宋体"/>
          <w:b/>
          <w:color w:val="auto"/>
          <w:szCs w:val="24"/>
          <w:highlight w:val="none"/>
          <w:lang w:val="en-US" w:eastAsia="zh-CN"/>
        </w:rPr>
        <w:t>+</w:t>
      </w:r>
      <w:r>
        <w:rPr>
          <w:rFonts w:hint="eastAsia" w:ascii="宋体" w:hAnsi="宋体" w:eastAsia="宋体" w:cs="宋体"/>
          <w:b/>
          <w:color w:val="auto"/>
          <w:szCs w:val="24"/>
          <w:highlight w:val="none"/>
        </w:rPr>
        <w:t>运输</w:t>
      </w:r>
      <w:r>
        <w:rPr>
          <w:rFonts w:hint="eastAsia" w:ascii="宋体" w:hAnsi="宋体" w:eastAsia="宋体" w:cs="宋体"/>
          <w:b/>
          <w:color w:val="auto"/>
          <w:szCs w:val="24"/>
          <w:highlight w:val="none"/>
          <w:lang w:val="en-US" w:eastAsia="zh-CN"/>
        </w:rPr>
        <w:t>费报价</w:t>
      </w:r>
      <w:r>
        <w:rPr>
          <w:rFonts w:hint="eastAsia" w:hAnsi="宋体" w:cs="宋体"/>
          <w:b/>
          <w:color w:val="auto"/>
          <w:szCs w:val="24"/>
          <w:highlight w:val="none"/>
          <w:lang w:val="en-US" w:eastAsia="zh-CN"/>
        </w:rPr>
        <w:t>+</w:t>
      </w:r>
      <w:r>
        <w:rPr>
          <w:rFonts w:hint="eastAsia" w:ascii="宋体" w:hAnsi="宋体" w:eastAsia="宋体" w:cs="宋体"/>
          <w:b/>
          <w:color w:val="auto"/>
          <w:spacing w:val="0"/>
          <w:szCs w:val="24"/>
          <w:highlight w:val="none"/>
          <w:lang w:val="en-US" w:eastAsia="zh-CN"/>
        </w:rPr>
        <w:t>拆除安装费报价</w:t>
      </w:r>
      <w:r>
        <w:rPr>
          <w:rFonts w:hint="eastAsia" w:hAnsi="宋体" w:cs="宋体"/>
          <w:b/>
          <w:color w:val="auto"/>
          <w:highlight w:val="none"/>
          <w:lang w:val="en-US" w:eastAsia="zh-CN"/>
        </w:rPr>
        <w:t>）减去</w:t>
      </w:r>
      <w:r>
        <w:rPr>
          <w:rFonts w:hint="eastAsia" w:ascii="宋体" w:hAnsi="宋体" w:eastAsia="宋体" w:cs="宋体"/>
          <w:b/>
          <w:color w:val="auto"/>
          <w:highlight w:val="none"/>
          <w:lang w:val="en-US" w:eastAsia="zh-CN"/>
        </w:rPr>
        <w:t>5台旧梯回收报价</w:t>
      </w:r>
      <w:r>
        <w:rPr>
          <w:rFonts w:hint="eastAsia" w:hAnsi="宋体" w:cs="宋体"/>
          <w:b/>
          <w:color w:val="auto"/>
          <w:highlight w:val="none"/>
          <w:lang w:val="en-US" w:eastAsia="zh-CN"/>
        </w:rPr>
        <w:t>（即7-11号电梯总报价-5台旧梯回收报价=</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lang w:val="en-US" w:eastAsia="zh-CN"/>
        </w:rPr>
        <w:t>总报价</w:t>
      </w:r>
      <w:r>
        <w:rPr>
          <w:rFonts w:hint="eastAsia" w:hAnsi="宋体" w:cs="宋体"/>
          <w:b/>
          <w:color w:val="auto"/>
          <w:highlight w:val="none"/>
          <w:lang w:val="en-US" w:eastAsia="zh-CN"/>
        </w:rPr>
        <w:t>）</w:t>
      </w:r>
      <w:r>
        <w:rPr>
          <w:rFonts w:hint="eastAsia" w:ascii="宋体" w:hAnsi="宋体" w:eastAsia="宋体" w:cs="宋体"/>
          <w:b/>
          <w:color w:val="auto"/>
          <w:highlight w:val="none"/>
        </w:rPr>
        <w:t>。</w:t>
      </w:r>
    </w:p>
    <w:p w14:paraId="3571B648">
      <w:pPr>
        <w:pStyle w:val="26"/>
        <w:numPr>
          <w:ilvl w:val="0"/>
          <w:numId w:val="11"/>
        </w:numPr>
        <w:snapToGrid w:val="0"/>
        <w:ind w:right="120" w:rightChars="57"/>
        <w:jc w:val="left"/>
        <w:rPr>
          <w:rFonts w:hint="eastAsia" w:ascii="宋体" w:hAnsi="宋体" w:eastAsia="宋体" w:cs="宋体"/>
          <w:b/>
          <w:bCs/>
          <w:color w:val="auto"/>
          <w:highlight w:val="none"/>
          <w:lang w:val="en-US" w:eastAsia="zh-CN"/>
        </w:rPr>
      </w:pPr>
      <w:r>
        <w:rPr>
          <w:rFonts w:hint="eastAsia" w:ascii="宋体" w:hAnsi="宋体" w:eastAsia="宋体" w:cs="宋体"/>
          <w:b/>
          <w:color w:val="auto"/>
          <w:highlight w:val="none"/>
          <w:lang w:val="en-US" w:eastAsia="zh-CN"/>
        </w:rPr>
        <w:t>若投标人</w:t>
      </w:r>
      <w:r>
        <w:rPr>
          <w:rFonts w:hint="eastAsia" w:ascii="宋体" w:hAnsi="宋体" w:eastAsia="宋体" w:cs="宋体"/>
          <w:b/>
          <w:bCs/>
          <w:color w:val="auto"/>
          <w:highlight w:val="none"/>
          <w:lang w:val="en-US" w:eastAsia="zh-CN"/>
        </w:rPr>
        <w:t>未按要求填写上述表格，</w:t>
      </w:r>
      <w:r>
        <w:rPr>
          <w:rFonts w:hint="eastAsia" w:hAnsi="宋体" w:eastAsia="宋体" w:cs="宋体"/>
          <w:b/>
          <w:bCs/>
          <w:color w:val="auto"/>
          <w:highlight w:val="none"/>
          <w:lang w:val="en-US" w:eastAsia="zh-CN"/>
        </w:rPr>
        <w:t>将按投标无效处理。</w:t>
      </w:r>
    </w:p>
    <w:p w14:paraId="69E531BB">
      <w:pPr>
        <w:pStyle w:val="26"/>
        <w:spacing w:line="360" w:lineRule="auto"/>
        <w:ind w:left="735" w:hanging="735"/>
        <w:rPr>
          <w:rFonts w:hint="eastAsia" w:ascii="宋体" w:hAnsi="宋体" w:eastAsia="宋体" w:cs="宋体"/>
          <w:b/>
          <w:bCs/>
          <w:color w:val="auto"/>
          <w:highlight w:val="none"/>
        </w:rPr>
      </w:pPr>
      <w:r>
        <w:rPr>
          <w:rFonts w:hint="eastAsia" w:ascii="宋体" w:hAnsi="宋体" w:eastAsia="宋体" w:cs="宋体"/>
          <w:color w:val="auto"/>
          <w:highlight w:val="none"/>
        </w:rPr>
        <w:t xml:space="preserve">  </w:t>
      </w:r>
    </w:p>
    <w:p w14:paraId="5C602793">
      <w:pPr>
        <w:pStyle w:val="26"/>
        <w:spacing w:line="360" w:lineRule="auto"/>
        <w:rPr>
          <w:rFonts w:hint="eastAsia" w:ascii="宋体" w:hAnsi="宋体" w:eastAsia="宋体" w:cs="宋体"/>
          <w:bCs/>
          <w:color w:val="auto"/>
          <w:highlight w:val="none"/>
        </w:rPr>
      </w:pPr>
      <w:r>
        <w:rPr>
          <w:rFonts w:hint="eastAsia" w:ascii="宋体" w:hAnsi="宋体" w:eastAsia="宋体" w:cs="宋体"/>
          <w:color w:val="auto"/>
          <w:highlight w:val="none"/>
        </w:rPr>
        <w:t xml:space="preserve">   </w:t>
      </w:r>
    </w:p>
    <w:p w14:paraId="42F4D697">
      <w:pPr>
        <w:pStyle w:val="26"/>
        <w:jc w:val="left"/>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0169E933">
      <w:pPr>
        <w:pStyle w:val="26"/>
        <w:jc w:val="left"/>
        <w:rPr>
          <w:rFonts w:hint="eastAsia" w:ascii="宋体" w:hAnsi="宋体" w:eastAsia="宋体" w:cs="宋体"/>
          <w:color w:val="auto"/>
          <w:highlight w:val="none"/>
        </w:rPr>
      </w:pPr>
      <w:r>
        <w:rPr>
          <w:rFonts w:hint="eastAsia" w:ascii="宋体" w:hAnsi="宋体" w:eastAsia="宋体" w:cs="宋体"/>
          <w:color w:val="auto"/>
          <w:highlight w:val="none"/>
        </w:rPr>
        <w:t>投标人法定代表人或其授权代表（签名或盖章）：</w:t>
      </w:r>
    </w:p>
    <w:p w14:paraId="3588AB2E">
      <w:pPr>
        <w:pStyle w:val="26"/>
        <w:jc w:val="left"/>
        <w:rPr>
          <w:rFonts w:hint="eastAsia" w:ascii="宋体" w:hAnsi="宋体" w:eastAsia="宋体" w:cs="宋体"/>
          <w:color w:val="auto"/>
          <w:highlight w:val="none"/>
        </w:rPr>
        <w:sectPr>
          <w:headerReference r:id="rId9" w:type="default"/>
          <w:footerReference r:id="rId10" w:type="default"/>
          <w:pgSz w:w="11907" w:h="16840"/>
          <w:pgMar w:top="1418" w:right="1701" w:bottom="1418" w:left="1701" w:header="737" w:footer="737" w:gutter="0"/>
          <w:cols w:space="720" w:num="1"/>
          <w:docGrid w:linePitch="285" w:charSpace="0"/>
        </w:sectPr>
      </w:pPr>
      <w:r>
        <w:rPr>
          <w:rFonts w:hint="eastAsia" w:ascii="宋体" w:hAnsi="宋体" w:eastAsia="宋体" w:cs="宋体"/>
          <w:color w:val="auto"/>
          <w:highlight w:val="none"/>
        </w:rPr>
        <w:t>日期：    年   月   日</w:t>
      </w:r>
    </w:p>
    <w:p w14:paraId="5E231EC4">
      <w:pPr>
        <w:pStyle w:val="26"/>
        <w:spacing w:line="480" w:lineRule="auto"/>
        <w:rPr>
          <w:rFonts w:hint="eastAsia" w:ascii="宋体" w:hAnsi="宋体" w:eastAsia="宋体" w:cs="宋体"/>
          <w:color w:val="auto"/>
          <w:highlight w:val="none"/>
        </w:rPr>
      </w:pPr>
      <w:bookmarkStart w:id="89" w:name="_Toc476177431"/>
      <w:bookmarkStart w:id="90" w:name="_Toc455417782"/>
      <w:bookmarkStart w:id="91" w:name="_Toc496161872"/>
      <w:bookmarkStart w:id="92" w:name="_Toc118018364"/>
      <w:bookmarkStart w:id="93" w:name="_Toc476177990"/>
      <w:r>
        <w:rPr>
          <w:rFonts w:hint="eastAsia" w:ascii="宋体" w:hAnsi="宋体" w:eastAsia="宋体" w:cs="宋体"/>
          <w:color w:val="auto"/>
          <w:highlight w:val="none"/>
        </w:rPr>
        <w:t>附表1.2</w:t>
      </w:r>
    </w:p>
    <w:p w14:paraId="7E398365">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更换7至11号电梯项目</w:t>
      </w:r>
    </w:p>
    <w:p w14:paraId="171C8B14">
      <w:pPr>
        <w:tabs>
          <w:tab w:val="left" w:pos="7088"/>
        </w:tabs>
        <w:spacing w:before="120" w:after="120"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（1）项目详细报价表</w:t>
      </w:r>
    </w:p>
    <w:p w14:paraId="03DD417E">
      <w:pPr>
        <w:tabs>
          <w:tab w:val="left" w:pos="7088"/>
        </w:tabs>
        <w:spacing w:before="120" w:after="120" w:line="36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金额单位：元（人民币）</w:t>
      </w:r>
    </w:p>
    <w:tbl>
      <w:tblPr>
        <w:tblStyle w:val="53"/>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835"/>
        <w:gridCol w:w="992"/>
        <w:gridCol w:w="992"/>
        <w:gridCol w:w="1276"/>
        <w:gridCol w:w="1134"/>
        <w:gridCol w:w="1275"/>
        <w:gridCol w:w="850"/>
      </w:tblGrid>
      <w:tr w14:paraId="0E47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69" w:type="dxa"/>
            <w:tcBorders>
              <w:left w:val="single" w:color="auto" w:sz="4" w:space="0"/>
              <w:bottom w:val="single" w:color="auto" w:sz="4" w:space="0"/>
              <w:right w:val="single" w:color="auto" w:sz="4" w:space="0"/>
            </w:tcBorders>
            <w:noWrap w:val="0"/>
            <w:vAlign w:val="center"/>
          </w:tcPr>
          <w:p w14:paraId="7805D7E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835" w:type="dxa"/>
            <w:tcBorders>
              <w:left w:val="single" w:color="auto" w:sz="4" w:space="0"/>
              <w:bottom w:val="single" w:color="auto" w:sz="4" w:space="0"/>
              <w:right w:val="single" w:color="auto" w:sz="4" w:space="0"/>
            </w:tcBorders>
            <w:noWrap w:val="0"/>
            <w:vAlign w:val="center"/>
          </w:tcPr>
          <w:p w14:paraId="75F1B2AA">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分项名称</w:t>
            </w:r>
          </w:p>
        </w:tc>
        <w:tc>
          <w:tcPr>
            <w:tcW w:w="992" w:type="dxa"/>
            <w:tcBorders>
              <w:left w:val="single" w:color="auto" w:sz="4" w:space="0"/>
              <w:bottom w:val="single" w:color="auto" w:sz="4" w:space="0"/>
              <w:right w:val="single" w:color="auto" w:sz="4" w:space="0"/>
            </w:tcBorders>
            <w:noWrap w:val="0"/>
            <w:vAlign w:val="center"/>
          </w:tcPr>
          <w:p w14:paraId="57C49768">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992" w:type="dxa"/>
            <w:tcBorders>
              <w:left w:val="single" w:color="auto" w:sz="4" w:space="0"/>
              <w:bottom w:val="single" w:color="auto" w:sz="4" w:space="0"/>
              <w:right w:val="single" w:color="auto" w:sz="4" w:space="0"/>
            </w:tcBorders>
            <w:noWrap w:val="0"/>
            <w:vAlign w:val="center"/>
          </w:tcPr>
          <w:p w14:paraId="2116ECE9">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单价（不含增值税）(元)</w:t>
            </w:r>
          </w:p>
        </w:tc>
        <w:tc>
          <w:tcPr>
            <w:tcW w:w="1276" w:type="dxa"/>
            <w:tcBorders>
              <w:left w:val="single" w:color="auto" w:sz="4" w:space="0"/>
              <w:bottom w:val="single" w:color="auto" w:sz="4" w:space="0"/>
              <w:right w:val="single" w:color="auto" w:sz="4" w:space="0"/>
            </w:tcBorders>
            <w:noWrap w:val="0"/>
            <w:vAlign w:val="center"/>
          </w:tcPr>
          <w:p w14:paraId="0A4BC3B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金额（不含增值税）(元)</w:t>
            </w:r>
          </w:p>
        </w:tc>
        <w:tc>
          <w:tcPr>
            <w:tcW w:w="1134" w:type="dxa"/>
            <w:tcBorders>
              <w:left w:val="single" w:color="auto" w:sz="4" w:space="0"/>
              <w:bottom w:val="single" w:color="auto" w:sz="4" w:space="0"/>
              <w:right w:val="single" w:color="auto" w:sz="4" w:space="0"/>
            </w:tcBorders>
            <w:noWrap w:val="0"/>
            <w:vAlign w:val="center"/>
          </w:tcPr>
          <w:p w14:paraId="30FEF123">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增值税税率</w:t>
            </w:r>
          </w:p>
        </w:tc>
        <w:tc>
          <w:tcPr>
            <w:tcW w:w="1275" w:type="dxa"/>
            <w:tcBorders>
              <w:left w:val="single" w:color="auto" w:sz="4" w:space="0"/>
              <w:bottom w:val="single" w:color="auto" w:sz="4" w:space="0"/>
              <w:right w:val="single" w:color="auto" w:sz="4" w:space="0"/>
            </w:tcBorders>
            <w:noWrap w:val="0"/>
            <w:vAlign w:val="center"/>
          </w:tcPr>
          <w:p w14:paraId="221709EA">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增值税税额(元)</w:t>
            </w:r>
          </w:p>
        </w:tc>
        <w:tc>
          <w:tcPr>
            <w:tcW w:w="850" w:type="dxa"/>
            <w:tcBorders>
              <w:left w:val="single" w:color="auto" w:sz="4" w:space="0"/>
              <w:bottom w:val="single" w:color="auto" w:sz="4" w:space="0"/>
              <w:right w:val="single" w:color="auto" w:sz="4" w:space="0"/>
            </w:tcBorders>
            <w:noWrap w:val="0"/>
            <w:vAlign w:val="center"/>
          </w:tcPr>
          <w:p w14:paraId="6E040E0C">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价税合计(元)</w:t>
            </w:r>
          </w:p>
        </w:tc>
      </w:tr>
      <w:tr w14:paraId="53DB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0C0C0C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63723C04">
            <w:pPr>
              <w:spacing w:line="360" w:lineRule="auto"/>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8A8E82C">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5FCCC5B">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1A026CF">
            <w:pPr>
              <w:spacing w:line="360" w:lineRule="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0CD7DB6">
            <w:pPr>
              <w:spacing w:line="360" w:lineRule="auto"/>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D20D541">
            <w:pPr>
              <w:spacing w:line="360" w:lineRule="auto"/>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7FC2192">
            <w:pPr>
              <w:spacing w:line="360" w:lineRule="auto"/>
              <w:rPr>
                <w:rFonts w:hint="eastAsia" w:ascii="宋体" w:hAnsi="宋体" w:eastAsia="宋体" w:cs="宋体"/>
                <w:color w:val="auto"/>
                <w:szCs w:val="21"/>
                <w:highlight w:val="none"/>
              </w:rPr>
            </w:pPr>
          </w:p>
        </w:tc>
      </w:tr>
      <w:tr w14:paraId="2640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0722061">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66017AE">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981E719">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84A9140">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E9D8D45">
            <w:pPr>
              <w:spacing w:line="360" w:lineRule="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C6940D8">
            <w:pPr>
              <w:spacing w:line="360" w:lineRule="auto"/>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EB98245">
            <w:pPr>
              <w:spacing w:line="360" w:lineRule="auto"/>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1674CCD">
            <w:pPr>
              <w:spacing w:line="360" w:lineRule="auto"/>
              <w:rPr>
                <w:rFonts w:hint="eastAsia" w:ascii="宋体" w:hAnsi="宋体" w:eastAsia="宋体" w:cs="宋体"/>
                <w:color w:val="auto"/>
                <w:szCs w:val="21"/>
                <w:highlight w:val="none"/>
              </w:rPr>
            </w:pPr>
          </w:p>
        </w:tc>
      </w:tr>
      <w:tr w14:paraId="385F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8503E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58C35B2">
            <w:pPr>
              <w:spacing w:line="360" w:lineRule="auto"/>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09BAFCD">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2A6D37">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0FB79E">
            <w:pPr>
              <w:spacing w:line="360" w:lineRule="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4A67FA0">
            <w:pPr>
              <w:spacing w:line="360" w:lineRule="auto"/>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5AA1142">
            <w:pPr>
              <w:spacing w:line="360" w:lineRule="auto"/>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24CD34B9">
            <w:pPr>
              <w:spacing w:line="360" w:lineRule="auto"/>
              <w:rPr>
                <w:rFonts w:hint="eastAsia" w:ascii="宋体" w:hAnsi="宋体" w:eastAsia="宋体" w:cs="宋体"/>
                <w:color w:val="auto"/>
                <w:szCs w:val="21"/>
                <w:highlight w:val="none"/>
              </w:rPr>
            </w:pPr>
          </w:p>
        </w:tc>
      </w:tr>
      <w:tr w14:paraId="6165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F46416D">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A4C31E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E7C5923">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509C4F8">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A8E4617">
            <w:pPr>
              <w:spacing w:line="360" w:lineRule="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1DB130">
            <w:pPr>
              <w:spacing w:line="360" w:lineRule="auto"/>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AC98A64">
            <w:pPr>
              <w:spacing w:line="360" w:lineRule="auto"/>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4D1EDEF">
            <w:pPr>
              <w:spacing w:line="360" w:lineRule="auto"/>
              <w:rPr>
                <w:rFonts w:hint="eastAsia" w:ascii="宋体" w:hAnsi="宋体" w:eastAsia="宋体" w:cs="宋体"/>
                <w:color w:val="auto"/>
                <w:szCs w:val="21"/>
                <w:highlight w:val="none"/>
              </w:rPr>
            </w:pPr>
          </w:p>
        </w:tc>
      </w:tr>
      <w:tr w14:paraId="28CB0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60AAB9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5FC0A0B">
            <w:pPr>
              <w:spacing w:line="360" w:lineRule="auto"/>
              <w:jc w:val="center"/>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A2A0654">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BA5DA08">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4641AB2">
            <w:pPr>
              <w:spacing w:line="360" w:lineRule="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1910356">
            <w:pPr>
              <w:spacing w:line="360" w:lineRule="auto"/>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A8A7797">
            <w:pPr>
              <w:spacing w:line="360" w:lineRule="auto"/>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232B915">
            <w:pPr>
              <w:spacing w:line="360" w:lineRule="auto"/>
              <w:rPr>
                <w:rFonts w:hint="eastAsia" w:ascii="宋体" w:hAnsi="宋体" w:eastAsia="宋体" w:cs="宋体"/>
                <w:color w:val="auto"/>
                <w:szCs w:val="21"/>
                <w:highlight w:val="none"/>
              </w:rPr>
            </w:pPr>
          </w:p>
        </w:tc>
      </w:tr>
      <w:tr w14:paraId="0573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52B43B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1A901AD7">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4B2BFAC">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DAEA6B1">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F351FDA">
            <w:pPr>
              <w:spacing w:line="360" w:lineRule="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D9BF1D0">
            <w:pPr>
              <w:spacing w:line="360" w:lineRule="auto"/>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8247632">
            <w:pPr>
              <w:spacing w:line="360" w:lineRule="auto"/>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0D6096DE">
            <w:pPr>
              <w:spacing w:line="360" w:lineRule="auto"/>
              <w:rPr>
                <w:rFonts w:hint="eastAsia" w:ascii="宋体" w:hAnsi="宋体" w:eastAsia="宋体" w:cs="宋体"/>
                <w:color w:val="auto"/>
                <w:szCs w:val="21"/>
                <w:highlight w:val="none"/>
              </w:rPr>
            </w:pPr>
          </w:p>
        </w:tc>
      </w:tr>
      <w:tr w14:paraId="7D0D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D4667D6">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FBA63BC">
            <w:pPr>
              <w:spacing w:line="360" w:lineRule="auto"/>
              <w:jc w:val="center"/>
              <w:rPr>
                <w:rFonts w:hint="eastAsia" w:ascii="宋体" w:hAnsi="宋体" w:eastAsia="宋体" w:cs="宋体"/>
                <w:color w:val="auto"/>
                <w:szCs w:val="21"/>
                <w:highlight w:val="none"/>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B08FDFD">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EA92B74">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FFB3B72">
            <w:pPr>
              <w:spacing w:line="360" w:lineRule="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49A5259">
            <w:pPr>
              <w:spacing w:line="360" w:lineRule="auto"/>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29184D6">
            <w:pPr>
              <w:spacing w:line="360" w:lineRule="auto"/>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B9B8118">
            <w:pPr>
              <w:spacing w:line="360" w:lineRule="auto"/>
              <w:rPr>
                <w:rFonts w:hint="eastAsia" w:ascii="宋体" w:hAnsi="宋体" w:eastAsia="宋体" w:cs="宋体"/>
                <w:color w:val="auto"/>
                <w:szCs w:val="21"/>
                <w:highlight w:val="none"/>
              </w:rPr>
            </w:pPr>
          </w:p>
        </w:tc>
      </w:tr>
      <w:tr w14:paraId="2EA2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098281F">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5</w:t>
            </w:r>
          </w:p>
        </w:tc>
        <w:tc>
          <w:tcPr>
            <w:tcW w:w="2835" w:type="dxa"/>
            <w:tcBorders>
              <w:top w:val="single" w:color="auto" w:sz="4" w:space="0"/>
              <w:left w:val="single" w:color="auto" w:sz="4" w:space="0"/>
              <w:bottom w:val="single" w:color="auto" w:sz="4" w:space="0"/>
              <w:right w:val="single" w:color="auto" w:sz="4" w:space="0"/>
            </w:tcBorders>
            <w:noWrap w:val="0"/>
            <w:vAlign w:val="center"/>
          </w:tcPr>
          <w:p w14:paraId="06CBB033">
            <w:pPr>
              <w:spacing w:line="360" w:lineRule="auto"/>
              <w:jc w:val="center"/>
              <w:rPr>
                <w:rFonts w:hint="eastAsia" w:ascii="宋体" w:hAnsi="宋体" w:eastAsia="宋体" w:cs="宋体"/>
                <w:color w:val="auto"/>
                <w:kern w:val="2"/>
                <w:sz w:val="21"/>
                <w:szCs w:val="21"/>
                <w:highlight w:val="none"/>
                <w:lang w:val="en-US" w:eastAsia="zh-CN" w:bidi="ar-SA"/>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2995B3E0">
            <w:pPr>
              <w:spacing w:line="360" w:lineRule="auto"/>
              <w:rPr>
                <w:rFonts w:hint="eastAsia" w:ascii="宋体" w:hAnsi="宋体" w:eastAsia="宋体" w:cs="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B4E371C">
            <w:pPr>
              <w:spacing w:line="360" w:lineRule="auto"/>
              <w:rPr>
                <w:rFonts w:hint="eastAsia" w:ascii="宋体" w:hAnsi="宋体" w:eastAsia="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74980F8">
            <w:pPr>
              <w:spacing w:line="360" w:lineRule="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BBB8C22">
            <w:pPr>
              <w:spacing w:line="360" w:lineRule="auto"/>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4F3E31C">
            <w:pPr>
              <w:spacing w:line="360" w:lineRule="auto"/>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569A74">
            <w:pPr>
              <w:spacing w:line="360" w:lineRule="auto"/>
              <w:rPr>
                <w:rFonts w:hint="eastAsia" w:ascii="宋体" w:hAnsi="宋体" w:eastAsia="宋体" w:cs="宋体"/>
                <w:color w:val="auto"/>
                <w:szCs w:val="21"/>
                <w:highlight w:val="none"/>
              </w:rPr>
            </w:pPr>
          </w:p>
        </w:tc>
      </w:tr>
      <w:tr w14:paraId="21E2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88" w:type="dxa"/>
            <w:gridSpan w:val="4"/>
            <w:tcBorders>
              <w:top w:val="single" w:color="auto" w:sz="4" w:space="0"/>
              <w:left w:val="single" w:color="auto" w:sz="4" w:space="0"/>
              <w:bottom w:val="single" w:color="auto" w:sz="4" w:space="0"/>
              <w:right w:val="single" w:color="auto" w:sz="4" w:space="0"/>
            </w:tcBorders>
            <w:noWrap w:val="0"/>
            <w:vAlign w:val="center"/>
          </w:tcPr>
          <w:p w14:paraId="4AFDBE2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AC8EFCA">
            <w:pPr>
              <w:spacing w:line="360" w:lineRule="auto"/>
              <w:rPr>
                <w:rFonts w:hint="eastAsia" w:ascii="宋体" w:hAnsi="宋体" w:eastAsia="宋体" w:cs="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679224C">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-6350</wp:posOffset>
                      </wp:positionV>
                      <wp:extent cx="689610" cy="362585"/>
                      <wp:effectExtent l="1905" t="4445" r="13335" b="1397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689610" cy="36258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5.1pt;margin-top:-0.5pt;height:28.55pt;width:54.3pt;z-index:251659264;mso-width-relative:page;mso-height-relative:page;" filled="f" stroked="t" coordsize="21600,21600" o:gfxdata="UEsDBAoAAAAAAIdO4kAAAAAAAAAAAAAAAAAEAAAAZHJzL1BLAwQUAAAACACHTuJAPllaRNYAAAAI&#10;AQAADwAAAGRycy9kb3ducmV2LnhtbE2PwU7DMAyG70i8Q2QkblvSaZRSmu6ABOKAKm3APWtMW2ic&#10;0mTt9vZ4XOBmy59+f3+xObpeTDiGzpOGZKlAINXedtRoeHt9XGQgQjRkTe8JNZwwwKa8vChMbv1M&#10;W5x2sREcQiE3GtoYh1zKULfoTFj6AYlvH350JvI6NtKOZuZw18uVUql0piP+0JoBH1qsv3YHp+Gb&#10;bk/vazlln1UV06fnl4awmrW+vkrUPYiIx/gHw1mf1aFkp70/kA2i17BI1IrR3wEEA3fZGsRew02a&#10;gCwL+b9A+QNQSwMEFAAAAAgAh07iQA6MsaQDAgAA2gMAAA4AAABkcnMvZTJvRG9jLnhtbK1TzW4T&#10;MRC+I/EOlu9kk6BE6SqbHhKVS4FKLdwdr3fXwuuxPE42eQleAIkTcKKceudpoDwGY28aaLn0wB4s&#10;/8z3zXzfzM5Pd61hW+VRgy34aDDkTFkJpbZ1wd9cnT2bcYZB2FIYsKrge4X8dPH0ybxzuRpDA6ZU&#10;nhGJxbxzBW9CcHmWoWxUK3AATll6rMC3ItDR11npRUfsrcnGw+E068CXzoNUiHS76h/5gdE/hhCq&#10;Sku1ArlplQ09q1dGBJKEjXbIF6naqlIyvK4qVIGZgpPSkFZKQvt1XLPFXOS1F67R8lCCeEwJDzS1&#10;QltKeqRaiSDYxut/qFotPSBUYSChzXohyRFSMRo+8OayEU4lLWQ1uqPp+P9o5avthWe6pEngzIqW&#10;Gn774ebn+8+3365/fLr59f1j3H/9wkbRqs5hToilvfBRrNzZS3cO8h0yC8tG2Fqlkq/2jngSIrsH&#10;iQd0lHDdvYSSYsQmQPJtV/mWVUa7txEYyckbtkuN2h8bpXaBSbqczk6mI2qhpKfn0/FkNonVZSKP&#10;NBHsPIYXCloWNwXH4IWum7AEa2kkwPcpxPYcQw+8A0SwhTNtTJoMY1lX8JPJeJJqQjC6jI8xDH29&#10;XhrPtiLOVvoOVdwL87CxZZ/E2IhTaSwPme8c6b1dQ7m/8DE43lPLk6jDeMaZ+vucov78k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llaRNYAAAAIAQAADwAAAAAAAAABACAAAAAiAAAAZHJzL2Rv&#10;d25yZXYueG1sUEsBAhQAFAAAAAgAh07iQA6MsaQDAgAA2gMAAA4AAAAAAAAAAQAgAAAAJQEAAGRy&#10;cy9lMm9Eb2MueG1sUEsFBgAAAAAGAAYAWQEAAJoFAAAAAA==&#10;">
                      <v:fill on="f" focussize="0,0"/>
                      <v:stroke color="#000000" joinstyle="round"/>
                      <v:imagedata o:title=""/>
                      <o:lock v:ext="edit" aspectratio="f"/>
                    </v:shape>
                  </w:pict>
                </mc:Fallback>
              </mc:AlternateContent>
            </w:r>
          </w:p>
        </w:tc>
        <w:tc>
          <w:tcPr>
            <w:tcW w:w="1275" w:type="dxa"/>
            <w:tcBorders>
              <w:top w:val="single" w:color="auto" w:sz="4" w:space="0"/>
              <w:left w:val="single" w:color="auto" w:sz="4" w:space="0"/>
              <w:bottom w:val="single" w:color="auto" w:sz="4" w:space="0"/>
              <w:right w:val="single" w:color="auto" w:sz="4" w:space="0"/>
            </w:tcBorders>
            <w:noWrap w:val="0"/>
            <w:vAlign w:val="top"/>
          </w:tcPr>
          <w:p w14:paraId="4AC1F818">
            <w:pPr>
              <w:spacing w:line="360" w:lineRule="auto"/>
              <w:rPr>
                <w:rFonts w:hint="eastAsia" w:ascii="宋体" w:hAnsi="宋体" w:eastAsia="宋体" w:cs="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5F3EA51">
            <w:pPr>
              <w:spacing w:line="360" w:lineRule="auto"/>
              <w:rPr>
                <w:rFonts w:hint="eastAsia" w:ascii="宋体" w:hAnsi="宋体" w:eastAsia="宋体" w:cs="宋体"/>
                <w:color w:val="auto"/>
                <w:szCs w:val="21"/>
                <w:highlight w:val="none"/>
              </w:rPr>
            </w:pPr>
          </w:p>
        </w:tc>
      </w:tr>
      <w:tr w14:paraId="4C9E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9923" w:type="dxa"/>
            <w:gridSpan w:val="8"/>
            <w:tcBorders>
              <w:top w:val="single" w:color="auto" w:sz="4" w:space="0"/>
              <w:left w:val="single" w:color="auto" w:sz="4" w:space="0"/>
              <w:right w:val="single" w:color="auto" w:sz="4" w:space="0"/>
            </w:tcBorders>
            <w:noWrap w:val="0"/>
            <w:vAlign w:val="center"/>
          </w:tcPr>
          <w:p w14:paraId="2B0E686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价税合计总额（投标报价）：</w:t>
            </w:r>
            <w:r>
              <w:rPr>
                <w:rFonts w:hint="eastAsia" w:ascii="宋体" w:hAnsi="宋体" w:eastAsia="宋体" w:cs="宋体"/>
                <w:bCs/>
                <w:color w:val="auto"/>
                <w:kern w:val="0"/>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大写：人民币</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元</w:t>
            </w:r>
          </w:p>
        </w:tc>
      </w:tr>
    </w:tbl>
    <w:p w14:paraId="3D3DFC26">
      <w:pPr>
        <w:pStyle w:val="26"/>
        <w:snapToGrid w:val="0"/>
        <w:ind w:left="-60" w:right="120" w:rightChars="57"/>
        <w:jc w:val="left"/>
        <w:rPr>
          <w:rFonts w:hint="eastAsia" w:ascii="宋体" w:hAnsi="宋体" w:eastAsia="宋体" w:cs="宋体"/>
          <w:color w:val="auto"/>
          <w:highlight w:val="none"/>
        </w:rPr>
      </w:pPr>
    </w:p>
    <w:p w14:paraId="39467E1F">
      <w:pPr>
        <w:pStyle w:val="26"/>
        <w:snapToGrid w:val="0"/>
        <w:ind w:left="-60" w:right="120" w:rightChars="57"/>
        <w:jc w:val="left"/>
        <w:rPr>
          <w:rFonts w:hint="eastAsia" w:ascii="宋体" w:hAnsi="宋体" w:eastAsia="宋体" w:cs="宋体"/>
          <w:color w:val="auto"/>
          <w:highlight w:val="none"/>
        </w:rPr>
      </w:pPr>
      <w:r>
        <w:rPr>
          <w:rFonts w:hint="eastAsia" w:ascii="宋体" w:hAnsi="宋体" w:eastAsia="宋体" w:cs="宋体"/>
          <w:color w:val="auto"/>
          <w:highlight w:val="none"/>
        </w:rPr>
        <w:t>注：</w:t>
      </w:r>
    </w:p>
    <w:p w14:paraId="2CC7C3F7">
      <w:pPr>
        <w:pStyle w:val="26"/>
        <w:numPr>
          <w:ilvl w:val="0"/>
          <w:numId w:val="12"/>
        </w:numPr>
        <w:snapToGrid w:val="0"/>
        <w:ind w:right="120" w:rightChars="57"/>
        <w:rPr>
          <w:rFonts w:hint="eastAsia" w:ascii="宋体" w:hAnsi="宋体" w:eastAsia="宋体" w:cs="宋体"/>
          <w:color w:val="000000"/>
          <w:highlight w:val="none"/>
        </w:rPr>
      </w:pPr>
      <w:r>
        <w:rPr>
          <w:rFonts w:hint="eastAsia" w:ascii="宋体" w:hAnsi="宋体" w:eastAsia="宋体" w:cs="宋体"/>
          <w:b/>
          <w:color w:val="000000"/>
          <w:highlight w:val="none"/>
        </w:rPr>
        <w:t>投标报价要求：投标人须分别报出不含增值税价格、增值税税额、含增值税价格。</w:t>
      </w:r>
    </w:p>
    <w:p w14:paraId="7D6C070B">
      <w:pPr>
        <w:pStyle w:val="26"/>
        <w:numPr>
          <w:ilvl w:val="0"/>
          <w:numId w:val="12"/>
        </w:numPr>
        <w:snapToGrid w:val="0"/>
        <w:ind w:right="120" w:rightChars="57"/>
        <w:rPr>
          <w:rFonts w:hint="eastAsia"/>
          <w:color w:val="000000"/>
          <w:highlight w:val="none"/>
        </w:rPr>
      </w:pPr>
      <w:r>
        <w:rPr>
          <w:rFonts w:hint="eastAsia" w:ascii="宋体" w:hAnsi="宋体" w:eastAsia="宋体" w:cs="宋体"/>
          <w:b/>
          <w:color w:val="000000"/>
          <w:highlight w:val="none"/>
        </w:rPr>
        <w:t>金额（不含增值税）*增值税税率=增值税税额</w:t>
      </w:r>
      <w:r>
        <w:rPr>
          <w:rFonts w:hint="eastAsia" w:ascii="宋体" w:hAnsi="宋体" w:eastAsia="宋体" w:cs="宋体"/>
          <w:b/>
          <w:color w:val="000000"/>
          <w:highlight w:val="none"/>
          <w:lang w:eastAsia="zh-CN"/>
        </w:rPr>
        <w:t>。</w:t>
      </w:r>
    </w:p>
    <w:p w14:paraId="6A1DA3C2">
      <w:pPr>
        <w:pStyle w:val="26"/>
        <w:numPr>
          <w:ilvl w:val="0"/>
          <w:numId w:val="12"/>
        </w:numPr>
        <w:snapToGrid w:val="0"/>
        <w:ind w:right="120" w:rightChars="57"/>
        <w:rPr>
          <w:rFonts w:hint="eastAsia"/>
          <w:highlight w:val="none"/>
        </w:rPr>
      </w:pPr>
      <w:r>
        <w:rPr>
          <w:rFonts w:hint="eastAsia" w:ascii="宋体" w:hAnsi="宋体" w:eastAsia="宋体" w:cs="宋体"/>
          <w:b/>
          <w:color w:val="000000"/>
          <w:highlight w:val="none"/>
        </w:rPr>
        <w:t>本项目详细报价表的价税合计总额（投标报价）必须与开标一览表投标报价（含增值税）的总额一致</w:t>
      </w:r>
      <w:r>
        <w:rPr>
          <w:rFonts w:hint="eastAsia" w:ascii="宋体" w:hAnsi="宋体" w:eastAsia="宋体" w:cs="宋体"/>
          <w:b/>
          <w:color w:val="auto"/>
          <w:sz w:val="21"/>
          <w:szCs w:val="24"/>
          <w:highlight w:val="none"/>
          <w:lang w:eastAsia="zh-CN"/>
        </w:rPr>
        <w:t>。</w:t>
      </w:r>
    </w:p>
    <w:p w14:paraId="617552B7">
      <w:pPr>
        <w:rPr>
          <w:rFonts w:hint="eastAsia"/>
          <w:highlight w:val="none"/>
        </w:rPr>
      </w:pPr>
    </w:p>
    <w:p w14:paraId="75CE56C6">
      <w:pPr>
        <w:pStyle w:val="26"/>
        <w:jc w:val="left"/>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31B1FBDF">
      <w:pPr>
        <w:pStyle w:val="26"/>
        <w:jc w:val="left"/>
        <w:rPr>
          <w:rFonts w:hint="eastAsia" w:ascii="宋体" w:hAnsi="宋体" w:eastAsia="宋体" w:cs="宋体"/>
          <w:color w:val="auto"/>
          <w:highlight w:val="none"/>
        </w:rPr>
      </w:pPr>
      <w:r>
        <w:rPr>
          <w:rFonts w:hint="eastAsia" w:ascii="宋体" w:hAnsi="宋体" w:eastAsia="宋体" w:cs="宋体"/>
          <w:color w:val="auto"/>
          <w:highlight w:val="none"/>
        </w:rPr>
        <w:t>投标人法定代表人或其授权代表（签名或盖章）：</w:t>
      </w:r>
    </w:p>
    <w:p w14:paraId="3AD380DB">
      <w:pPr>
        <w:pStyle w:val="26"/>
        <w:ind w:left="0" w:leftChars="0"/>
        <w:jc w:val="left"/>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621C5B54">
      <w:pPr>
        <w:pStyle w:val="26"/>
        <w:snapToGrid w:val="0"/>
        <w:ind w:left="360" w:right="120" w:rightChars="57"/>
        <w:jc w:val="left"/>
        <w:rPr>
          <w:rFonts w:hint="eastAsia" w:ascii="宋体" w:hAnsi="宋体" w:eastAsia="宋体" w:cs="宋体"/>
          <w:color w:val="auto"/>
          <w:highlight w:val="none"/>
        </w:rPr>
      </w:pPr>
    </w:p>
    <w:p w14:paraId="03C22722">
      <w:pPr>
        <w:pStyle w:val="26"/>
        <w:snapToGrid w:val="0"/>
        <w:ind w:left="360" w:right="120" w:rightChars="57"/>
        <w:jc w:val="left"/>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bookmarkEnd w:id="89"/>
    <w:bookmarkEnd w:id="90"/>
    <w:bookmarkEnd w:id="91"/>
    <w:bookmarkEnd w:id="92"/>
    <w:bookmarkEnd w:id="93"/>
    <w:p w14:paraId="55DB72C3">
      <w:pPr>
        <w:pStyle w:val="3"/>
        <w:numPr>
          <w:ilvl w:val="0"/>
          <w:numId w:val="0"/>
        </w:numPr>
        <w:ind w:left="422"/>
        <w:rPr>
          <w:rFonts w:hint="eastAsia" w:ascii="宋体" w:hAnsi="宋体" w:eastAsia="宋体" w:cs="宋体"/>
          <w:color w:val="auto"/>
          <w:highlight w:val="none"/>
        </w:rPr>
      </w:pPr>
      <w:r>
        <w:rPr>
          <w:rFonts w:hint="eastAsia" w:ascii="宋体" w:hAnsi="宋体" w:eastAsia="宋体" w:cs="宋体"/>
          <w:color w:val="auto"/>
          <w:highlight w:val="none"/>
        </w:rPr>
        <w:t>四、资格证明材料</w:t>
      </w:r>
    </w:p>
    <w:p w14:paraId="595A3677">
      <w:pPr>
        <w:pStyle w:val="3"/>
        <w:numPr>
          <w:ilvl w:val="0"/>
          <w:numId w:val="0"/>
        </w:numPr>
        <w:ind w:left="422"/>
        <w:rPr>
          <w:rFonts w:hint="eastAsia" w:ascii="宋体" w:hAnsi="宋体" w:eastAsia="宋体" w:cs="宋体"/>
          <w:b w:val="0"/>
          <w:color w:val="auto"/>
          <w:highlight w:val="none"/>
        </w:rPr>
      </w:pPr>
      <w:r>
        <w:rPr>
          <w:rFonts w:hint="eastAsia" w:ascii="宋体" w:hAnsi="宋体" w:eastAsia="宋体" w:cs="宋体"/>
          <w:b w:val="0"/>
          <w:color w:val="auto"/>
          <w:highlight w:val="none"/>
        </w:rPr>
        <w:t>（1）投标函</w:t>
      </w:r>
    </w:p>
    <w:p w14:paraId="418AACE8">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投 标 函</w:t>
      </w:r>
    </w:p>
    <w:p w14:paraId="3E84CF2F">
      <w:pPr>
        <w:spacing w:line="360" w:lineRule="auto"/>
        <w:rPr>
          <w:rFonts w:hint="eastAsia" w:ascii="宋体" w:hAnsi="宋体" w:eastAsia="宋体" w:cs="宋体"/>
          <w:color w:val="auto"/>
          <w:highlight w:val="none"/>
        </w:rPr>
      </w:pPr>
    </w:p>
    <w:p w14:paraId="4EE19A3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致:（招标人名称）</w:t>
      </w:r>
    </w:p>
    <w:p w14:paraId="45D4CA0E">
      <w:pPr>
        <w:spacing w:line="360" w:lineRule="auto"/>
        <w:rPr>
          <w:rFonts w:hint="eastAsia" w:ascii="宋体" w:hAnsi="宋体" w:eastAsia="宋体" w:cs="宋体"/>
          <w:color w:val="auto"/>
          <w:highlight w:val="none"/>
        </w:rPr>
      </w:pPr>
    </w:p>
    <w:p w14:paraId="1F3ABB61">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 xml:space="preserve">  我方确认收到贵方提供的（</w:t>
      </w:r>
      <w:r>
        <w:rPr>
          <w:rFonts w:hint="eastAsia" w:ascii="宋体" w:hAnsi="宋体" w:eastAsia="宋体" w:cs="宋体"/>
          <w:color w:val="auto"/>
          <w:kern w:val="28"/>
          <w:highlight w:val="none"/>
          <w:u w:val="single"/>
        </w:rPr>
        <w:t>招标项目名称）</w:t>
      </w:r>
      <w:r>
        <w:rPr>
          <w:rFonts w:hint="eastAsia" w:ascii="宋体" w:hAnsi="宋体" w:eastAsia="宋体" w:cs="宋体"/>
          <w:color w:val="auto"/>
          <w:highlight w:val="none"/>
        </w:rPr>
        <w:t>的招标文件的全部内容，我方：</w:t>
      </w:r>
      <w:r>
        <w:rPr>
          <w:rFonts w:hint="eastAsia" w:ascii="宋体" w:hAnsi="宋体" w:eastAsia="宋体" w:cs="宋体"/>
          <w:color w:val="auto"/>
          <w:highlight w:val="none"/>
          <w:u w:val="single"/>
        </w:rPr>
        <w:t xml:space="preserve">                                   （投标人名称）</w:t>
      </w:r>
      <w:r>
        <w:rPr>
          <w:rFonts w:hint="eastAsia" w:ascii="宋体" w:hAnsi="宋体" w:eastAsia="宋体" w:cs="宋体"/>
          <w:color w:val="auto"/>
          <w:highlight w:val="none"/>
        </w:rPr>
        <w:t>作为投标者正式授权</w:t>
      </w:r>
      <w:r>
        <w:rPr>
          <w:rFonts w:hint="eastAsia" w:ascii="宋体" w:hAnsi="宋体" w:eastAsia="宋体" w:cs="宋体"/>
          <w:color w:val="auto"/>
          <w:highlight w:val="none"/>
          <w:u w:val="single"/>
        </w:rPr>
        <w:t>（授权代表全名, 职务）</w:t>
      </w:r>
      <w:r>
        <w:rPr>
          <w:rFonts w:hint="eastAsia" w:ascii="宋体" w:hAnsi="宋体" w:eastAsia="宋体" w:cs="宋体"/>
          <w:color w:val="auto"/>
          <w:highlight w:val="none"/>
        </w:rPr>
        <w:t>代表我方进行有关本投标的一切事宜。</w:t>
      </w:r>
    </w:p>
    <w:p w14:paraId="66E9F13E">
      <w:pPr>
        <w:spacing w:line="360" w:lineRule="auto"/>
        <w:ind w:firstLine="516" w:firstLineChars="246"/>
        <w:rPr>
          <w:rFonts w:hint="eastAsia" w:ascii="宋体" w:hAnsi="宋体" w:eastAsia="宋体" w:cs="宋体"/>
          <w:color w:val="auto"/>
          <w:highlight w:val="none"/>
        </w:rPr>
      </w:pPr>
      <w:r>
        <w:rPr>
          <w:rFonts w:hint="eastAsia" w:ascii="宋体" w:hAnsi="宋体" w:eastAsia="宋体" w:cs="宋体"/>
          <w:color w:val="auto"/>
          <w:highlight w:val="none"/>
        </w:rPr>
        <w:t>在此提交的投标文件, 正本一份, 副本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份，包括如下等内容：</w:t>
      </w:r>
    </w:p>
    <w:p w14:paraId="5E028972">
      <w:pPr>
        <w:numPr>
          <w:ilvl w:val="0"/>
          <w:numId w:val="13"/>
        </w:numPr>
        <w:tabs>
          <w:tab w:val="left" w:pos="0"/>
          <w:tab w:val="clear" w:pos="851"/>
        </w:tabs>
        <w:autoSpaceDE w:val="0"/>
        <w:autoSpaceDN w:val="0"/>
        <w:adjustRightInd w:val="0"/>
        <w:spacing w:line="360" w:lineRule="auto"/>
        <w:ind w:left="-2" w:leftChars="-1" w:firstLine="516" w:firstLineChars="246"/>
        <w:rPr>
          <w:rFonts w:hint="eastAsia" w:ascii="宋体" w:hAnsi="宋体" w:eastAsia="宋体" w:cs="宋体"/>
          <w:color w:val="auto"/>
          <w:highlight w:val="none"/>
        </w:rPr>
      </w:pPr>
      <w:r>
        <w:rPr>
          <w:rFonts w:hint="eastAsia" w:ascii="宋体" w:hAnsi="宋体" w:eastAsia="宋体" w:cs="宋体"/>
          <w:color w:val="auto"/>
          <w:highlight w:val="none"/>
        </w:rPr>
        <w:t>报价表；</w:t>
      </w:r>
    </w:p>
    <w:p w14:paraId="0FAA365C">
      <w:pPr>
        <w:numPr>
          <w:ilvl w:val="0"/>
          <w:numId w:val="13"/>
        </w:numPr>
        <w:tabs>
          <w:tab w:val="left" w:pos="0"/>
          <w:tab w:val="clear" w:pos="851"/>
        </w:tabs>
        <w:autoSpaceDE w:val="0"/>
        <w:autoSpaceDN w:val="0"/>
        <w:adjustRightInd w:val="0"/>
        <w:spacing w:line="360" w:lineRule="auto"/>
        <w:ind w:left="-2" w:leftChars="-1" w:firstLine="516" w:firstLineChars="246"/>
        <w:rPr>
          <w:rFonts w:hint="eastAsia" w:ascii="宋体" w:hAnsi="宋体" w:eastAsia="宋体" w:cs="宋体"/>
          <w:color w:val="auto"/>
          <w:highlight w:val="none"/>
        </w:rPr>
      </w:pPr>
      <w:r>
        <w:rPr>
          <w:rFonts w:hint="eastAsia" w:ascii="宋体" w:hAnsi="宋体" w:eastAsia="宋体" w:cs="宋体"/>
          <w:color w:val="auto"/>
          <w:highlight w:val="none"/>
        </w:rPr>
        <w:t>投标函；</w:t>
      </w:r>
    </w:p>
    <w:p w14:paraId="1575BBB0">
      <w:pPr>
        <w:numPr>
          <w:ilvl w:val="0"/>
          <w:numId w:val="13"/>
        </w:numPr>
        <w:tabs>
          <w:tab w:val="left" w:pos="0"/>
          <w:tab w:val="clear" w:pos="851"/>
        </w:tabs>
        <w:autoSpaceDE w:val="0"/>
        <w:autoSpaceDN w:val="0"/>
        <w:adjustRightInd w:val="0"/>
        <w:spacing w:line="360" w:lineRule="auto"/>
        <w:ind w:left="-2" w:leftChars="-1" w:firstLine="516" w:firstLineChars="246"/>
        <w:rPr>
          <w:rFonts w:hint="eastAsia" w:ascii="宋体" w:hAnsi="宋体" w:eastAsia="宋体" w:cs="宋体"/>
          <w:color w:val="auto"/>
          <w:highlight w:val="none"/>
        </w:rPr>
      </w:pPr>
      <w:r>
        <w:rPr>
          <w:rFonts w:hint="eastAsia" w:ascii="宋体" w:hAnsi="宋体" w:eastAsia="宋体" w:cs="宋体"/>
          <w:color w:val="auto"/>
          <w:highlight w:val="none"/>
        </w:rPr>
        <w:t>法定代表人证明书及法人授权书；</w:t>
      </w:r>
    </w:p>
    <w:p w14:paraId="3C2BDD1E">
      <w:pPr>
        <w:numPr>
          <w:ilvl w:val="0"/>
          <w:numId w:val="13"/>
        </w:numPr>
        <w:tabs>
          <w:tab w:val="left" w:pos="0"/>
          <w:tab w:val="clear" w:pos="851"/>
        </w:tabs>
        <w:autoSpaceDE w:val="0"/>
        <w:autoSpaceDN w:val="0"/>
        <w:adjustRightInd w:val="0"/>
        <w:spacing w:line="360" w:lineRule="auto"/>
        <w:ind w:left="-2" w:leftChars="-1" w:firstLine="516" w:firstLineChars="246"/>
        <w:rPr>
          <w:rFonts w:hint="eastAsia" w:ascii="宋体" w:hAnsi="宋体" w:eastAsia="宋体" w:cs="宋体"/>
          <w:color w:val="auto"/>
          <w:highlight w:val="none"/>
        </w:rPr>
      </w:pPr>
      <w:r>
        <w:rPr>
          <w:rFonts w:hint="eastAsia" w:ascii="宋体" w:hAnsi="宋体" w:eastAsia="宋体" w:cs="宋体"/>
          <w:color w:val="auto"/>
          <w:highlight w:val="none"/>
        </w:rPr>
        <w:t>投标保证金支付证明复印件；</w:t>
      </w:r>
    </w:p>
    <w:p w14:paraId="38B1B58D">
      <w:pPr>
        <w:numPr>
          <w:ilvl w:val="0"/>
          <w:numId w:val="13"/>
        </w:numPr>
        <w:tabs>
          <w:tab w:val="left" w:pos="0"/>
          <w:tab w:val="clear" w:pos="851"/>
        </w:tabs>
        <w:autoSpaceDE w:val="0"/>
        <w:autoSpaceDN w:val="0"/>
        <w:adjustRightInd w:val="0"/>
        <w:spacing w:line="360" w:lineRule="auto"/>
        <w:ind w:left="-2" w:leftChars="-1" w:firstLine="516" w:firstLineChars="246"/>
        <w:rPr>
          <w:rFonts w:hint="eastAsia" w:ascii="宋体" w:hAnsi="宋体" w:eastAsia="宋体" w:cs="宋体"/>
          <w:color w:val="auto"/>
          <w:szCs w:val="21"/>
          <w:highlight w:val="none"/>
        </w:rPr>
      </w:pPr>
      <w:r>
        <w:rPr>
          <w:rFonts w:hint="eastAsia" w:ascii="宋体" w:hAnsi="宋体" w:eastAsia="宋体" w:cs="宋体"/>
          <w:color w:val="auto"/>
          <w:highlight w:val="none"/>
        </w:rPr>
        <w:t>有关确立投标人法律地位的原始文件副本复印件（如营业执照、组织代码证、税务登记证等）；</w:t>
      </w:r>
    </w:p>
    <w:p w14:paraId="1763D911">
      <w:pPr>
        <w:numPr>
          <w:ilvl w:val="0"/>
          <w:numId w:val="13"/>
        </w:numPr>
        <w:tabs>
          <w:tab w:val="left" w:pos="0"/>
          <w:tab w:val="clear" w:pos="851"/>
        </w:tabs>
        <w:autoSpaceDE w:val="0"/>
        <w:autoSpaceDN w:val="0"/>
        <w:adjustRightInd w:val="0"/>
        <w:spacing w:line="360" w:lineRule="auto"/>
        <w:ind w:left="-2" w:leftChars="-1" w:firstLine="516" w:firstLineChars="246"/>
        <w:rPr>
          <w:rFonts w:hint="eastAsia" w:ascii="宋体" w:hAnsi="宋体" w:eastAsia="宋体" w:cs="宋体"/>
          <w:color w:val="auto"/>
          <w:szCs w:val="21"/>
          <w:highlight w:val="none"/>
        </w:rPr>
      </w:pPr>
      <w:r>
        <w:rPr>
          <w:rFonts w:hint="eastAsia" w:ascii="宋体" w:hAnsi="宋体" w:eastAsia="宋体" w:cs="宋体"/>
          <w:color w:val="auto"/>
          <w:highlight w:val="none"/>
        </w:rPr>
        <w:t>资格及能力证明文件；</w:t>
      </w:r>
    </w:p>
    <w:p w14:paraId="644B152D">
      <w:pPr>
        <w:numPr>
          <w:ilvl w:val="0"/>
          <w:numId w:val="13"/>
        </w:numPr>
        <w:tabs>
          <w:tab w:val="left" w:pos="0"/>
          <w:tab w:val="clear" w:pos="851"/>
        </w:tabs>
        <w:autoSpaceDE w:val="0"/>
        <w:autoSpaceDN w:val="0"/>
        <w:adjustRightInd w:val="0"/>
        <w:spacing w:line="360" w:lineRule="auto"/>
        <w:ind w:left="-2" w:leftChars="-1" w:firstLine="516" w:firstLineChars="246"/>
        <w:rPr>
          <w:rFonts w:hint="eastAsia" w:ascii="宋体" w:hAnsi="宋体" w:eastAsia="宋体" w:cs="宋体"/>
          <w:color w:val="auto"/>
          <w:szCs w:val="21"/>
          <w:highlight w:val="none"/>
        </w:rPr>
      </w:pPr>
      <w:r>
        <w:rPr>
          <w:rFonts w:hint="eastAsia" w:ascii="宋体" w:hAnsi="宋体" w:eastAsia="宋体" w:cs="宋体"/>
          <w:color w:val="auto"/>
          <w:highlight w:val="none"/>
        </w:rPr>
        <w:t>商务响应文件；</w:t>
      </w:r>
    </w:p>
    <w:p w14:paraId="16D18A16">
      <w:pPr>
        <w:numPr>
          <w:ilvl w:val="0"/>
          <w:numId w:val="13"/>
        </w:numPr>
        <w:tabs>
          <w:tab w:val="left" w:pos="0"/>
          <w:tab w:val="clear" w:pos="851"/>
        </w:tabs>
        <w:autoSpaceDE w:val="0"/>
        <w:autoSpaceDN w:val="0"/>
        <w:adjustRightInd w:val="0"/>
        <w:spacing w:line="360" w:lineRule="auto"/>
        <w:ind w:left="-2" w:leftChars="-1" w:firstLine="516" w:firstLineChars="246"/>
        <w:rPr>
          <w:rFonts w:hint="eastAsia" w:ascii="宋体" w:hAnsi="宋体" w:eastAsia="宋体" w:cs="宋体"/>
          <w:color w:val="auto"/>
          <w:highlight w:val="none"/>
        </w:rPr>
      </w:pPr>
      <w:r>
        <w:rPr>
          <w:rFonts w:hint="eastAsia" w:ascii="宋体" w:hAnsi="宋体" w:eastAsia="宋体" w:cs="宋体"/>
          <w:color w:val="auto"/>
          <w:highlight w:val="none"/>
        </w:rPr>
        <w:t>技术响应文件；</w:t>
      </w:r>
    </w:p>
    <w:p w14:paraId="61F97326">
      <w:pPr>
        <w:numPr>
          <w:ilvl w:val="0"/>
          <w:numId w:val="13"/>
        </w:numPr>
        <w:tabs>
          <w:tab w:val="left" w:pos="0"/>
          <w:tab w:val="clear" w:pos="851"/>
        </w:tabs>
        <w:autoSpaceDE w:val="0"/>
        <w:autoSpaceDN w:val="0"/>
        <w:adjustRightInd w:val="0"/>
        <w:spacing w:line="360" w:lineRule="auto"/>
        <w:ind w:left="-2" w:leftChars="-1" w:firstLine="516" w:firstLineChars="246"/>
        <w:rPr>
          <w:rFonts w:hint="eastAsia" w:ascii="宋体" w:hAnsi="宋体" w:eastAsia="宋体" w:cs="宋体"/>
          <w:color w:val="auto"/>
          <w:highlight w:val="none"/>
        </w:rPr>
      </w:pPr>
      <w:r>
        <w:rPr>
          <w:rFonts w:hint="eastAsia" w:ascii="宋体" w:hAnsi="宋体" w:eastAsia="宋体" w:cs="宋体"/>
          <w:color w:val="auto"/>
          <w:highlight w:val="none"/>
        </w:rPr>
        <w:t>应招标文件的要求提供的其他有关文件</w:t>
      </w:r>
    </w:p>
    <w:p w14:paraId="4B5CFCD7">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我方已完全明白招标文件的所有条款要求，并重申以下几点：</w:t>
      </w:r>
    </w:p>
    <w:p w14:paraId="0E36E883">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（一）我方决定参加：项目名称为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的投标。</w:t>
      </w:r>
    </w:p>
    <w:p w14:paraId="771B0617">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（二）全部货物之供应和有关服务的投标总价详见投标报价表。</w:t>
      </w:r>
    </w:p>
    <w:p w14:paraId="67213B7F">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（三）本投标文件的有效期投标截止日后</w:t>
      </w:r>
      <w:r>
        <w:rPr>
          <w:rFonts w:hint="eastAsia" w:ascii="宋体" w:hAnsi="宋体" w:eastAsia="宋体" w:cs="宋体"/>
          <w:b/>
          <w:color w:val="auto"/>
          <w:highlight w:val="none"/>
        </w:rPr>
        <w:t>90日</w:t>
      </w:r>
      <w:r>
        <w:rPr>
          <w:rFonts w:hint="eastAsia" w:ascii="宋体" w:hAnsi="宋体" w:eastAsia="宋体" w:cs="宋体"/>
          <w:color w:val="auto"/>
          <w:highlight w:val="none"/>
        </w:rPr>
        <w:t>有效，如中标，有效期将延至合同终止日为止。</w:t>
      </w:r>
    </w:p>
    <w:p w14:paraId="72050D8E">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（四）我方已详细研究了招标文件的所有内容包括修正文（如果有）和所有已提供的参考资料以及有关附件并完全明白, 我方放弃在此方面提出含糊意见或误解的一切权力。</w:t>
      </w:r>
    </w:p>
    <w:p w14:paraId="46540C08">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（五）我方明白并愿意在规定的开标时间和日期之后,投标有效期之内撤回投标, 则投标保证金将被贵方没收。</w:t>
      </w:r>
    </w:p>
    <w:p w14:paraId="79B33A61">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（六）我方同意按照贵方可能提出的要求而提供与投标有关的任何其它数据或信息。</w:t>
      </w:r>
    </w:p>
    <w:p w14:paraId="5580C5FA">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（七）我方理解贵方不一定接受最低标价或任何贵方可能收到的投标。</w:t>
      </w:r>
    </w:p>
    <w:p w14:paraId="6D5033DE">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（八）我方如果中标，将保证履行招标文件以及招标文件修改书（如果有的话）中的全部责任和义务，按质、按量、按期完成《合同书》中的全部任务。</w:t>
      </w:r>
    </w:p>
    <w:p w14:paraId="5A4C6682">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highlight w:val="none"/>
        </w:rPr>
        <w:t>（九）如我方被授予合同，我方就本次招标支付有关的招标服务费。</w:t>
      </w:r>
    </w:p>
    <w:p w14:paraId="7C7D55EA">
      <w:pPr>
        <w:spacing w:line="360" w:lineRule="auto"/>
        <w:ind w:firstLine="411" w:firstLineChars="196"/>
        <w:rPr>
          <w:rFonts w:hint="eastAsia" w:ascii="宋体" w:hAnsi="宋体" w:eastAsia="宋体" w:cs="宋体"/>
          <w:color w:val="auto"/>
          <w:highlight w:val="none"/>
        </w:rPr>
      </w:pPr>
      <w:r>
        <w:rPr>
          <w:rFonts w:hint="eastAsia" w:ascii="宋体" w:hAnsi="宋体" w:eastAsia="宋体" w:cs="宋体"/>
          <w:color w:val="auto"/>
          <w:highlight w:val="none"/>
        </w:rPr>
        <w:t>（十）所有与本招标有关的函件请发往下列地址:</w:t>
      </w:r>
    </w:p>
    <w:p w14:paraId="58F7B1EF">
      <w:pPr>
        <w:spacing w:line="360" w:lineRule="auto"/>
        <w:ind w:left="721"/>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EDBDED8">
      <w:pPr>
        <w:spacing w:line="360" w:lineRule="auto"/>
        <w:ind w:left="721"/>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电    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    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2E093FB7">
      <w:pPr>
        <w:spacing w:line="360" w:lineRule="auto"/>
        <w:ind w:left="721"/>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职    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881766D">
      <w:pPr>
        <w:spacing w:line="360" w:lineRule="auto"/>
        <w:rPr>
          <w:rFonts w:hint="eastAsia" w:ascii="宋体" w:hAnsi="宋体" w:eastAsia="宋体" w:cs="宋体"/>
          <w:color w:val="auto"/>
          <w:highlight w:val="none"/>
          <w:u w:val="single"/>
        </w:rPr>
      </w:pPr>
    </w:p>
    <w:p w14:paraId="232BE2AF">
      <w:pPr>
        <w:spacing w:line="360" w:lineRule="auto"/>
        <w:ind w:left="630" w:hanging="630"/>
        <w:rPr>
          <w:rFonts w:hint="eastAsia" w:ascii="宋体" w:hAnsi="宋体" w:eastAsia="宋体" w:cs="宋体"/>
          <w:color w:val="auto"/>
          <w:highlight w:val="none"/>
        </w:rPr>
      </w:pPr>
    </w:p>
    <w:p w14:paraId="41847E10">
      <w:pPr>
        <w:spacing w:line="360" w:lineRule="auto"/>
        <w:rPr>
          <w:rFonts w:hint="eastAsia" w:ascii="宋体" w:hAnsi="宋体" w:eastAsia="宋体" w:cs="宋体"/>
          <w:color w:val="auto"/>
          <w:highlight w:val="none"/>
          <w:u w:val="single"/>
        </w:rPr>
      </w:pPr>
    </w:p>
    <w:p w14:paraId="1ACEAEB0">
      <w:pPr>
        <w:pStyle w:val="26"/>
        <w:ind w:left="4700" w:leftChars="2238"/>
        <w:jc w:val="left"/>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67EE1A16">
      <w:pPr>
        <w:pStyle w:val="26"/>
        <w:ind w:left="4700" w:leftChars="2238"/>
        <w:jc w:val="left"/>
        <w:rPr>
          <w:rFonts w:hint="eastAsia" w:ascii="宋体" w:hAnsi="宋体" w:eastAsia="宋体" w:cs="宋体"/>
          <w:color w:val="auto"/>
          <w:highlight w:val="none"/>
        </w:rPr>
      </w:pPr>
      <w:r>
        <w:rPr>
          <w:rFonts w:hint="eastAsia" w:ascii="宋体" w:hAnsi="宋体" w:eastAsia="宋体" w:cs="宋体"/>
          <w:color w:val="auto"/>
          <w:highlight w:val="none"/>
        </w:rPr>
        <w:t>投标人法定代表人或其授权代表（签名或盖章）：</w:t>
      </w:r>
    </w:p>
    <w:p w14:paraId="729D6D15">
      <w:pPr>
        <w:pStyle w:val="26"/>
        <w:ind w:left="4700" w:leftChars="2238"/>
        <w:jc w:val="left"/>
        <w:rPr>
          <w:rFonts w:hint="eastAsia" w:ascii="宋体" w:hAnsi="宋体" w:eastAsia="宋体" w:cs="宋体"/>
          <w:color w:val="auto"/>
          <w:szCs w:val="21"/>
          <w:highlight w:val="none"/>
        </w:rPr>
      </w:pPr>
      <w:r>
        <w:rPr>
          <w:rFonts w:hint="eastAsia" w:ascii="宋体" w:hAnsi="宋体" w:eastAsia="宋体" w:cs="宋体"/>
          <w:color w:val="auto"/>
          <w:highlight w:val="none"/>
        </w:rPr>
        <w:t>日期：    年   月   日</w:t>
      </w:r>
    </w:p>
    <w:p w14:paraId="4DE8C65B">
      <w:pPr>
        <w:spacing w:line="360" w:lineRule="auto"/>
        <w:ind w:left="721"/>
        <w:rPr>
          <w:rFonts w:hint="eastAsia" w:ascii="宋体" w:hAnsi="宋体" w:eastAsia="宋体" w:cs="宋体"/>
          <w:color w:val="auto"/>
          <w:highlight w:val="none"/>
          <w:u w:val="single"/>
        </w:rPr>
      </w:pPr>
    </w:p>
    <w:p w14:paraId="4C874694">
      <w:pPr>
        <w:tabs>
          <w:tab w:val="left" w:pos="4320"/>
        </w:tabs>
        <w:rPr>
          <w:rFonts w:hint="eastAsia" w:ascii="宋体" w:hAnsi="宋体" w:eastAsia="宋体" w:cs="宋体"/>
          <w:color w:val="auto"/>
          <w:highlight w:val="none"/>
        </w:rPr>
      </w:pPr>
    </w:p>
    <w:p w14:paraId="68209D69">
      <w:pPr>
        <w:tabs>
          <w:tab w:val="left" w:pos="4320"/>
        </w:tabs>
        <w:rPr>
          <w:rFonts w:hint="eastAsia" w:ascii="宋体" w:hAnsi="宋体" w:eastAsia="宋体" w:cs="宋体"/>
          <w:color w:val="auto"/>
          <w:highlight w:val="none"/>
        </w:rPr>
      </w:pPr>
    </w:p>
    <w:p w14:paraId="15C8CF67">
      <w:pPr>
        <w:tabs>
          <w:tab w:val="left" w:pos="4320"/>
        </w:tabs>
        <w:rPr>
          <w:rFonts w:hint="eastAsia" w:ascii="宋体" w:hAnsi="宋体" w:eastAsia="宋体" w:cs="宋体"/>
          <w:color w:val="auto"/>
          <w:highlight w:val="none"/>
        </w:rPr>
      </w:pPr>
    </w:p>
    <w:p w14:paraId="284A29F4">
      <w:pPr>
        <w:tabs>
          <w:tab w:val="left" w:pos="4320"/>
        </w:tabs>
        <w:rPr>
          <w:rFonts w:hint="eastAsia" w:ascii="宋体" w:hAnsi="宋体" w:eastAsia="宋体" w:cs="宋体"/>
          <w:color w:val="auto"/>
          <w:highlight w:val="none"/>
        </w:rPr>
      </w:pPr>
    </w:p>
    <w:p w14:paraId="0CE88528">
      <w:pPr>
        <w:tabs>
          <w:tab w:val="left" w:pos="4320"/>
        </w:tabs>
        <w:rPr>
          <w:rFonts w:hint="eastAsia" w:ascii="宋体" w:hAnsi="宋体" w:eastAsia="宋体" w:cs="宋体"/>
          <w:color w:val="auto"/>
          <w:highlight w:val="none"/>
        </w:rPr>
      </w:pPr>
    </w:p>
    <w:p w14:paraId="111E74D3">
      <w:pPr>
        <w:tabs>
          <w:tab w:val="left" w:pos="4320"/>
        </w:tabs>
        <w:rPr>
          <w:rFonts w:hint="eastAsia" w:ascii="宋体" w:hAnsi="宋体" w:eastAsia="宋体" w:cs="宋体"/>
          <w:color w:val="auto"/>
          <w:highlight w:val="none"/>
        </w:rPr>
      </w:pPr>
    </w:p>
    <w:p w14:paraId="059DBE21">
      <w:pPr>
        <w:tabs>
          <w:tab w:val="left" w:pos="4320"/>
        </w:tabs>
        <w:rPr>
          <w:rFonts w:hint="eastAsia" w:ascii="宋体" w:hAnsi="宋体" w:eastAsia="宋体" w:cs="宋体"/>
          <w:color w:val="auto"/>
          <w:highlight w:val="none"/>
        </w:rPr>
      </w:pPr>
    </w:p>
    <w:p w14:paraId="051F9923">
      <w:pPr>
        <w:tabs>
          <w:tab w:val="left" w:pos="4320"/>
        </w:tabs>
        <w:rPr>
          <w:rFonts w:hint="eastAsia" w:ascii="宋体" w:hAnsi="宋体" w:eastAsia="宋体" w:cs="宋体"/>
          <w:color w:val="auto"/>
          <w:highlight w:val="none"/>
        </w:rPr>
      </w:pPr>
    </w:p>
    <w:p w14:paraId="769823C0">
      <w:pPr>
        <w:tabs>
          <w:tab w:val="left" w:pos="4320"/>
        </w:tabs>
        <w:rPr>
          <w:rFonts w:hint="eastAsia" w:ascii="宋体" w:hAnsi="宋体" w:eastAsia="宋体" w:cs="宋体"/>
          <w:color w:val="auto"/>
          <w:highlight w:val="none"/>
        </w:rPr>
      </w:pPr>
    </w:p>
    <w:p w14:paraId="6AA4D6C1">
      <w:pPr>
        <w:tabs>
          <w:tab w:val="left" w:pos="4320"/>
        </w:tabs>
        <w:rPr>
          <w:rFonts w:hint="eastAsia" w:ascii="宋体" w:hAnsi="宋体" w:eastAsia="宋体" w:cs="宋体"/>
          <w:color w:val="auto"/>
          <w:highlight w:val="none"/>
        </w:rPr>
      </w:pPr>
    </w:p>
    <w:p w14:paraId="6972B05D">
      <w:pPr>
        <w:tabs>
          <w:tab w:val="left" w:pos="4320"/>
        </w:tabs>
        <w:rPr>
          <w:rFonts w:hint="eastAsia" w:ascii="宋体" w:hAnsi="宋体" w:eastAsia="宋体" w:cs="宋体"/>
          <w:color w:val="auto"/>
          <w:highlight w:val="none"/>
        </w:rPr>
      </w:pPr>
    </w:p>
    <w:p w14:paraId="1B6626DD">
      <w:pPr>
        <w:tabs>
          <w:tab w:val="left" w:pos="4320"/>
        </w:tabs>
        <w:rPr>
          <w:rFonts w:hint="eastAsia" w:ascii="宋体" w:hAnsi="宋体" w:eastAsia="宋体" w:cs="宋体"/>
          <w:color w:val="auto"/>
          <w:highlight w:val="none"/>
        </w:rPr>
      </w:pPr>
    </w:p>
    <w:p w14:paraId="2989F2AA">
      <w:pPr>
        <w:rPr>
          <w:rFonts w:hint="eastAsia" w:ascii="宋体" w:hAnsi="宋体" w:eastAsia="宋体" w:cs="宋体"/>
          <w:color w:val="auto"/>
          <w:highlight w:val="none"/>
        </w:rPr>
      </w:pPr>
      <w:bookmarkStart w:id="94" w:name="_Toc496161873"/>
      <w:bookmarkStart w:id="95" w:name="_Toc118018365"/>
      <w:r>
        <w:rPr>
          <w:rFonts w:hint="eastAsia" w:ascii="宋体" w:hAnsi="宋体" w:eastAsia="宋体" w:cs="宋体"/>
          <w:color w:val="auto"/>
          <w:highlight w:val="none"/>
        </w:rPr>
        <w:br w:type="page"/>
      </w:r>
      <w:bookmarkStart w:id="96" w:name="_Toc455417783"/>
      <w:bookmarkStart w:id="97" w:name="_Toc476177432"/>
      <w:bookmarkStart w:id="98" w:name="_Toc476177991"/>
    </w:p>
    <w:p w14:paraId="2BD2CB59">
      <w:pPr>
        <w:pStyle w:val="3"/>
        <w:numPr>
          <w:ilvl w:val="0"/>
          <w:numId w:val="0"/>
        </w:numPr>
        <w:ind w:left="422"/>
        <w:rPr>
          <w:rFonts w:hint="eastAsia" w:ascii="宋体" w:hAnsi="宋体" w:eastAsia="宋体" w:cs="宋体"/>
          <w:b w:val="0"/>
          <w:bCs/>
          <w:color w:val="auto"/>
          <w:highlight w:val="none"/>
        </w:rPr>
      </w:pPr>
      <w:bookmarkStart w:id="99" w:name="_Toc477185969"/>
      <w:bookmarkStart w:id="100" w:name="_Toc477186330"/>
      <w:r>
        <w:rPr>
          <w:rFonts w:hint="eastAsia" w:ascii="宋体" w:hAnsi="宋体" w:eastAsia="宋体" w:cs="宋体"/>
          <w:b w:val="0"/>
          <w:bCs/>
          <w:color w:val="auto"/>
          <w:highlight w:val="none"/>
        </w:rPr>
        <w:t>（2）法定代表人证明书</w:t>
      </w:r>
      <w:bookmarkEnd w:id="94"/>
      <w:r>
        <w:rPr>
          <w:rFonts w:hint="eastAsia" w:ascii="宋体" w:hAnsi="宋体" w:eastAsia="宋体" w:cs="宋体"/>
          <w:b w:val="0"/>
          <w:bCs/>
          <w:color w:val="auto"/>
          <w:highlight w:val="none"/>
        </w:rPr>
        <w:t>及法定代表人授权书</w:t>
      </w:r>
      <w:bookmarkEnd w:id="95"/>
      <w:bookmarkEnd w:id="96"/>
      <w:bookmarkEnd w:id="97"/>
      <w:bookmarkEnd w:id="98"/>
      <w:bookmarkEnd w:id="99"/>
      <w:bookmarkEnd w:id="100"/>
    </w:p>
    <w:p w14:paraId="71E1BF63">
      <w:pPr>
        <w:widowControl/>
        <w:jc w:val="left"/>
        <w:rPr>
          <w:rFonts w:hint="eastAsia" w:ascii="宋体" w:hAnsi="宋体" w:eastAsia="宋体" w:cs="宋体"/>
          <w:color w:val="auto"/>
          <w:highlight w:val="none"/>
        </w:rPr>
      </w:pPr>
    </w:p>
    <w:p w14:paraId="1FDEA80F">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（投标人可使用下述格式，也可使用广东省工商行政管理局统一印制的法定代表人证明书格式）</w:t>
      </w:r>
    </w:p>
    <w:p w14:paraId="45173AFE">
      <w:pPr>
        <w:spacing w:line="360" w:lineRule="auto"/>
        <w:jc w:val="center"/>
        <w:rPr>
          <w:rFonts w:hint="eastAsia" w:ascii="宋体" w:hAnsi="宋体" w:eastAsia="宋体" w:cs="宋体"/>
          <w:b/>
          <w:color w:val="auto"/>
          <w:sz w:val="24"/>
          <w:highlight w:val="none"/>
        </w:rPr>
      </w:pPr>
    </w:p>
    <w:p w14:paraId="4094644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法定代表人证明书</w:t>
      </w:r>
    </w:p>
    <w:p w14:paraId="15652E15">
      <w:pPr>
        <w:spacing w:line="360" w:lineRule="auto"/>
        <w:rPr>
          <w:rFonts w:hint="eastAsia" w:ascii="宋体" w:hAnsi="宋体" w:eastAsia="宋体" w:cs="宋体"/>
          <w:bCs/>
          <w:color w:val="auto"/>
          <w:szCs w:val="21"/>
          <w:highlight w:val="none"/>
          <w:u w:val="single"/>
        </w:rPr>
      </w:pPr>
    </w:p>
    <w:p w14:paraId="5A131E00">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（姓名）</w:t>
      </w:r>
      <w:r>
        <w:rPr>
          <w:rFonts w:hint="eastAsia" w:ascii="宋体" w:hAnsi="宋体" w:eastAsia="宋体" w:cs="宋体"/>
          <w:bCs/>
          <w:color w:val="auto"/>
          <w:szCs w:val="21"/>
          <w:highlight w:val="none"/>
        </w:rPr>
        <w:t>现任我单位</w:t>
      </w:r>
      <w:r>
        <w:rPr>
          <w:rFonts w:hint="eastAsia" w:ascii="宋体" w:hAnsi="宋体" w:eastAsia="宋体" w:cs="宋体"/>
          <w:bCs/>
          <w:color w:val="auto"/>
          <w:szCs w:val="21"/>
          <w:highlight w:val="none"/>
          <w:u w:val="single"/>
        </w:rPr>
        <w:t>（职务）</w:t>
      </w:r>
      <w:r>
        <w:rPr>
          <w:rFonts w:hint="eastAsia" w:ascii="宋体" w:hAnsi="宋体" w:eastAsia="宋体" w:cs="宋体"/>
          <w:bCs/>
          <w:color w:val="auto"/>
          <w:szCs w:val="21"/>
          <w:highlight w:val="none"/>
        </w:rPr>
        <w:t>，为我司</w:t>
      </w:r>
      <w:r>
        <w:rPr>
          <w:rFonts w:hint="eastAsia" w:ascii="宋体" w:hAnsi="宋体" w:eastAsia="宋体" w:cs="宋体"/>
          <w:bCs/>
          <w:color w:val="auto"/>
          <w:szCs w:val="21"/>
          <w:highlight w:val="none"/>
          <w:u w:val="single"/>
        </w:rPr>
        <w:t>（单位名称）</w:t>
      </w:r>
      <w:r>
        <w:rPr>
          <w:rFonts w:hint="eastAsia" w:ascii="宋体" w:hAnsi="宋体" w:eastAsia="宋体" w:cs="宋体"/>
          <w:bCs/>
          <w:color w:val="auto"/>
          <w:szCs w:val="21"/>
          <w:highlight w:val="none"/>
        </w:rPr>
        <w:t>法定代表人，特此证明。</w:t>
      </w:r>
    </w:p>
    <w:p w14:paraId="1F13421A">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有效期限：</w:t>
      </w:r>
    </w:p>
    <w:p w14:paraId="26F8D7EA">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附：代表人性别：年龄：身份证号码：___________________________</w:t>
      </w:r>
    </w:p>
    <w:p w14:paraId="5621E95C">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企业注册号码：企业类型：_____________________________________ </w:t>
      </w:r>
    </w:p>
    <w:p w14:paraId="17DAC282">
      <w:pPr>
        <w:spacing w:line="360"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经营范围：</w:t>
      </w:r>
    </w:p>
    <w:p w14:paraId="7DD93C72">
      <w:pPr>
        <w:spacing w:line="360" w:lineRule="auto"/>
        <w:jc w:val="left"/>
        <w:rPr>
          <w:rFonts w:hint="eastAsia" w:ascii="宋体" w:hAnsi="宋体" w:eastAsia="宋体" w:cs="宋体"/>
          <w:b/>
          <w:color w:val="auto"/>
          <w:szCs w:val="21"/>
          <w:highlight w:val="none"/>
          <w:u w:val="single"/>
        </w:rPr>
      </w:pPr>
      <w:r>
        <w:rPr>
          <w:rFonts w:hint="eastAsia" w:ascii="宋体" w:hAnsi="宋体" w:eastAsia="宋体" w:cs="宋体"/>
          <w:bCs/>
          <w:color w:val="auto"/>
          <w:szCs w:val="21"/>
          <w:highlight w:val="none"/>
        </w:rPr>
        <w:t>______________________________________________________。</w:t>
      </w:r>
    </w:p>
    <w:p w14:paraId="06775BB1">
      <w:pPr>
        <w:spacing w:line="360" w:lineRule="auto"/>
        <w:rPr>
          <w:rFonts w:hint="eastAsia" w:ascii="宋体" w:hAnsi="宋体" w:eastAsia="宋体" w:cs="宋体"/>
          <w:b/>
          <w:color w:val="auto"/>
          <w:szCs w:val="21"/>
          <w:highlight w:val="none"/>
        </w:rPr>
      </w:pPr>
    </w:p>
    <w:p w14:paraId="4BA8A939">
      <w:pPr>
        <w:pStyle w:val="26"/>
        <w:ind w:left="4700" w:leftChars="2238"/>
        <w:jc w:val="left"/>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6BFC8BB1">
      <w:pPr>
        <w:pStyle w:val="26"/>
        <w:ind w:left="4700" w:leftChars="2238"/>
        <w:jc w:val="left"/>
        <w:rPr>
          <w:rFonts w:hint="eastAsia" w:ascii="宋体" w:hAnsi="宋体" w:eastAsia="宋体" w:cs="宋体"/>
          <w:color w:val="auto"/>
          <w:szCs w:val="21"/>
          <w:highlight w:val="none"/>
        </w:rPr>
      </w:pPr>
      <w:r>
        <w:rPr>
          <w:rFonts w:hint="eastAsia" w:ascii="宋体" w:hAnsi="宋体" w:eastAsia="宋体" w:cs="宋体"/>
          <w:color w:val="auto"/>
          <w:highlight w:val="none"/>
        </w:rPr>
        <w:t>日期：    年   月   日</w:t>
      </w:r>
    </w:p>
    <w:p w14:paraId="1FD7B5A8">
      <w:pPr>
        <w:rPr>
          <w:rFonts w:hint="eastAsia" w:ascii="宋体" w:hAnsi="宋体" w:eastAsia="宋体" w:cs="宋体"/>
          <w:color w:val="auto"/>
          <w:sz w:val="28"/>
          <w:szCs w:val="28"/>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8"/>
      </w:tblGrid>
      <w:tr w14:paraId="4DDE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338" w:type="dxa"/>
            <w:noWrap w:val="0"/>
            <w:vAlign w:val="center"/>
          </w:tcPr>
          <w:p w14:paraId="1797D8B2">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粘贴法定代表人身份证复印件</w:t>
            </w:r>
          </w:p>
        </w:tc>
      </w:tr>
    </w:tbl>
    <w:p w14:paraId="7407C41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5013C38">
      <w:pPr>
        <w:spacing w:line="360" w:lineRule="auto"/>
        <w:jc w:val="center"/>
        <w:rPr>
          <w:rFonts w:hint="eastAsia" w:ascii="宋体" w:hAnsi="宋体" w:eastAsia="宋体" w:cs="宋体"/>
          <w:b/>
          <w:bCs/>
          <w:color w:val="auto"/>
          <w:sz w:val="30"/>
          <w:highlight w:val="none"/>
        </w:rPr>
      </w:pPr>
      <w:r>
        <w:rPr>
          <w:rFonts w:hint="eastAsia" w:ascii="宋体" w:hAnsi="宋体" w:eastAsia="宋体" w:cs="宋体"/>
          <w:b/>
          <w:bCs/>
          <w:color w:val="auto"/>
          <w:sz w:val="30"/>
          <w:highlight w:val="none"/>
        </w:rPr>
        <w:t>法定代表人授权书</w:t>
      </w:r>
    </w:p>
    <w:p w14:paraId="4262EC7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szCs w:val="21"/>
          <w:highlight w:val="none"/>
        </w:rPr>
        <w:t>广东省机电设备招标有限公司</w:t>
      </w:r>
    </w:p>
    <w:p w14:paraId="385BB519">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本授权书声明：注册于</w:t>
      </w:r>
      <w:r>
        <w:rPr>
          <w:rFonts w:hint="eastAsia" w:ascii="宋体" w:hAnsi="宋体" w:eastAsia="宋体" w:cs="宋体"/>
          <w:color w:val="auto"/>
          <w:highlight w:val="none"/>
          <w:u w:val="single"/>
        </w:rPr>
        <w:t>（国家或地区）</w:t>
      </w:r>
      <w:r>
        <w:rPr>
          <w:rFonts w:hint="eastAsia" w:ascii="宋体" w:hAnsi="宋体" w:eastAsia="宋体" w:cs="宋体"/>
          <w:color w:val="auto"/>
          <w:highlight w:val="none"/>
        </w:rPr>
        <w:t>的</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的在下面签字的</w:t>
      </w:r>
      <w:r>
        <w:rPr>
          <w:rFonts w:hint="eastAsia" w:ascii="宋体" w:hAnsi="宋体" w:eastAsia="宋体" w:cs="宋体"/>
          <w:color w:val="auto"/>
          <w:highlight w:val="none"/>
          <w:u w:val="single"/>
        </w:rPr>
        <w:t>（法定代表人的姓名、职务）</w:t>
      </w:r>
      <w:r>
        <w:rPr>
          <w:rFonts w:hint="eastAsia" w:ascii="宋体" w:hAnsi="宋体" w:eastAsia="宋体" w:cs="宋体"/>
          <w:color w:val="auto"/>
          <w:highlight w:val="none"/>
        </w:rPr>
        <w:t>代表本公司授权在下面签字的</w:t>
      </w:r>
      <w:r>
        <w:rPr>
          <w:rFonts w:hint="eastAsia" w:ascii="宋体" w:hAnsi="宋体" w:eastAsia="宋体" w:cs="宋体"/>
          <w:color w:val="auto"/>
          <w:highlight w:val="none"/>
          <w:u w:val="single"/>
        </w:rPr>
        <w:t>（被授权人的姓名、职务）</w:t>
      </w:r>
      <w:r>
        <w:rPr>
          <w:rFonts w:hint="eastAsia" w:ascii="宋体" w:hAnsi="宋体" w:eastAsia="宋体" w:cs="宋体"/>
          <w:color w:val="auto"/>
          <w:highlight w:val="none"/>
        </w:rPr>
        <w:t>为本公司的合法代表人，就“项目名称：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【项目编号：</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highlight w:val="none"/>
        </w:rPr>
        <w:t>招标的投标和合同执行，以我方的名义处理一切与之有关的事宜。</w:t>
      </w:r>
    </w:p>
    <w:p w14:paraId="338DA83F">
      <w:pPr>
        <w:spacing w:line="276" w:lineRule="auto"/>
        <w:rPr>
          <w:rFonts w:hint="eastAsia" w:ascii="宋体" w:hAnsi="宋体" w:eastAsia="宋体" w:cs="宋体"/>
          <w:color w:val="auto"/>
          <w:highlight w:val="none"/>
        </w:rPr>
      </w:pPr>
    </w:p>
    <w:p w14:paraId="1548D26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本授权书于 年 月 日签字生效，特此证明。</w:t>
      </w:r>
    </w:p>
    <w:p w14:paraId="0ADBC915">
      <w:pPr>
        <w:spacing w:line="480" w:lineRule="auto"/>
        <w:ind w:firstLine="474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0F1E059E">
      <w:pPr>
        <w:spacing w:line="480" w:lineRule="auto"/>
        <w:ind w:firstLine="4740"/>
        <w:rPr>
          <w:rFonts w:hint="eastAsia" w:ascii="宋体" w:hAnsi="宋体" w:eastAsia="宋体" w:cs="宋体"/>
          <w:color w:val="auto"/>
          <w:highlight w:val="none"/>
        </w:rPr>
      </w:pPr>
      <w:r>
        <w:rPr>
          <w:rFonts w:hint="eastAsia" w:ascii="宋体" w:hAnsi="宋体" w:eastAsia="宋体" w:cs="宋体"/>
          <w:color w:val="auto"/>
          <w:highlight w:val="none"/>
        </w:rPr>
        <w:t>法定代表人（签字或盖章）：</w:t>
      </w:r>
    </w:p>
    <w:p w14:paraId="52766109">
      <w:pPr>
        <w:spacing w:line="480" w:lineRule="auto"/>
        <w:ind w:firstLine="4740"/>
        <w:rPr>
          <w:rFonts w:hint="eastAsia" w:ascii="宋体" w:hAnsi="宋体" w:eastAsia="宋体" w:cs="宋体"/>
          <w:color w:val="auto"/>
          <w:highlight w:val="none"/>
        </w:rPr>
      </w:pPr>
      <w:r>
        <w:rPr>
          <w:rFonts w:hint="eastAsia" w:ascii="宋体" w:hAnsi="宋体" w:eastAsia="宋体" w:cs="宋体"/>
          <w:color w:val="auto"/>
          <w:highlight w:val="none"/>
        </w:rPr>
        <w:t>职务：</w:t>
      </w:r>
    </w:p>
    <w:p w14:paraId="4A5698F2">
      <w:pPr>
        <w:spacing w:line="480" w:lineRule="auto"/>
        <w:ind w:firstLine="4740"/>
        <w:rPr>
          <w:rFonts w:hint="eastAsia" w:ascii="宋体" w:hAnsi="宋体" w:eastAsia="宋体" w:cs="宋体"/>
          <w:color w:val="auto"/>
          <w:highlight w:val="none"/>
        </w:rPr>
      </w:pPr>
    </w:p>
    <w:p w14:paraId="029FDB44">
      <w:pPr>
        <w:spacing w:line="480" w:lineRule="auto"/>
        <w:ind w:firstLine="4740"/>
        <w:rPr>
          <w:rFonts w:hint="eastAsia" w:ascii="宋体" w:hAnsi="宋体" w:eastAsia="宋体" w:cs="宋体"/>
          <w:color w:val="auto"/>
          <w:highlight w:val="none"/>
        </w:rPr>
      </w:pPr>
      <w:r>
        <w:rPr>
          <w:rFonts w:hint="eastAsia" w:ascii="宋体" w:hAnsi="宋体" w:eastAsia="宋体" w:cs="宋体"/>
          <w:color w:val="auto"/>
          <w:highlight w:val="none"/>
        </w:rPr>
        <w:t>被授权人（签字或盖章）：</w:t>
      </w:r>
    </w:p>
    <w:p w14:paraId="6F9B5EA6">
      <w:pPr>
        <w:spacing w:line="480" w:lineRule="auto"/>
        <w:ind w:firstLine="4740"/>
        <w:rPr>
          <w:rFonts w:hint="eastAsia" w:ascii="宋体" w:hAnsi="宋体" w:eastAsia="宋体" w:cs="宋体"/>
          <w:color w:val="auto"/>
          <w:highlight w:val="none"/>
        </w:rPr>
      </w:pPr>
      <w:r>
        <w:rPr>
          <w:rFonts w:hint="eastAsia" w:ascii="宋体" w:hAnsi="宋体" w:eastAsia="宋体" w:cs="宋体"/>
          <w:color w:val="auto"/>
          <w:highlight w:val="none"/>
        </w:rPr>
        <w:t>被授权人身份证号码：</w:t>
      </w:r>
    </w:p>
    <w:p w14:paraId="047D38C1">
      <w:pPr>
        <w:spacing w:line="480" w:lineRule="auto"/>
        <w:ind w:firstLine="4740"/>
        <w:rPr>
          <w:rFonts w:hint="eastAsia" w:ascii="宋体" w:hAnsi="宋体" w:eastAsia="宋体" w:cs="宋体"/>
          <w:color w:val="auto"/>
          <w:highlight w:val="none"/>
        </w:rPr>
      </w:pPr>
      <w:r>
        <w:rPr>
          <w:rFonts w:hint="eastAsia" w:ascii="宋体" w:hAnsi="宋体" w:eastAsia="宋体" w:cs="宋体"/>
          <w:color w:val="auto"/>
          <w:highlight w:val="none"/>
        </w:rPr>
        <w:t>职务：</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14:paraId="35CE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8696" w:type="dxa"/>
            <w:noWrap w:val="0"/>
            <w:vAlign w:val="center"/>
          </w:tcPr>
          <w:p w14:paraId="08AA4707">
            <w:pPr>
              <w:spacing w:line="360" w:lineRule="auto"/>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粘贴被授权人身份证复印件</w:t>
            </w:r>
          </w:p>
        </w:tc>
      </w:tr>
    </w:tbl>
    <w:p w14:paraId="161CD2D1">
      <w:pPr>
        <w:widowControl/>
        <w:jc w:val="left"/>
        <w:rPr>
          <w:rFonts w:hint="eastAsia" w:ascii="宋体" w:hAnsi="宋体" w:eastAsia="宋体" w:cs="宋体"/>
          <w:bCs/>
          <w:color w:val="auto"/>
          <w:sz w:val="28"/>
          <w:szCs w:val="28"/>
          <w:highlight w:val="none"/>
        </w:rPr>
      </w:pPr>
      <w:r>
        <w:rPr>
          <w:rFonts w:hint="eastAsia" w:ascii="宋体" w:hAnsi="宋体" w:eastAsia="宋体" w:cs="宋体"/>
          <w:color w:val="auto"/>
          <w:highlight w:val="none"/>
        </w:rPr>
        <w:br w:type="page"/>
      </w:r>
    </w:p>
    <w:p w14:paraId="10F799BB">
      <w:pPr>
        <w:spacing w:line="48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（3）资格声明格式</w:t>
      </w:r>
    </w:p>
    <w:p w14:paraId="2AD4EF55">
      <w:pPr>
        <w:spacing w:before="120"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资格声明</w:t>
      </w:r>
    </w:p>
    <w:p w14:paraId="7204290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广东省机电设备招标有限公司：</w:t>
      </w:r>
    </w:p>
    <w:p w14:paraId="4743626E">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下述投标人愿响应你方</w:t>
      </w:r>
      <w:r>
        <w:rPr>
          <w:rFonts w:hint="eastAsia" w:ascii="宋体" w:hAnsi="宋体" w:eastAsia="宋体" w:cs="宋体"/>
          <w:color w:val="auto"/>
          <w:szCs w:val="21"/>
          <w:highlight w:val="none"/>
          <w:u w:val="single"/>
        </w:rPr>
        <w:t>（项目编号）</w:t>
      </w:r>
      <w:r>
        <w:rPr>
          <w:rFonts w:hint="eastAsia" w:ascii="宋体" w:hAnsi="宋体" w:eastAsia="宋体" w:cs="宋体"/>
          <w:color w:val="auto"/>
          <w:szCs w:val="21"/>
          <w:highlight w:val="none"/>
        </w:rPr>
        <w:t>投标邀请，参与投标，并按招标文件要求提交所附资格文件且声明和保证如下：</w:t>
      </w:r>
    </w:p>
    <w:p w14:paraId="2E45B6D8">
      <w:pPr>
        <w:numPr>
          <w:ilvl w:val="0"/>
          <w:numId w:val="14"/>
        </w:numPr>
        <w:tabs>
          <w:tab w:val="left" w:pos="515"/>
        </w:tabs>
        <w:spacing w:line="360" w:lineRule="auto"/>
        <w:ind w:left="0" w:firstLine="51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我方为本次投标所提交的所有证明其合格和资格的文件是真实的和正确的，并愿为其真实性和正确性承担法律责任；</w:t>
      </w:r>
    </w:p>
    <w:p w14:paraId="0E8347B6">
      <w:pPr>
        <w:numPr>
          <w:ilvl w:val="0"/>
          <w:numId w:val="14"/>
        </w:numPr>
        <w:tabs>
          <w:tab w:val="left" w:pos="515"/>
        </w:tabs>
        <w:spacing w:line="360" w:lineRule="auto"/>
        <w:ind w:left="0" w:firstLine="51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我方是依法注册的法人，在法律上、财务上和运作上完全独立于</w:t>
      </w:r>
      <w:r>
        <w:rPr>
          <w:rFonts w:hint="eastAsia" w:ascii="宋体" w:hAnsi="宋体" w:eastAsia="宋体" w:cs="宋体"/>
          <w:color w:val="auto"/>
          <w:szCs w:val="21"/>
          <w:highlight w:val="none"/>
          <w:u w:val="single"/>
        </w:rPr>
        <w:t>（招标人名称）</w:t>
      </w:r>
      <w:r>
        <w:rPr>
          <w:rFonts w:hint="eastAsia" w:ascii="宋体" w:hAnsi="宋体" w:eastAsia="宋体" w:cs="宋体"/>
          <w:color w:val="auto"/>
          <w:szCs w:val="21"/>
          <w:highlight w:val="none"/>
        </w:rPr>
        <w:t>及广东省机电设备招标有限公司（招标代理机构）；</w:t>
      </w:r>
    </w:p>
    <w:p w14:paraId="018E79CE">
      <w:pPr>
        <w:numPr>
          <w:ilvl w:val="0"/>
          <w:numId w:val="14"/>
        </w:numPr>
        <w:tabs>
          <w:tab w:val="left" w:pos="515"/>
        </w:tabs>
        <w:spacing w:line="360" w:lineRule="auto"/>
        <w:ind w:left="0" w:firstLine="51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我方在参加本次投标前3年内，在经营活动及参与投标活动中没有重大违法活动及涉嫌违规行为，并没有因而被有关部门警告或处分的记录。</w:t>
      </w:r>
    </w:p>
    <w:p w14:paraId="04461161">
      <w:pPr>
        <w:numPr>
          <w:ilvl w:val="0"/>
          <w:numId w:val="14"/>
        </w:numPr>
        <w:tabs>
          <w:tab w:val="left" w:pos="515"/>
        </w:tabs>
        <w:spacing w:line="360" w:lineRule="auto"/>
        <w:ind w:left="0" w:firstLine="515"/>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我方所属的单位负责人为同一人或者存在控股、管理等关联关系的不同供应商，未参加同一合同项下的采购活动。</w:t>
      </w:r>
    </w:p>
    <w:p w14:paraId="55CE5DBD">
      <w:pPr>
        <w:numPr>
          <w:ilvl w:val="0"/>
          <w:numId w:val="14"/>
        </w:numPr>
        <w:tabs>
          <w:tab w:val="left" w:pos="515"/>
        </w:tabs>
        <w:spacing w:line="360" w:lineRule="auto"/>
        <w:ind w:left="0" w:firstLine="515"/>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单位地址为同一地址的不同投标人，未参与同一合同项下的采购活动。</w:t>
      </w:r>
    </w:p>
    <w:p w14:paraId="0D63C368">
      <w:pPr>
        <w:pStyle w:val="13"/>
        <w:rPr>
          <w:rFonts w:hint="eastAsia" w:ascii="宋体" w:hAnsi="宋体" w:eastAsia="宋体" w:cs="宋体"/>
          <w:color w:val="auto"/>
          <w:highlight w:val="none"/>
        </w:rPr>
      </w:pPr>
    </w:p>
    <w:p w14:paraId="7D094654">
      <w:pPr>
        <w:spacing w:line="360" w:lineRule="auto"/>
        <w:ind w:left="540"/>
        <w:rPr>
          <w:rFonts w:hint="eastAsia" w:ascii="宋体" w:hAnsi="宋体" w:eastAsia="宋体" w:cs="宋体"/>
          <w:strike/>
          <w:color w:val="auto"/>
          <w:szCs w:val="21"/>
          <w:highlight w:val="none"/>
        </w:rPr>
      </w:pPr>
    </w:p>
    <w:p w14:paraId="6324C9B9">
      <w:pPr>
        <w:spacing w:line="360" w:lineRule="auto"/>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28A06FD1">
      <w:pPr>
        <w:spacing w:line="360" w:lineRule="auto"/>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投标人法定代表人或其授权代表（签名或盖章）：</w:t>
      </w:r>
    </w:p>
    <w:p w14:paraId="4C9FF4B2">
      <w:pPr>
        <w:spacing w:line="360" w:lineRule="auto"/>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199A2161">
      <w:pPr>
        <w:spacing w:line="480" w:lineRule="auto"/>
        <w:ind w:firstLine="3990" w:firstLineChars="1900"/>
        <w:rPr>
          <w:rFonts w:hint="eastAsia" w:ascii="宋体" w:hAnsi="宋体" w:eastAsia="宋体" w:cs="宋体"/>
          <w:color w:val="auto"/>
          <w:highlight w:val="none"/>
          <w:u w:val="single"/>
        </w:rPr>
      </w:pPr>
    </w:p>
    <w:p w14:paraId="5B7033B0">
      <w:pPr>
        <w:pStyle w:val="6"/>
        <w:spacing w:before="0" w:after="0" w:line="360" w:lineRule="auto"/>
        <w:ind w:left="0" w:firstLine="0"/>
        <w:rPr>
          <w:rFonts w:hint="eastAsia" w:ascii="宋体" w:hAnsi="宋体" w:eastAsia="宋体" w:cs="宋体"/>
          <w:b w:val="0"/>
          <w:bCs/>
          <w:color w:val="auto"/>
          <w:szCs w:val="21"/>
          <w:highlight w:val="none"/>
        </w:rPr>
      </w:pPr>
      <w:r>
        <w:rPr>
          <w:rFonts w:hint="eastAsia" w:ascii="宋体" w:hAnsi="宋体" w:eastAsia="宋体" w:cs="宋体"/>
          <w:color w:val="auto"/>
          <w:highlight w:val="none"/>
        </w:rPr>
        <w:br w:type="page"/>
      </w:r>
      <w:r>
        <w:rPr>
          <w:rFonts w:hint="eastAsia" w:ascii="宋体" w:hAnsi="宋体" w:eastAsia="宋体" w:cs="宋体"/>
          <w:b w:val="0"/>
          <w:bCs/>
          <w:color w:val="auto"/>
          <w:szCs w:val="28"/>
          <w:highlight w:val="none"/>
        </w:rPr>
        <w:t>（4）其他资格证明材料</w:t>
      </w:r>
    </w:p>
    <w:p w14:paraId="6EFEAB08">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根据合格投标人资格条件提供证明材料</w:t>
      </w:r>
    </w:p>
    <w:p w14:paraId="3C1D4453">
      <w:pPr>
        <w:adjustRightInd w:val="0"/>
        <w:snapToGrid w:val="0"/>
        <w:spacing w:line="360" w:lineRule="auto"/>
        <w:rPr>
          <w:rFonts w:hint="eastAsia" w:ascii="宋体" w:hAnsi="宋体" w:eastAsia="宋体" w:cs="宋体"/>
          <w:color w:val="auto"/>
          <w:szCs w:val="21"/>
          <w:highlight w:val="none"/>
        </w:rPr>
      </w:pPr>
    </w:p>
    <w:p w14:paraId="6B2CDB11">
      <w:pPr>
        <w:spacing w:line="360" w:lineRule="auto"/>
        <w:rPr>
          <w:rFonts w:hint="eastAsia" w:ascii="宋体" w:hAnsi="宋体" w:eastAsia="宋体" w:cs="宋体"/>
          <w:i/>
          <w:color w:val="auto"/>
          <w:highlight w:val="none"/>
        </w:rPr>
      </w:pPr>
    </w:p>
    <w:p w14:paraId="78EAA703">
      <w:pPr>
        <w:pStyle w:val="5"/>
        <w:spacing w:before="0" w:after="0"/>
        <w:ind w:left="0" w:firstLine="0"/>
        <w:rPr>
          <w:rFonts w:hint="eastAsia" w:ascii="宋体" w:hAnsi="宋体" w:eastAsia="宋体" w:cs="宋体"/>
          <w:bCs/>
          <w:color w:val="auto"/>
          <w:szCs w:val="21"/>
          <w:highlight w:val="none"/>
        </w:rPr>
      </w:pPr>
      <w:r>
        <w:rPr>
          <w:rFonts w:hint="eastAsia" w:ascii="宋体" w:hAnsi="宋体" w:eastAsia="宋体" w:cs="宋体"/>
          <w:b w:val="0"/>
          <w:color w:val="auto"/>
          <w:sz w:val="24"/>
          <w:highlight w:val="none"/>
        </w:rPr>
        <w:br w:type="page"/>
      </w:r>
      <w:r>
        <w:rPr>
          <w:rFonts w:hint="eastAsia" w:ascii="宋体" w:hAnsi="宋体" w:eastAsia="宋体" w:cs="宋体"/>
          <w:bCs/>
          <w:color w:val="auto"/>
          <w:szCs w:val="21"/>
          <w:highlight w:val="none"/>
        </w:rPr>
        <w:t>五、商务文件格式</w:t>
      </w:r>
    </w:p>
    <w:p w14:paraId="2CA11DF6">
      <w:pPr>
        <w:pStyle w:val="5"/>
        <w:spacing w:before="0" w:after="0"/>
        <w:ind w:left="0" w:firstLine="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（一）企业状况</w:t>
      </w:r>
    </w:p>
    <w:p w14:paraId="71207E36">
      <w:pPr>
        <w:pStyle w:val="6"/>
        <w:spacing w:before="0" w:after="0"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（1）企业基本情况介绍</w:t>
      </w:r>
    </w:p>
    <w:tbl>
      <w:tblPr>
        <w:tblStyle w:val="53"/>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035"/>
        <w:gridCol w:w="1125"/>
        <w:gridCol w:w="840"/>
        <w:gridCol w:w="420"/>
        <w:gridCol w:w="311"/>
        <w:gridCol w:w="1078"/>
        <w:gridCol w:w="490"/>
        <w:gridCol w:w="860"/>
        <w:gridCol w:w="1532"/>
      </w:tblGrid>
      <w:tr w14:paraId="5952F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B02EEA3">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14:paraId="3F36F570">
            <w:pPr>
              <w:topLinePunct/>
              <w:snapToGrid w:val="0"/>
              <w:spacing w:line="360" w:lineRule="auto"/>
              <w:jc w:val="center"/>
              <w:rPr>
                <w:rFonts w:hint="eastAsia" w:ascii="宋体" w:hAnsi="宋体" w:eastAsia="宋体" w:cs="宋体"/>
                <w:color w:val="auto"/>
                <w:szCs w:val="21"/>
                <w:highlight w:val="none"/>
              </w:rPr>
            </w:pPr>
          </w:p>
        </w:tc>
      </w:tr>
      <w:tr w14:paraId="182F2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BDD2481">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注册地址（以营业执照上的住所填写）</w:t>
            </w:r>
          </w:p>
        </w:tc>
        <w:tc>
          <w:tcPr>
            <w:tcW w:w="3731" w:type="dxa"/>
            <w:gridSpan w:val="5"/>
            <w:tcBorders>
              <w:top w:val="single" w:color="auto" w:sz="4" w:space="0"/>
              <w:left w:val="single" w:color="auto" w:sz="4" w:space="0"/>
              <w:bottom w:val="single" w:color="auto" w:sz="4" w:space="0"/>
              <w:right w:val="single" w:color="auto" w:sz="4" w:space="0"/>
            </w:tcBorders>
            <w:noWrap w:val="0"/>
            <w:vAlign w:val="center"/>
          </w:tcPr>
          <w:p w14:paraId="000EFB7E">
            <w:pPr>
              <w:topLinePunct/>
              <w:snapToGrid w:val="0"/>
              <w:spacing w:line="360" w:lineRule="auto"/>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7BC6133F">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721F0526">
            <w:pPr>
              <w:topLinePunct/>
              <w:snapToGrid w:val="0"/>
              <w:spacing w:line="360" w:lineRule="auto"/>
              <w:jc w:val="center"/>
              <w:rPr>
                <w:rFonts w:hint="eastAsia" w:ascii="宋体" w:hAnsi="宋体" w:eastAsia="宋体" w:cs="宋体"/>
                <w:color w:val="auto"/>
                <w:szCs w:val="21"/>
                <w:highlight w:val="none"/>
              </w:rPr>
            </w:pPr>
          </w:p>
        </w:tc>
      </w:tr>
      <w:tr w14:paraId="6227C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7D6F076A">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4D22F2B">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361FB215">
            <w:pPr>
              <w:topLinePunct/>
              <w:snapToGrid w:val="0"/>
              <w:spacing w:line="360" w:lineRule="auto"/>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1D91397D">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1E3125E7">
            <w:pPr>
              <w:topLinePunct/>
              <w:snapToGrid w:val="0"/>
              <w:spacing w:line="360" w:lineRule="auto"/>
              <w:jc w:val="center"/>
              <w:rPr>
                <w:rFonts w:hint="eastAsia" w:ascii="宋体" w:hAnsi="宋体" w:eastAsia="宋体" w:cs="宋体"/>
                <w:color w:val="auto"/>
                <w:szCs w:val="21"/>
                <w:highlight w:val="none"/>
              </w:rPr>
            </w:pPr>
          </w:p>
        </w:tc>
      </w:tr>
      <w:tr w14:paraId="78711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795462CE">
            <w:pPr>
              <w:topLinePunct/>
              <w:snapToGrid w:val="0"/>
              <w:spacing w:line="360" w:lineRule="auto"/>
              <w:jc w:val="center"/>
              <w:rPr>
                <w:rFonts w:hint="eastAsia" w:ascii="宋体" w:hAnsi="宋体" w:eastAsia="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EC4DC65">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57738607">
            <w:pPr>
              <w:topLinePunct/>
              <w:snapToGrid w:val="0"/>
              <w:spacing w:line="360" w:lineRule="auto"/>
              <w:jc w:val="center"/>
              <w:rPr>
                <w:rFonts w:hint="eastAsia" w:ascii="宋体" w:hAnsi="宋体" w:eastAsia="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CF2A76B">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3AD79B1B">
            <w:pPr>
              <w:topLinePunct/>
              <w:snapToGrid w:val="0"/>
              <w:spacing w:line="360" w:lineRule="auto"/>
              <w:jc w:val="center"/>
              <w:rPr>
                <w:rFonts w:hint="eastAsia" w:ascii="宋体" w:hAnsi="宋体" w:eastAsia="宋体" w:cs="宋体"/>
                <w:color w:val="auto"/>
                <w:szCs w:val="21"/>
                <w:highlight w:val="none"/>
              </w:rPr>
            </w:pPr>
          </w:p>
        </w:tc>
      </w:tr>
      <w:tr w14:paraId="1F49A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CF47F07">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64925CF">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26CBB39">
            <w:pPr>
              <w:topLinePunct/>
              <w:snapToGrid w:val="0"/>
              <w:spacing w:line="360" w:lineRule="auto"/>
              <w:jc w:val="center"/>
              <w:rPr>
                <w:rFonts w:hint="eastAsia" w:ascii="宋体" w:hAnsi="宋体" w:eastAsia="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6AF29539">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3543DD96">
            <w:pPr>
              <w:topLinePunct/>
              <w:snapToGrid w:val="0"/>
              <w:spacing w:line="360" w:lineRule="auto"/>
              <w:jc w:val="center"/>
              <w:rPr>
                <w:rFonts w:hint="eastAsia" w:ascii="宋体" w:hAnsi="宋体" w:eastAsia="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4109F713">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3537E356">
            <w:pPr>
              <w:topLinePunct/>
              <w:snapToGrid w:val="0"/>
              <w:spacing w:line="360" w:lineRule="auto"/>
              <w:jc w:val="center"/>
              <w:rPr>
                <w:rFonts w:hint="eastAsia" w:ascii="宋体" w:hAnsi="宋体" w:eastAsia="宋体" w:cs="宋体"/>
                <w:color w:val="auto"/>
                <w:szCs w:val="21"/>
                <w:highlight w:val="none"/>
              </w:rPr>
            </w:pPr>
          </w:p>
        </w:tc>
      </w:tr>
      <w:tr w14:paraId="34608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66CEFE4">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5F4EE48">
            <w:pPr>
              <w:topLinePunct/>
              <w:snapToGrid w:val="0"/>
              <w:spacing w:line="360" w:lineRule="auto"/>
              <w:jc w:val="center"/>
              <w:rPr>
                <w:rFonts w:hint="eastAsia" w:ascii="宋体" w:hAnsi="宋体" w:eastAsia="宋体" w:cs="宋体"/>
                <w:color w:val="auto"/>
                <w:szCs w:val="21"/>
                <w:highlight w:val="none"/>
              </w:rPr>
            </w:pPr>
          </w:p>
        </w:tc>
        <w:tc>
          <w:tcPr>
            <w:tcW w:w="5531" w:type="dxa"/>
            <w:gridSpan w:val="7"/>
            <w:tcBorders>
              <w:top w:val="single" w:color="auto" w:sz="4" w:space="0"/>
              <w:left w:val="single" w:color="auto" w:sz="4" w:space="0"/>
              <w:bottom w:val="single" w:color="auto" w:sz="4" w:space="0"/>
              <w:right w:val="single" w:color="auto" w:sz="4" w:space="0"/>
            </w:tcBorders>
            <w:noWrap w:val="0"/>
            <w:vAlign w:val="center"/>
          </w:tcPr>
          <w:p w14:paraId="6AB02998">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14:paraId="270F5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4487B43">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3804BCB">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6CE4E166">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4489FB81">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1、各类注册人员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474091BB">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w:t>
            </w:r>
          </w:p>
        </w:tc>
      </w:tr>
      <w:tr w14:paraId="5C541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0934A60">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99EF130">
            <w:pPr>
              <w:topLinePunct/>
              <w:snapToGrid w:val="0"/>
              <w:spacing w:line="360" w:lineRule="auto"/>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AB35B78">
            <w:pPr>
              <w:topLinePunct/>
              <w:snapToGrid w:val="0"/>
              <w:spacing w:line="360" w:lineRule="auto"/>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B63A5E4">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2、高级职称人员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600E87E3">
            <w:pPr>
              <w:topLinePunct/>
              <w:snapToGrid w:val="0"/>
              <w:spacing w:line="360" w:lineRule="auto"/>
              <w:jc w:val="center"/>
              <w:rPr>
                <w:rFonts w:hint="eastAsia" w:ascii="宋体" w:hAnsi="宋体" w:eastAsia="宋体" w:cs="宋体"/>
                <w:color w:val="auto"/>
                <w:szCs w:val="21"/>
                <w:highlight w:val="none"/>
              </w:rPr>
            </w:pPr>
          </w:p>
        </w:tc>
      </w:tr>
      <w:tr w14:paraId="4C566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670F7DF">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5AD40E0">
            <w:pPr>
              <w:topLinePunct/>
              <w:snapToGrid w:val="0"/>
              <w:spacing w:line="360" w:lineRule="auto"/>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3B87637">
            <w:pPr>
              <w:topLinePunct/>
              <w:snapToGrid w:val="0"/>
              <w:spacing w:line="360" w:lineRule="auto"/>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901D054">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6FDD451E">
            <w:pPr>
              <w:topLinePunct/>
              <w:snapToGrid w:val="0"/>
              <w:spacing w:line="360" w:lineRule="auto"/>
              <w:jc w:val="center"/>
              <w:rPr>
                <w:rFonts w:hint="eastAsia" w:ascii="宋体" w:hAnsi="宋体" w:eastAsia="宋体" w:cs="宋体"/>
                <w:color w:val="auto"/>
                <w:szCs w:val="21"/>
                <w:highlight w:val="none"/>
              </w:rPr>
            </w:pPr>
          </w:p>
        </w:tc>
      </w:tr>
      <w:tr w14:paraId="615B2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FB03DEF">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实缴资金（资本）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ADDDF92">
            <w:pPr>
              <w:topLinePunct/>
              <w:snapToGrid w:val="0"/>
              <w:spacing w:line="360" w:lineRule="auto"/>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68EDEE4">
            <w:pPr>
              <w:topLinePunct/>
              <w:snapToGrid w:val="0"/>
              <w:spacing w:line="360" w:lineRule="auto"/>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0E5E9EC">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4、初级职称人员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2E3FAFB0">
            <w:pPr>
              <w:topLinePunct/>
              <w:snapToGrid w:val="0"/>
              <w:spacing w:line="360" w:lineRule="auto"/>
              <w:jc w:val="center"/>
              <w:rPr>
                <w:rFonts w:hint="eastAsia" w:ascii="宋体" w:hAnsi="宋体" w:eastAsia="宋体" w:cs="宋体"/>
                <w:color w:val="auto"/>
                <w:szCs w:val="21"/>
                <w:highlight w:val="none"/>
              </w:rPr>
            </w:pPr>
          </w:p>
        </w:tc>
      </w:tr>
      <w:tr w14:paraId="3AD6B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9D12CBE">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基本存款账户开户银行</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AB9D32E">
            <w:pPr>
              <w:topLinePunct/>
              <w:snapToGrid w:val="0"/>
              <w:spacing w:line="360" w:lineRule="auto"/>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C835093">
            <w:pPr>
              <w:topLinePunct/>
              <w:snapToGrid w:val="0"/>
              <w:spacing w:line="360" w:lineRule="auto"/>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D00DB09">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1-4人员合计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169D0A2D">
            <w:pPr>
              <w:topLinePunct/>
              <w:snapToGrid w:val="0"/>
              <w:spacing w:line="360" w:lineRule="auto"/>
              <w:jc w:val="center"/>
              <w:rPr>
                <w:rFonts w:hint="eastAsia" w:ascii="宋体" w:hAnsi="宋体" w:eastAsia="宋体" w:cs="宋体"/>
                <w:color w:val="auto"/>
                <w:szCs w:val="21"/>
                <w:highlight w:val="none"/>
              </w:rPr>
            </w:pPr>
          </w:p>
        </w:tc>
      </w:tr>
      <w:tr w14:paraId="418F62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22A071F">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028684C">
            <w:pPr>
              <w:topLinePunct/>
              <w:snapToGrid w:val="0"/>
              <w:spacing w:line="360" w:lineRule="auto"/>
              <w:jc w:val="center"/>
              <w:rPr>
                <w:rFonts w:hint="eastAsia" w:ascii="宋体" w:hAnsi="宋体" w:eastAsia="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A82B8E6">
            <w:pPr>
              <w:topLinePunct/>
              <w:snapToGrid w:val="0"/>
              <w:spacing w:line="360" w:lineRule="auto"/>
              <w:jc w:val="center"/>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4D743A1">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340EA3B0">
            <w:pPr>
              <w:topLinePunct/>
              <w:snapToGrid w:val="0"/>
              <w:spacing w:line="360" w:lineRule="auto"/>
              <w:jc w:val="center"/>
              <w:rPr>
                <w:rFonts w:hint="eastAsia" w:ascii="宋体" w:hAnsi="宋体" w:eastAsia="宋体" w:cs="宋体"/>
                <w:color w:val="auto"/>
                <w:szCs w:val="21"/>
                <w:highlight w:val="none"/>
              </w:rPr>
            </w:pPr>
          </w:p>
        </w:tc>
      </w:tr>
      <w:tr w14:paraId="36105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8E0ADDC">
            <w:pPr>
              <w:tabs>
                <w:tab w:val="left" w:pos="900"/>
                <w:tab w:val="left" w:pos="108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委托代理人姓名</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6F65D789">
            <w:pPr>
              <w:tabs>
                <w:tab w:val="left" w:pos="900"/>
                <w:tab w:val="left" w:pos="1080"/>
              </w:tabs>
              <w:snapToGrid w:val="0"/>
              <w:spacing w:line="360" w:lineRule="auto"/>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08AA4A8">
            <w:pPr>
              <w:tabs>
                <w:tab w:val="left" w:pos="900"/>
                <w:tab w:val="left" w:pos="108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3B8AA9FF">
            <w:pPr>
              <w:tabs>
                <w:tab w:val="left" w:pos="900"/>
                <w:tab w:val="left" w:pos="1080"/>
              </w:tabs>
              <w:snapToGrid w:val="0"/>
              <w:spacing w:line="360" w:lineRule="auto"/>
              <w:rPr>
                <w:rFonts w:hint="eastAsia" w:ascii="宋体" w:hAnsi="宋体" w:eastAsia="宋体" w:cs="宋体"/>
                <w:color w:val="auto"/>
                <w:szCs w:val="21"/>
                <w:highlight w:val="none"/>
              </w:rPr>
            </w:pPr>
          </w:p>
        </w:tc>
      </w:tr>
      <w:tr w14:paraId="3AA09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37F960D">
            <w:pPr>
              <w:tabs>
                <w:tab w:val="left" w:pos="900"/>
                <w:tab w:val="left" w:pos="108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固定电话</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239042C8">
            <w:pPr>
              <w:tabs>
                <w:tab w:val="left" w:pos="900"/>
                <w:tab w:val="left" w:pos="1080"/>
              </w:tabs>
              <w:snapToGrid w:val="0"/>
              <w:spacing w:line="360" w:lineRule="auto"/>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2D523B7">
            <w:pPr>
              <w:tabs>
                <w:tab w:val="left" w:pos="900"/>
                <w:tab w:val="left" w:pos="108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   机</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0C185FB1">
            <w:pPr>
              <w:tabs>
                <w:tab w:val="left" w:pos="900"/>
                <w:tab w:val="left" w:pos="1080"/>
              </w:tabs>
              <w:snapToGrid w:val="0"/>
              <w:spacing w:line="360" w:lineRule="auto"/>
              <w:rPr>
                <w:rFonts w:hint="eastAsia" w:ascii="宋体" w:hAnsi="宋体" w:eastAsia="宋体" w:cs="宋体"/>
                <w:color w:val="auto"/>
                <w:szCs w:val="21"/>
                <w:highlight w:val="none"/>
              </w:rPr>
            </w:pPr>
          </w:p>
        </w:tc>
      </w:tr>
      <w:tr w14:paraId="754E6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BD1383A">
            <w:pPr>
              <w:tabs>
                <w:tab w:val="left" w:pos="900"/>
                <w:tab w:val="left" w:pos="108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47C0FC3E">
            <w:pPr>
              <w:tabs>
                <w:tab w:val="left" w:pos="900"/>
                <w:tab w:val="left" w:pos="1080"/>
              </w:tabs>
              <w:snapToGrid w:val="0"/>
              <w:spacing w:line="360" w:lineRule="auto"/>
              <w:rPr>
                <w:rFonts w:hint="eastAsia" w:ascii="宋体" w:hAnsi="宋体" w:eastAsia="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BF00162">
            <w:pPr>
              <w:tabs>
                <w:tab w:val="left" w:pos="900"/>
                <w:tab w:val="left" w:pos="108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箱</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281FEB17">
            <w:pPr>
              <w:tabs>
                <w:tab w:val="left" w:pos="900"/>
                <w:tab w:val="left" w:pos="1080"/>
              </w:tabs>
              <w:snapToGrid w:val="0"/>
              <w:spacing w:line="360" w:lineRule="auto"/>
              <w:rPr>
                <w:rFonts w:hint="eastAsia" w:ascii="宋体" w:hAnsi="宋体" w:eastAsia="宋体" w:cs="宋体"/>
                <w:color w:val="auto"/>
                <w:szCs w:val="21"/>
                <w:highlight w:val="none"/>
              </w:rPr>
            </w:pPr>
          </w:p>
        </w:tc>
      </w:tr>
      <w:tr w14:paraId="3E1F9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908" w:type="dxa"/>
            <w:tcBorders>
              <w:top w:val="single" w:color="auto" w:sz="4" w:space="0"/>
              <w:left w:val="single" w:color="auto" w:sz="4" w:space="0"/>
              <w:right w:val="single" w:color="auto" w:sz="4" w:space="0"/>
            </w:tcBorders>
            <w:noWrap w:val="0"/>
            <w:vAlign w:val="center"/>
          </w:tcPr>
          <w:p w14:paraId="72278E43">
            <w:pPr>
              <w:topLinePunct/>
              <w:snapToGrid w:val="0"/>
              <w:spacing w:line="360" w:lineRule="auto"/>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后附证明文件</w:t>
            </w:r>
          </w:p>
        </w:tc>
        <w:tc>
          <w:tcPr>
            <w:tcW w:w="7691" w:type="dxa"/>
            <w:gridSpan w:val="9"/>
            <w:tcBorders>
              <w:top w:val="single" w:color="auto" w:sz="4" w:space="0"/>
              <w:left w:val="single" w:color="auto" w:sz="4" w:space="0"/>
              <w:right w:val="single" w:color="auto" w:sz="4" w:space="0"/>
            </w:tcBorders>
            <w:noWrap w:val="0"/>
            <w:vAlign w:val="center"/>
          </w:tcPr>
          <w:p w14:paraId="00080671">
            <w:pPr>
              <w:tabs>
                <w:tab w:val="left" w:pos="900"/>
                <w:tab w:val="left" w:pos="1080"/>
              </w:tabs>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1、投标人介绍；</w:t>
            </w:r>
          </w:p>
        </w:tc>
      </w:tr>
      <w:tr w14:paraId="5D6DC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D1D7106">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14:paraId="24C164E4">
            <w:pPr>
              <w:topLinePunct/>
              <w:snapToGrid w:val="0"/>
              <w:spacing w:line="360" w:lineRule="auto"/>
              <w:jc w:val="center"/>
              <w:rPr>
                <w:rFonts w:hint="eastAsia" w:ascii="宋体" w:hAnsi="宋体" w:eastAsia="宋体" w:cs="宋体"/>
                <w:color w:val="auto"/>
                <w:szCs w:val="21"/>
                <w:highlight w:val="none"/>
              </w:rPr>
            </w:pPr>
          </w:p>
        </w:tc>
      </w:tr>
    </w:tbl>
    <w:p w14:paraId="63956364">
      <w:pPr>
        <w:pStyle w:val="6"/>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（2）企业类似项目业绩证明材料</w:t>
      </w:r>
    </w:p>
    <w:p w14:paraId="2F04A4C0">
      <w:pPr>
        <w:spacing w:line="360" w:lineRule="auto"/>
        <w:jc w:val="center"/>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业绩表</w:t>
      </w:r>
    </w:p>
    <w:p w14:paraId="14560FD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12"/>
        <w:gridCol w:w="1742"/>
        <w:gridCol w:w="1740"/>
        <w:gridCol w:w="1419"/>
        <w:gridCol w:w="2062"/>
      </w:tblGrid>
      <w:tr w14:paraId="295F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center"/>
          </w:tcPr>
          <w:p w14:paraId="62120A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12" w:type="dxa"/>
            <w:noWrap w:val="0"/>
            <w:vAlign w:val="center"/>
          </w:tcPr>
          <w:p w14:paraId="5155903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42" w:type="dxa"/>
            <w:noWrap w:val="0"/>
            <w:vAlign w:val="center"/>
          </w:tcPr>
          <w:p w14:paraId="2BA2BC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合同金额（万元）</w:t>
            </w:r>
          </w:p>
        </w:tc>
        <w:tc>
          <w:tcPr>
            <w:tcW w:w="1740" w:type="dxa"/>
            <w:noWrap w:val="0"/>
            <w:vAlign w:val="center"/>
          </w:tcPr>
          <w:p w14:paraId="2395B2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合同签订时间</w:t>
            </w:r>
          </w:p>
        </w:tc>
        <w:tc>
          <w:tcPr>
            <w:tcW w:w="1419" w:type="dxa"/>
            <w:noWrap w:val="0"/>
            <w:vAlign w:val="center"/>
          </w:tcPr>
          <w:p w14:paraId="22A6EC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2062" w:type="dxa"/>
            <w:noWrap w:val="0"/>
            <w:vAlign w:val="center"/>
          </w:tcPr>
          <w:p w14:paraId="4E6F78E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联系人及联系方式</w:t>
            </w:r>
          </w:p>
        </w:tc>
      </w:tr>
      <w:tr w14:paraId="73663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405BADCD">
            <w:pPr>
              <w:spacing w:line="360" w:lineRule="auto"/>
              <w:rPr>
                <w:rFonts w:hint="eastAsia" w:ascii="宋体" w:hAnsi="宋体" w:eastAsia="宋体" w:cs="宋体"/>
                <w:color w:val="auto"/>
                <w:szCs w:val="21"/>
                <w:highlight w:val="none"/>
              </w:rPr>
            </w:pPr>
          </w:p>
        </w:tc>
        <w:tc>
          <w:tcPr>
            <w:tcW w:w="1712" w:type="dxa"/>
            <w:noWrap w:val="0"/>
            <w:vAlign w:val="top"/>
          </w:tcPr>
          <w:p w14:paraId="1E66F3B7">
            <w:pPr>
              <w:spacing w:line="360" w:lineRule="auto"/>
              <w:rPr>
                <w:rFonts w:hint="eastAsia" w:ascii="宋体" w:hAnsi="宋体" w:eastAsia="宋体" w:cs="宋体"/>
                <w:color w:val="auto"/>
                <w:szCs w:val="21"/>
                <w:highlight w:val="none"/>
              </w:rPr>
            </w:pPr>
          </w:p>
        </w:tc>
        <w:tc>
          <w:tcPr>
            <w:tcW w:w="1742" w:type="dxa"/>
            <w:noWrap w:val="0"/>
            <w:vAlign w:val="top"/>
          </w:tcPr>
          <w:p w14:paraId="4B55A1B2">
            <w:pPr>
              <w:spacing w:line="360" w:lineRule="auto"/>
              <w:rPr>
                <w:rFonts w:hint="eastAsia" w:ascii="宋体" w:hAnsi="宋体" w:eastAsia="宋体" w:cs="宋体"/>
                <w:color w:val="auto"/>
                <w:szCs w:val="21"/>
                <w:highlight w:val="none"/>
              </w:rPr>
            </w:pPr>
          </w:p>
        </w:tc>
        <w:tc>
          <w:tcPr>
            <w:tcW w:w="1740" w:type="dxa"/>
            <w:noWrap w:val="0"/>
            <w:vAlign w:val="top"/>
          </w:tcPr>
          <w:p w14:paraId="6620B642">
            <w:pPr>
              <w:spacing w:line="360" w:lineRule="auto"/>
              <w:rPr>
                <w:rFonts w:hint="eastAsia" w:ascii="宋体" w:hAnsi="宋体" w:eastAsia="宋体" w:cs="宋体"/>
                <w:color w:val="auto"/>
                <w:szCs w:val="21"/>
                <w:highlight w:val="none"/>
              </w:rPr>
            </w:pPr>
          </w:p>
        </w:tc>
        <w:tc>
          <w:tcPr>
            <w:tcW w:w="1419" w:type="dxa"/>
            <w:noWrap w:val="0"/>
            <w:vAlign w:val="top"/>
          </w:tcPr>
          <w:p w14:paraId="40D16C6C">
            <w:pPr>
              <w:spacing w:line="360" w:lineRule="auto"/>
              <w:rPr>
                <w:rFonts w:hint="eastAsia" w:ascii="宋体" w:hAnsi="宋体" w:eastAsia="宋体" w:cs="宋体"/>
                <w:color w:val="auto"/>
                <w:szCs w:val="21"/>
                <w:highlight w:val="none"/>
              </w:rPr>
            </w:pPr>
          </w:p>
        </w:tc>
        <w:tc>
          <w:tcPr>
            <w:tcW w:w="2062" w:type="dxa"/>
            <w:noWrap w:val="0"/>
            <w:vAlign w:val="top"/>
          </w:tcPr>
          <w:p w14:paraId="55815B65">
            <w:pPr>
              <w:spacing w:line="360" w:lineRule="auto"/>
              <w:rPr>
                <w:rFonts w:hint="eastAsia" w:ascii="宋体" w:hAnsi="宋体" w:eastAsia="宋体" w:cs="宋体"/>
                <w:color w:val="auto"/>
                <w:szCs w:val="21"/>
                <w:highlight w:val="none"/>
              </w:rPr>
            </w:pPr>
          </w:p>
        </w:tc>
      </w:tr>
      <w:tr w14:paraId="0B58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1AF4EB35">
            <w:pPr>
              <w:spacing w:line="360" w:lineRule="auto"/>
              <w:rPr>
                <w:rFonts w:hint="eastAsia" w:ascii="宋体" w:hAnsi="宋体" w:eastAsia="宋体" w:cs="宋体"/>
                <w:color w:val="auto"/>
                <w:szCs w:val="21"/>
                <w:highlight w:val="none"/>
              </w:rPr>
            </w:pPr>
          </w:p>
        </w:tc>
        <w:tc>
          <w:tcPr>
            <w:tcW w:w="1712" w:type="dxa"/>
            <w:noWrap w:val="0"/>
            <w:vAlign w:val="top"/>
          </w:tcPr>
          <w:p w14:paraId="1A5524B6">
            <w:pPr>
              <w:spacing w:line="360" w:lineRule="auto"/>
              <w:rPr>
                <w:rFonts w:hint="eastAsia" w:ascii="宋体" w:hAnsi="宋体" w:eastAsia="宋体" w:cs="宋体"/>
                <w:color w:val="auto"/>
                <w:szCs w:val="21"/>
                <w:highlight w:val="none"/>
              </w:rPr>
            </w:pPr>
          </w:p>
        </w:tc>
        <w:tc>
          <w:tcPr>
            <w:tcW w:w="1742" w:type="dxa"/>
            <w:noWrap w:val="0"/>
            <w:vAlign w:val="top"/>
          </w:tcPr>
          <w:p w14:paraId="544AAC1F">
            <w:pPr>
              <w:spacing w:line="360" w:lineRule="auto"/>
              <w:rPr>
                <w:rFonts w:hint="eastAsia" w:ascii="宋体" w:hAnsi="宋体" w:eastAsia="宋体" w:cs="宋体"/>
                <w:color w:val="auto"/>
                <w:szCs w:val="21"/>
                <w:highlight w:val="none"/>
              </w:rPr>
            </w:pPr>
          </w:p>
        </w:tc>
        <w:tc>
          <w:tcPr>
            <w:tcW w:w="1740" w:type="dxa"/>
            <w:noWrap w:val="0"/>
            <w:vAlign w:val="top"/>
          </w:tcPr>
          <w:p w14:paraId="2C6B734D">
            <w:pPr>
              <w:spacing w:line="360" w:lineRule="auto"/>
              <w:rPr>
                <w:rFonts w:hint="eastAsia" w:ascii="宋体" w:hAnsi="宋体" w:eastAsia="宋体" w:cs="宋体"/>
                <w:color w:val="auto"/>
                <w:szCs w:val="21"/>
                <w:highlight w:val="none"/>
              </w:rPr>
            </w:pPr>
          </w:p>
        </w:tc>
        <w:tc>
          <w:tcPr>
            <w:tcW w:w="1419" w:type="dxa"/>
            <w:noWrap w:val="0"/>
            <w:vAlign w:val="top"/>
          </w:tcPr>
          <w:p w14:paraId="76BA32E9">
            <w:pPr>
              <w:spacing w:line="360" w:lineRule="auto"/>
              <w:rPr>
                <w:rFonts w:hint="eastAsia" w:ascii="宋体" w:hAnsi="宋体" w:eastAsia="宋体" w:cs="宋体"/>
                <w:color w:val="auto"/>
                <w:szCs w:val="21"/>
                <w:highlight w:val="none"/>
              </w:rPr>
            </w:pPr>
          </w:p>
        </w:tc>
        <w:tc>
          <w:tcPr>
            <w:tcW w:w="2062" w:type="dxa"/>
            <w:noWrap w:val="0"/>
            <w:vAlign w:val="top"/>
          </w:tcPr>
          <w:p w14:paraId="08714D9B">
            <w:pPr>
              <w:spacing w:line="360" w:lineRule="auto"/>
              <w:rPr>
                <w:rFonts w:hint="eastAsia" w:ascii="宋体" w:hAnsi="宋体" w:eastAsia="宋体" w:cs="宋体"/>
                <w:color w:val="auto"/>
                <w:szCs w:val="21"/>
                <w:highlight w:val="none"/>
              </w:rPr>
            </w:pPr>
          </w:p>
        </w:tc>
      </w:tr>
      <w:tr w14:paraId="42BF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40E29816">
            <w:pPr>
              <w:spacing w:line="360" w:lineRule="auto"/>
              <w:rPr>
                <w:rFonts w:hint="eastAsia" w:ascii="宋体" w:hAnsi="宋体" w:eastAsia="宋体" w:cs="宋体"/>
                <w:color w:val="auto"/>
                <w:szCs w:val="21"/>
                <w:highlight w:val="none"/>
              </w:rPr>
            </w:pPr>
          </w:p>
        </w:tc>
        <w:tc>
          <w:tcPr>
            <w:tcW w:w="1712" w:type="dxa"/>
            <w:noWrap w:val="0"/>
            <w:vAlign w:val="top"/>
          </w:tcPr>
          <w:p w14:paraId="366BAF5A">
            <w:pPr>
              <w:spacing w:line="360" w:lineRule="auto"/>
              <w:rPr>
                <w:rFonts w:hint="eastAsia" w:ascii="宋体" w:hAnsi="宋体" w:eastAsia="宋体" w:cs="宋体"/>
                <w:color w:val="auto"/>
                <w:szCs w:val="21"/>
                <w:highlight w:val="none"/>
              </w:rPr>
            </w:pPr>
          </w:p>
        </w:tc>
        <w:tc>
          <w:tcPr>
            <w:tcW w:w="1742" w:type="dxa"/>
            <w:noWrap w:val="0"/>
            <w:vAlign w:val="top"/>
          </w:tcPr>
          <w:p w14:paraId="189BA33F">
            <w:pPr>
              <w:spacing w:line="360" w:lineRule="auto"/>
              <w:rPr>
                <w:rFonts w:hint="eastAsia" w:ascii="宋体" w:hAnsi="宋体" w:eastAsia="宋体" w:cs="宋体"/>
                <w:color w:val="auto"/>
                <w:szCs w:val="21"/>
                <w:highlight w:val="none"/>
              </w:rPr>
            </w:pPr>
          </w:p>
        </w:tc>
        <w:tc>
          <w:tcPr>
            <w:tcW w:w="1740" w:type="dxa"/>
            <w:noWrap w:val="0"/>
            <w:vAlign w:val="top"/>
          </w:tcPr>
          <w:p w14:paraId="611C962D">
            <w:pPr>
              <w:spacing w:line="360" w:lineRule="auto"/>
              <w:rPr>
                <w:rFonts w:hint="eastAsia" w:ascii="宋体" w:hAnsi="宋体" w:eastAsia="宋体" w:cs="宋体"/>
                <w:color w:val="auto"/>
                <w:szCs w:val="21"/>
                <w:highlight w:val="none"/>
              </w:rPr>
            </w:pPr>
          </w:p>
        </w:tc>
        <w:tc>
          <w:tcPr>
            <w:tcW w:w="1419" w:type="dxa"/>
            <w:noWrap w:val="0"/>
            <w:vAlign w:val="top"/>
          </w:tcPr>
          <w:p w14:paraId="0745264E">
            <w:pPr>
              <w:spacing w:line="360" w:lineRule="auto"/>
              <w:rPr>
                <w:rFonts w:hint="eastAsia" w:ascii="宋体" w:hAnsi="宋体" w:eastAsia="宋体" w:cs="宋体"/>
                <w:color w:val="auto"/>
                <w:szCs w:val="21"/>
                <w:highlight w:val="none"/>
              </w:rPr>
            </w:pPr>
          </w:p>
        </w:tc>
        <w:tc>
          <w:tcPr>
            <w:tcW w:w="2062" w:type="dxa"/>
            <w:noWrap w:val="0"/>
            <w:vAlign w:val="top"/>
          </w:tcPr>
          <w:p w14:paraId="1AE02C30">
            <w:pPr>
              <w:spacing w:line="360" w:lineRule="auto"/>
              <w:rPr>
                <w:rFonts w:hint="eastAsia" w:ascii="宋体" w:hAnsi="宋体" w:eastAsia="宋体" w:cs="宋体"/>
                <w:color w:val="auto"/>
                <w:szCs w:val="21"/>
                <w:highlight w:val="none"/>
              </w:rPr>
            </w:pPr>
          </w:p>
        </w:tc>
      </w:tr>
      <w:tr w14:paraId="516E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5D677042">
            <w:pPr>
              <w:spacing w:line="360" w:lineRule="auto"/>
              <w:rPr>
                <w:rFonts w:hint="eastAsia" w:ascii="宋体" w:hAnsi="宋体" w:eastAsia="宋体" w:cs="宋体"/>
                <w:color w:val="auto"/>
                <w:szCs w:val="21"/>
                <w:highlight w:val="none"/>
              </w:rPr>
            </w:pPr>
          </w:p>
        </w:tc>
        <w:tc>
          <w:tcPr>
            <w:tcW w:w="1712" w:type="dxa"/>
            <w:noWrap w:val="0"/>
            <w:vAlign w:val="top"/>
          </w:tcPr>
          <w:p w14:paraId="2B506F9B">
            <w:pPr>
              <w:spacing w:line="360" w:lineRule="auto"/>
              <w:rPr>
                <w:rFonts w:hint="eastAsia" w:ascii="宋体" w:hAnsi="宋体" w:eastAsia="宋体" w:cs="宋体"/>
                <w:color w:val="auto"/>
                <w:szCs w:val="21"/>
                <w:highlight w:val="none"/>
              </w:rPr>
            </w:pPr>
          </w:p>
        </w:tc>
        <w:tc>
          <w:tcPr>
            <w:tcW w:w="1742" w:type="dxa"/>
            <w:noWrap w:val="0"/>
            <w:vAlign w:val="top"/>
          </w:tcPr>
          <w:p w14:paraId="26A7CA28">
            <w:pPr>
              <w:spacing w:line="360" w:lineRule="auto"/>
              <w:rPr>
                <w:rFonts w:hint="eastAsia" w:ascii="宋体" w:hAnsi="宋体" w:eastAsia="宋体" w:cs="宋体"/>
                <w:color w:val="auto"/>
                <w:szCs w:val="21"/>
                <w:highlight w:val="none"/>
              </w:rPr>
            </w:pPr>
          </w:p>
        </w:tc>
        <w:tc>
          <w:tcPr>
            <w:tcW w:w="1740" w:type="dxa"/>
            <w:noWrap w:val="0"/>
            <w:vAlign w:val="top"/>
          </w:tcPr>
          <w:p w14:paraId="60C5ECC6">
            <w:pPr>
              <w:spacing w:line="360" w:lineRule="auto"/>
              <w:rPr>
                <w:rFonts w:hint="eastAsia" w:ascii="宋体" w:hAnsi="宋体" w:eastAsia="宋体" w:cs="宋体"/>
                <w:color w:val="auto"/>
                <w:szCs w:val="21"/>
                <w:highlight w:val="none"/>
              </w:rPr>
            </w:pPr>
          </w:p>
        </w:tc>
        <w:tc>
          <w:tcPr>
            <w:tcW w:w="1419" w:type="dxa"/>
            <w:noWrap w:val="0"/>
            <w:vAlign w:val="top"/>
          </w:tcPr>
          <w:p w14:paraId="2E99A81A">
            <w:pPr>
              <w:spacing w:line="360" w:lineRule="auto"/>
              <w:rPr>
                <w:rFonts w:hint="eastAsia" w:ascii="宋体" w:hAnsi="宋体" w:eastAsia="宋体" w:cs="宋体"/>
                <w:color w:val="auto"/>
                <w:szCs w:val="21"/>
                <w:highlight w:val="none"/>
              </w:rPr>
            </w:pPr>
          </w:p>
        </w:tc>
        <w:tc>
          <w:tcPr>
            <w:tcW w:w="2062" w:type="dxa"/>
            <w:noWrap w:val="0"/>
            <w:vAlign w:val="top"/>
          </w:tcPr>
          <w:p w14:paraId="2809EB84">
            <w:pPr>
              <w:spacing w:line="360" w:lineRule="auto"/>
              <w:rPr>
                <w:rFonts w:hint="eastAsia" w:ascii="宋体" w:hAnsi="宋体" w:eastAsia="宋体" w:cs="宋体"/>
                <w:color w:val="auto"/>
                <w:szCs w:val="21"/>
                <w:highlight w:val="none"/>
              </w:rPr>
            </w:pPr>
          </w:p>
        </w:tc>
      </w:tr>
      <w:tr w14:paraId="177C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2829756C">
            <w:pPr>
              <w:spacing w:line="360" w:lineRule="auto"/>
              <w:rPr>
                <w:rFonts w:hint="eastAsia" w:ascii="宋体" w:hAnsi="宋体" w:eastAsia="宋体" w:cs="宋体"/>
                <w:color w:val="auto"/>
                <w:szCs w:val="21"/>
                <w:highlight w:val="none"/>
              </w:rPr>
            </w:pPr>
          </w:p>
        </w:tc>
        <w:tc>
          <w:tcPr>
            <w:tcW w:w="1712" w:type="dxa"/>
            <w:noWrap w:val="0"/>
            <w:vAlign w:val="top"/>
          </w:tcPr>
          <w:p w14:paraId="07272DE3">
            <w:pPr>
              <w:spacing w:line="360" w:lineRule="auto"/>
              <w:rPr>
                <w:rFonts w:hint="eastAsia" w:ascii="宋体" w:hAnsi="宋体" w:eastAsia="宋体" w:cs="宋体"/>
                <w:color w:val="auto"/>
                <w:szCs w:val="21"/>
                <w:highlight w:val="none"/>
              </w:rPr>
            </w:pPr>
          </w:p>
        </w:tc>
        <w:tc>
          <w:tcPr>
            <w:tcW w:w="1742" w:type="dxa"/>
            <w:noWrap w:val="0"/>
            <w:vAlign w:val="top"/>
          </w:tcPr>
          <w:p w14:paraId="4743C42A">
            <w:pPr>
              <w:spacing w:line="360" w:lineRule="auto"/>
              <w:rPr>
                <w:rFonts w:hint="eastAsia" w:ascii="宋体" w:hAnsi="宋体" w:eastAsia="宋体" w:cs="宋体"/>
                <w:color w:val="auto"/>
                <w:szCs w:val="21"/>
                <w:highlight w:val="none"/>
              </w:rPr>
            </w:pPr>
          </w:p>
        </w:tc>
        <w:tc>
          <w:tcPr>
            <w:tcW w:w="1740" w:type="dxa"/>
            <w:noWrap w:val="0"/>
            <w:vAlign w:val="top"/>
          </w:tcPr>
          <w:p w14:paraId="11896DA9">
            <w:pPr>
              <w:spacing w:line="360" w:lineRule="auto"/>
              <w:rPr>
                <w:rFonts w:hint="eastAsia" w:ascii="宋体" w:hAnsi="宋体" w:eastAsia="宋体" w:cs="宋体"/>
                <w:color w:val="auto"/>
                <w:szCs w:val="21"/>
                <w:highlight w:val="none"/>
              </w:rPr>
            </w:pPr>
          </w:p>
        </w:tc>
        <w:tc>
          <w:tcPr>
            <w:tcW w:w="1419" w:type="dxa"/>
            <w:noWrap w:val="0"/>
            <w:vAlign w:val="top"/>
          </w:tcPr>
          <w:p w14:paraId="00C28573">
            <w:pPr>
              <w:spacing w:line="360" w:lineRule="auto"/>
              <w:rPr>
                <w:rFonts w:hint="eastAsia" w:ascii="宋体" w:hAnsi="宋体" w:eastAsia="宋体" w:cs="宋体"/>
                <w:color w:val="auto"/>
                <w:szCs w:val="21"/>
                <w:highlight w:val="none"/>
              </w:rPr>
            </w:pPr>
          </w:p>
        </w:tc>
        <w:tc>
          <w:tcPr>
            <w:tcW w:w="2062" w:type="dxa"/>
            <w:noWrap w:val="0"/>
            <w:vAlign w:val="top"/>
          </w:tcPr>
          <w:p w14:paraId="784CA0C8">
            <w:pPr>
              <w:spacing w:line="360" w:lineRule="auto"/>
              <w:rPr>
                <w:rFonts w:hint="eastAsia" w:ascii="宋体" w:hAnsi="宋体" w:eastAsia="宋体" w:cs="宋体"/>
                <w:color w:val="auto"/>
                <w:szCs w:val="21"/>
                <w:highlight w:val="none"/>
              </w:rPr>
            </w:pPr>
          </w:p>
        </w:tc>
      </w:tr>
      <w:tr w14:paraId="7DD1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0552417A">
            <w:pPr>
              <w:spacing w:line="360" w:lineRule="auto"/>
              <w:rPr>
                <w:rFonts w:hint="eastAsia" w:ascii="宋体" w:hAnsi="宋体" w:eastAsia="宋体" w:cs="宋体"/>
                <w:color w:val="auto"/>
                <w:szCs w:val="21"/>
                <w:highlight w:val="none"/>
              </w:rPr>
            </w:pPr>
          </w:p>
        </w:tc>
        <w:tc>
          <w:tcPr>
            <w:tcW w:w="1712" w:type="dxa"/>
            <w:noWrap w:val="0"/>
            <w:vAlign w:val="top"/>
          </w:tcPr>
          <w:p w14:paraId="7BA3E1CE">
            <w:pPr>
              <w:spacing w:line="360" w:lineRule="auto"/>
              <w:rPr>
                <w:rFonts w:hint="eastAsia" w:ascii="宋体" w:hAnsi="宋体" w:eastAsia="宋体" w:cs="宋体"/>
                <w:color w:val="auto"/>
                <w:szCs w:val="21"/>
                <w:highlight w:val="none"/>
              </w:rPr>
            </w:pPr>
          </w:p>
        </w:tc>
        <w:tc>
          <w:tcPr>
            <w:tcW w:w="1742" w:type="dxa"/>
            <w:noWrap w:val="0"/>
            <w:vAlign w:val="top"/>
          </w:tcPr>
          <w:p w14:paraId="5907C51A">
            <w:pPr>
              <w:spacing w:line="360" w:lineRule="auto"/>
              <w:rPr>
                <w:rFonts w:hint="eastAsia" w:ascii="宋体" w:hAnsi="宋体" w:eastAsia="宋体" w:cs="宋体"/>
                <w:color w:val="auto"/>
                <w:szCs w:val="21"/>
                <w:highlight w:val="none"/>
              </w:rPr>
            </w:pPr>
          </w:p>
        </w:tc>
        <w:tc>
          <w:tcPr>
            <w:tcW w:w="1740" w:type="dxa"/>
            <w:noWrap w:val="0"/>
            <w:vAlign w:val="top"/>
          </w:tcPr>
          <w:p w14:paraId="0B4FCB4A">
            <w:pPr>
              <w:spacing w:line="360" w:lineRule="auto"/>
              <w:rPr>
                <w:rFonts w:hint="eastAsia" w:ascii="宋体" w:hAnsi="宋体" w:eastAsia="宋体" w:cs="宋体"/>
                <w:color w:val="auto"/>
                <w:szCs w:val="21"/>
                <w:highlight w:val="none"/>
              </w:rPr>
            </w:pPr>
          </w:p>
        </w:tc>
        <w:tc>
          <w:tcPr>
            <w:tcW w:w="1419" w:type="dxa"/>
            <w:noWrap w:val="0"/>
            <w:vAlign w:val="top"/>
          </w:tcPr>
          <w:p w14:paraId="567D999E">
            <w:pPr>
              <w:spacing w:line="360" w:lineRule="auto"/>
              <w:rPr>
                <w:rFonts w:hint="eastAsia" w:ascii="宋体" w:hAnsi="宋体" w:eastAsia="宋体" w:cs="宋体"/>
                <w:color w:val="auto"/>
                <w:szCs w:val="21"/>
                <w:highlight w:val="none"/>
              </w:rPr>
            </w:pPr>
          </w:p>
        </w:tc>
        <w:tc>
          <w:tcPr>
            <w:tcW w:w="2062" w:type="dxa"/>
            <w:noWrap w:val="0"/>
            <w:vAlign w:val="top"/>
          </w:tcPr>
          <w:p w14:paraId="463B36BE">
            <w:pPr>
              <w:spacing w:line="360" w:lineRule="auto"/>
              <w:rPr>
                <w:rFonts w:hint="eastAsia" w:ascii="宋体" w:hAnsi="宋体" w:eastAsia="宋体" w:cs="宋体"/>
                <w:color w:val="auto"/>
                <w:szCs w:val="21"/>
                <w:highlight w:val="none"/>
              </w:rPr>
            </w:pPr>
          </w:p>
        </w:tc>
      </w:tr>
    </w:tbl>
    <w:p w14:paraId="12C9641B">
      <w:pPr>
        <w:tabs>
          <w:tab w:val="left" w:pos="900"/>
          <w:tab w:val="left" w:pos="1080"/>
        </w:tabs>
        <w:spacing w:line="360" w:lineRule="auto"/>
        <w:rPr>
          <w:rFonts w:hint="eastAsia" w:ascii="宋体" w:hAnsi="宋体" w:eastAsia="宋体" w:cs="宋体"/>
          <w:b/>
          <w:color w:val="auto"/>
          <w:szCs w:val="21"/>
          <w:highlight w:val="none"/>
        </w:rPr>
      </w:pPr>
    </w:p>
    <w:p w14:paraId="18DCAEFB">
      <w:pPr>
        <w:tabs>
          <w:tab w:val="left" w:pos="900"/>
          <w:tab w:val="left" w:pos="1080"/>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注：业绩表后应附对应合同复印件合同内容应至少包括上述表格中要求的关键要素，若缺少将影响评标委员会对投标人此项评分的得分。</w:t>
      </w:r>
    </w:p>
    <w:p w14:paraId="655128F4">
      <w:pPr>
        <w:spacing w:line="360" w:lineRule="auto"/>
        <w:jc w:val="center"/>
        <w:rPr>
          <w:rFonts w:hint="eastAsia" w:ascii="宋体" w:hAnsi="宋体" w:eastAsia="宋体" w:cs="宋体"/>
          <w:b/>
          <w:color w:val="auto"/>
          <w:szCs w:val="21"/>
          <w:highlight w:val="none"/>
        </w:rPr>
      </w:pPr>
    </w:p>
    <w:p w14:paraId="2164D44D">
      <w:pPr>
        <w:spacing w:line="360" w:lineRule="auto"/>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29E45EE4">
      <w:pPr>
        <w:spacing w:line="360" w:lineRule="auto"/>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6243BE7A">
      <w:pPr>
        <w:spacing w:line="360" w:lineRule="auto"/>
        <w:jc w:val="center"/>
        <w:rPr>
          <w:rFonts w:hint="eastAsia" w:ascii="宋体" w:hAnsi="宋体" w:eastAsia="宋体" w:cs="宋体"/>
          <w:b/>
          <w:color w:val="auto"/>
          <w:szCs w:val="21"/>
          <w:highlight w:val="none"/>
        </w:rPr>
      </w:pPr>
    </w:p>
    <w:p w14:paraId="4C32EDAC">
      <w:pPr>
        <w:spacing w:line="360" w:lineRule="auto"/>
        <w:jc w:val="center"/>
        <w:rPr>
          <w:rFonts w:hint="eastAsia" w:ascii="宋体" w:hAnsi="宋体" w:eastAsia="宋体" w:cs="宋体"/>
          <w:b/>
          <w:color w:val="auto"/>
          <w:szCs w:val="21"/>
          <w:highlight w:val="none"/>
        </w:rPr>
      </w:pPr>
    </w:p>
    <w:p w14:paraId="5D298DBC">
      <w:pPr>
        <w:spacing w:line="360" w:lineRule="auto"/>
        <w:jc w:val="center"/>
        <w:rPr>
          <w:rFonts w:hint="eastAsia" w:ascii="宋体" w:hAnsi="宋体" w:eastAsia="宋体" w:cs="宋体"/>
          <w:b/>
          <w:color w:val="auto"/>
          <w:szCs w:val="21"/>
          <w:highlight w:val="none"/>
        </w:rPr>
        <w:sectPr>
          <w:footnotePr>
            <w:pos w:val="beneathText"/>
          </w:footnotePr>
          <w:pgSz w:w="11906" w:h="16838"/>
          <w:pgMar w:top="1418" w:right="1418" w:bottom="1418" w:left="1418" w:header="850" w:footer="992" w:gutter="0"/>
          <w:cols w:space="720" w:num="1"/>
          <w:docGrid w:linePitch="333" w:charSpace="0"/>
        </w:sectPr>
      </w:pPr>
    </w:p>
    <w:p w14:paraId="5686197C">
      <w:pPr>
        <w:pStyle w:val="6"/>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（3）企业财务状况</w:t>
      </w:r>
    </w:p>
    <w:p w14:paraId="1FF8D4CC">
      <w:pPr>
        <w:tabs>
          <w:tab w:val="left" w:pos="4158"/>
        </w:tabs>
        <w:adjustRightInd w:val="0"/>
        <w:snapToGrid w:val="0"/>
        <w:spacing w:line="360" w:lineRule="auto"/>
        <w:jc w:val="center"/>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近三年财务状况表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按年度提供</w:t>
      </w:r>
      <w:r>
        <w:rPr>
          <w:rFonts w:hint="eastAsia" w:ascii="宋体" w:hAnsi="宋体" w:eastAsia="宋体" w:cs="宋体"/>
          <w:b/>
          <w:color w:val="auto"/>
          <w:szCs w:val="21"/>
          <w:highlight w:val="none"/>
          <w:lang w:eastAsia="zh-CN"/>
        </w:rPr>
        <w:t>）</w:t>
      </w:r>
    </w:p>
    <w:p w14:paraId="68EE88F2">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按招标文件要求</w:t>
      </w:r>
      <w:r>
        <w:rPr>
          <w:rFonts w:hint="eastAsia" w:ascii="宋体" w:hAnsi="宋体" w:eastAsia="宋体" w:cs="宋体"/>
          <w:b/>
          <w:color w:val="auto"/>
          <w:szCs w:val="21"/>
          <w:highlight w:val="none"/>
        </w:rPr>
        <w:t>提供经第三方机构审计的审计报告，并根据报告内容填写以下表格：</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322"/>
        <w:gridCol w:w="1704"/>
        <w:gridCol w:w="1706"/>
        <w:gridCol w:w="2113"/>
      </w:tblGrid>
      <w:tr w14:paraId="53A5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F6C24D5">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项目或指标</w:t>
            </w:r>
          </w:p>
        </w:tc>
        <w:tc>
          <w:tcPr>
            <w:tcW w:w="1322" w:type="dxa"/>
            <w:noWrap w:val="0"/>
            <w:vAlign w:val="center"/>
          </w:tcPr>
          <w:p w14:paraId="7B9D9C3F">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w:t>
            </w:r>
          </w:p>
        </w:tc>
        <w:tc>
          <w:tcPr>
            <w:tcW w:w="1704" w:type="dxa"/>
            <w:noWrap w:val="0"/>
            <w:vAlign w:val="center"/>
          </w:tcPr>
          <w:p w14:paraId="51CCAF5F">
            <w:pPr>
              <w:snapToGrid w:val="0"/>
              <w:spacing w:line="360" w:lineRule="auto"/>
              <w:jc w:val="center"/>
              <w:rPr>
                <w:rFonts w:hint="eastAsia" w:ascii="宋体" w:hAnsi="宋体" w:eastAsia="宋体" w:cs="宋体"/>
                <w:color w:val="auto"/>
                <w:szCs w:val="21"/>
                <w:highlight w:val="none"/>
              </w:rPr>
            </w:pPr>
          </w:p>
        </w:tc>
        <w:tc>
          <w:tcPr>
            <w:tcW w:w="1706" w:type="dxa"/>
            <w:noWrap w:val="0"/>
            <w:vAlign w:val="center"/>
          </w:tcPr>
          <w:p w14:paraId="1FC5D46A">
            <w:pPr>
              <w:snapToGrid w:val="0"/>
              <w:spacing w:line="360" w:lineRule="auto"/>
              <w:jc w:val="center"/>
              <w:rPr>
                <w:rFonts w:hint="eastAsia" w:ascii="宋体" w:hAnsi="宋体" w:eastAsia="宋体" w:cs="宋体"/>
                <w:color w:val="auto"/>
                <w:szCs w:val="21"/>
                <w:highlight w:val="none"/>
              </w:rPr>
            </w:pPr>
          </w:p>
        </w:tc>
        <w:tc>
          <w:tcPr>
            <w:tcW w:w="2113" w:type="dxa"/>
            <w:noWrap w:val="0"/>
            <w:vAlign w:val="center"/>
          </w:tcPr>
          <w:p w14:paraId="4955A4A6">
            <w:pPr>
              <w:snapToGrid w:val="0"/>
              <w:spacing w:line="360" w:lineRule="auto"/>
              <w:jc w:val="center"/>
              <w:rPr>
                <w:rFonts w:hint="eastAsia" w:ascii="宋体" w:hAnsi="宋体" w:eastAsia="宋体" w:cs="宋体"/>
                <w:color w:val="auto"/>
                <w:szCs w:val="21"/>
                <w:highlight w:val="none"/>
              </w:rPr>
            </w:pPr>
          </w:p>
        </w:tc>
      </w:tr>
      <w:tr w14:paraId="1660A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74DEDF1B">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一、注册资金</w:t>
            </w:r>
          </w:p>
        </w:tc>
        <w:tc>
          <w:tcPr>
            <w:tcW w:w="1322" w:type="dxa"/>
            <w:noWrap w:val="0"/>
            <w:vAlign w:val="center"/>
          </w:tcPr>
          <w:p w14:paraId="3C4B570D">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704" w:type="dxa"/>
            <w:noWrap w:val="0"/>
            <w:vAlign w:val="center"/>
          </w:tcPr>
          <w:p w14:paraId="1B594C00">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43EED6A9">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60AE10AA">
            <w:pPr>
              <w:snapToGrid w:val="0"/>
              <w:spacing w:line="360" w:lineRule="auto"/>
              <w:jc w:val="center"/>
              <w:rPr>
                <w:rFonts w:hint="eastAsia" w:ascii="宋体" w:hAnsi="宋体" w:eastAsia="宋体" w:cs="宋体"/>
                <w:bCs/>
                <w:color w:val="auto"/>
                <w:szCs w:val="21"/>
                <w:highlight w:val="none"/>
              </w:rPr>
            </w:pPr>
          </w:p>
        </w:tc>
      </w:tr>
      <w:tr w14:paraId="73C9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E075B40">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二、净资产</w:t>
            </w:r>
          </w:p>
        </w:tc>
        <w:tc>
          <w:tcPr>
            <w:tcW w:w="1322" w:type="dxa"/>
            <w:noWrap w:val="0"/>
            <w:vAlign w:val="center"/>
          </w:tcPr>
          <w:p w14:paraId="72F01D16">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704" w:type="dxa"/>
            <w:noWrap w:val="0"/>
            <w:vAlign w:val="center"/>
          </w:tcPr>
          <w:p w14:paraId="26EA6B49">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78BE3779">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08EA0D7C">
            <w:pPr>
              <w:snapToGrid w:val="0"/>
              <w:spacing w:line="360" w:lineRule="auto"/>
              <w:jc w:val="center"/>
              <w:rPr>
                <w:rFonts w:hint="eastAsia" w:ascii="宋体" w:hAnsi="宋体" w:eastAsia="宋体" w:cs="宋体"/>
                <w:bCs/>
                <w:color w:val="auto"/>
                <w:szCs w:val="21"/>
                <w:highlight w:val="none"/>
              </w:rPr>
            </w:pPr>
          </w:p>
        </w:tc>
      </w:tr>
      <w:tr w14:paraId="1094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F7B8394">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三、总资产</w:t>
            </w:r>
          </w:p>
        </w:tc>
        <w:tc>
          <w:tcPr>
            <w:tcW w:w="1322" w:type="dxa"/>
            <w:noWrap w:val="0"/>
            <w:vAlign w:val="center"/>
          </w:tcPr>
          <w:p w14:paraId="7886A19A">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704" w:type="dxa"/>
            <w:noWrap w:val="0"/>
            <w:vAlign w:val="center"/>
          </w:tcPr>
          <w:p w14:paraId="2AC7FD4A">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29543C7B">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5EA46670">
            <w:pPr>
              <w:snapToGrid w:val="0"/>
              <w:spacing w:line="360" w:lineRule="auto"/>
              <w:jc w:val="center"/>
              <w:rPr>
                <w:rFonts w:hint="eastAsia" w:ascii="宋体" w:hAnsi="宋体" w:eastAsia="宋体" w:cs="宋体"/>
                <w:bCs/>
                <w:color w:val="auto"/>
                <w:szCs w:val="21"/>
                <w:highlight w:val="none"/>
              </w:rPr>
            </w:pPr>
          </w:p>
        </w:tc>
      </w:tr>
      <w:tr w14:paraId="0A53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DA82424">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四、固定资产</w:t>
            </w:r>
          </w:p>
        </w:tc>
        <w:tc>
          <w:tcPr>
            <w:tcW w:w="1322" w:type="dxa"/>
            <w:noWrap w:val="0"/>
            <w:vAlign w:val="center"/>
          </w:tcPr>
          <w:p w14:paraId="65862110">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704" w:type="dxa"/>
            <w:noWrap w:val="0"/>
            <w:vAlign w:val="center"/>
          </w:tcPr>
          <w:p w14:paraId="0BB84922">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74E9E4E2">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20128F8B">
            <w:pPr>
              <w:snapToGrid w:val="0"/>
              <w:spacing w:line="360" w:lineRule="auto"/>
              <w:jc w:val="center"/>
              <w:rPr>
                <w:rFonts w:hint="eastAsia" w:ascii="宋体" w:hAnsi="宋体" w:eastAsia="宋体" w:cs="宋体"/>
                <w:bCs/>
                <w:color w:val="auto"/>
                <w:szCs w:val="21"/>
                <w:highlight w:val="none"/>
              </w:rPr>
            </w:pPr>
          </w:p>
        </w:tc>
      </w:tr>
      <w:tr w14:paraId="7E1A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26230185">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五、流动资产</w:t>
            </w:r>
          </w:p>
        </w:tc>
        <w:tc>
          <w:tcPr>
            <w:tcW w:w="1322" w:type="dxa"/>
            <w:noWrap w:val="0"/>
            <w:vAlign w:val="center"/>
          </w:tcPr>
          <w:p w14:paraId="20802A6E">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704" w:type="dxa"/>
            <w:noWrap w:val="0"/>
            <w:vAlign w:val="center"/>
          </w:tcPr>
          <w:p w14:paraId="6EAA07F7">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62792BA5">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0BB4B6BF">
            <w:pPr>
              <w:snapToGrid w:val="0"/>
              <w:spacing w:line="360" w:lineRule="auto"/>
              <w:jc w:val="center"/>
              <w:rPr>
                <w:rFonts w:hint="eastAsia" w:ascii="宋体" w:hAnsi="宋体" w:eastAsia="宋体" w:cs="宋体"/>
                <w:bCs/>
                <w:color w:val="auto"/>
                <w:szCs w:val="21"/>
                <w:highlight w:val="none"/>
              </w:rPr>
            </w:pPr>
          </w:p>
        </w:tc>
      </w:tr>
      <w:tr w14:paraId="53F7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3A423FF5">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六、流动负债</w:t>
            </w:r>
          </w:p>
        </w:tc>
        <w:tc>
          <w:tcPr>
            <w:tcW w:w="1322" w:type="dxa"/>
            <w:noWrap w:val="0"/>
            <w:vAlign w:val="center"/>
          </w:tcPr>
          <w:p w14:paraId="10FEC701">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704" w:type="dxa"/>
            <w:noWrap w:val="0"/>
            <w:vAlign w:val="center"/>
          </w:tcPr>
          <w:p w14:paraId="46885664">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17EAFAD5">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588AE123">
            <w:pPr>
              <w:snapToGrid w:val="0"/>
              <w:spacing w:line="360" w:lineRule="auto"/>
              <w:jc w:val="center"/>
              <w:rPr>
                <w:rFonts w:hint="eastAsia" w:ascii="宋体" w:hAnsi="宋体" w:eastAsia="宋体" w:cs="宋体"/>
                <w:bCs/>
                <w:color w:val="auto"/>
                <w:szCs w:val="21"/>
                <w:highlight w:val="none"/>
              </w:rPr>
            </w:pPr>
          </w:p>
        </w:tc>
      </w:tr>
      <w:tr w14:paraId="2183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531C1A3">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七、负债合计</w:t>
            </w:r>
          </w:p>
        </w:tc>
        <w:tc>
          <w:tcPr>
            <w:tcW w:w="1322" w:type="dxa"/>
            <w:noWrap w:val="0"/>
            <w:vAlign w:val="center"/>
          </w:tcPr>
          <w:p w14:paraId="159D106F">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704" w:type="dxa"/>
            <w:noWrap w:val="0"/>
            <w:vAlign w:val="center"/>
          </w:tcPr>
          <w:p w14:paraId="2889E106">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49902FEC">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419CC064">
            <w:pPr>
              <w:snapToGrid w:val="0"/>
              <w:spacing w:line="360" w:lineRule="auto"/>
              <w:jc w:val="center"/>
              <w:rPr>
                <w:rFonts w:hint="eastAsia" w:ascii="宋体" w:hAnsi="宋体" w:eastAsia="宋体" w:cs="宋体"/>
                <w:bCs/>
                <w:color w:val="auto"/>
                <w:szCs w:val="21"/>
                <w:highlight w:val="none"/>
              </w:rPr>
            </w:pPr>
          </w:p>
        </w:tc>
      </w:tr>
      <w:tr w14:paraId="47C9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12ED3BE">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八、营业收入</w:t>
            </w:r>
          </w:p>
        </w:tc>
        <w:tc>
          <w:tcPr>
            <w:tcW w:w="1322" w:type="dxa"/>
            <w:noWrap w:val="0"/>
            <w:vAlign w:val="center"/>
          </w:tcPr>
          <w:p w14:paraId="561E6856">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704" w:type="dxa"/>
            <w:noWrap w:val="0"/>
            <w:vAlign w:val="center"/>
          </w:tcPr>
          <w:p w14:paraId="512D70B9">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6686E7D0">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7B28E6EA">
            <w:pPr>
              <w:snapToGrid w:val="0"/>
              <w:spacing w:line="360" w:lineRule="auto"/>
              <w:jc w:val="center"/>
              <w:rPr>
                <w:rFonts w:hint="eastAsia" w:ascii="宋体" w:hAnsi="宋体" w:eastAsia="宋体" w:cs="宋体"/>
                <w:bCs/>
                <w:color w:val="auto"/>
                <w:szCs w:val="21"/>
                <w:highlight w:val="none"/>
              </w:rPr>
            </w:pPr>
          </w:p>
        </w:tc>
      </w:tr>
      <w:tr w14:paraId="3C95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431DE6E">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九、净利润</w:t>
            </w:r>
          </w:p>
        </w:tc>
        <w:tc>
          <w:tcPr>
            <w:tcW w:w="1322" w:type="dxa"/>
            <w:noWrap w:val="0"/>
            <w:vAlign w:val="center"/>
          </w:tcPr>
          <w:p w14:paraId="02334E88">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704" w:type="dxa"/>
            <w:noWrap w:val="0"/>
            <w:vAlign w:val="center"/>
          </w:tcPr>
          <w:p w14:paraId="035B1F1A">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0C016E2C">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343A36E6">
            <w:pPr>
              <w:snapToGrid w:val="0"/>
              <w:spacing w:line="360" w:lineRule="auto"/>
              <w:jc w:val="center"/>
              <w:rPr>
                <w:rFonts w:hint="eastAsia" w:ascii="宋体" w:hAnsi="宋体" w:eastAsia="宋体" w:cs="宋体"/>
                <w:bCs/>
                <w:color w:val="auto"/>
                <w:szCs w:val="21"/>
                <w:highlight w:val="none"/>
              </w:rPr>
            </w:pPr>
          </w:p>
        </w:tc>
      </w:tr>
      <w:tr w14:paraId="34E4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23542BC6">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十、净现金流量总额</w:t>
            </w:r>
          </w:p>
        </w:tc>
        <w:tc>
          <w:tcPr>
            <w:tcW w:w="1322" w:type="dxa"/>
            <w:noWrap w:val="0"/>
            <w:vAlign w:val="center"/>
          </w:tcPr>
          <w:p w14:paraId="3D0F67D0">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万元</w:t>
            </w:r>
          </w:p>
        </w:tc>
        <w:tc>
          <w:tcPr>
            <w:tcW w:w="1704" w:type="dxa"/>
            <w:noWrap w:val="0"/>
            <w:vAlign w:val="center"/>
          </w:tcPr>
          <w:p w14:paraId="179F6977">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06C735B9">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2288CDC2">
            <w:pPr>
              <w:snapToGrid w:val="0"/>
              <w:spacing w:line="360" w:lineRule="auto"/>
              <w:jc w:val="center"/>
              <w:rPr>
                <w:rFonts w:hint="eastAsia" w:ascii="宋体" w:hAnsi="宋体" w:eastAsia="宋体" w:cs="宋体"/>
                <w:bCs/>
                <w:color w:val="auto"/>
                <w:szCs w:val="21"/>
                <w:highlight w:val="none"/>
              </w:rPr>
            </w:pPr>
          </w:p>
        </w:tc>
      </w:tr>
      <w:tr w14:paraId="09F5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19E99DD0">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十一、主要财务指标</w:t>
            </w:r>
          </w:p>
        </w:tc>
        <w:tc>
          <w:tcPr>
            <w:tcW w:w="1322" w:type="dxa"/>
            <w:noWrap w:val="0"/>
            <w:vAlign w:val="center"/>
          </w:tcPr>
          <w:p w14:paraId="4E59291F">
            <w:pPr>
              <w:snapToGrid w:val="0"/>
              <w:spacing w:line="360" w:lineRule="auto"/>
              <w:jc w:val="center"/>
              <w:rPr>
                <w:rFonts w:hint="eastAsia" w:ascii="宋体" w:hAnsi="宋体" w:eastAsia="宋体" w:cs="宋体"/>
                <w:bCs/>
                <w:color w:val="auto"/>
                <w:szCs w:val="21"/>
                <w:highlight w:val="none"/>
              </w:rPr>
            </w:pPr>
          </w:p>
        </w:tc>
        <w:tc>
          <w:tcPr>
            <w:tcW w:w="1704" w:type="dxa"/>
            <w:noWrap w:val="0"/>
            <w:vAlign w:val="center"/>
          </w:tcPr>
          <w:p w14:paraId="5221DE9D">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4488C995">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479453BF">
            <w:pPr>
              <w:snapToGrid w:val="0"/>
              <w:spacing w:line="360" w:lineRule="auto"/>
              <w:jc w:val="center"/>
              <w:rPr>
                <w:rFonts w:hint="eastAsia" w:ascii="宋体" w:hAnsi="宋体" w:eastAsia="宋体" w:cs="宋体"/>
                <w:bCs/>
                <w:color w:val="auto"/>
                <w:szCs w:val="21"/>
                <w:highlight w:val="none"/>
              </w:rPr>
            </w:pPr>
          </w:p>
        </w:tc>
      </w:tr>
      <w:tr w14:paraId="2D96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02FA0BCE">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1、净资产收益率</w:t>
            </w:r>
          </w:p>
        </w:tc>
        <w:tc>
          <w:tcPr>
            <w:tcW w:w="1322" w:type="dxa"/>
            <w:noWrap w:val="0"/>
            <w:vAlign w:val="center"/>
          </w:tcPr>
          <w:p w14:paraId="539453EF">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tc>
        <w:tc>
          <w:tcPr>
            <w:tcW w:w="1704" w:type="dxa"/>
            <w:noWrap w:val="0"/>
            <w:vAlign w:val="center"/>
          </w:tcPr>
          <w:p w14:paraId="170B30EB">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57D66EE2">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4DA03C5C">
            <w:pPr>
              <w:snapToGrid w:val="0"/>
              <w:spacing w:line="360" w:lineRule="auto"/>
              <w:jc w:val="center"/>
              <w:rPr>
                <w:rFonts w:hint="eastAsia" w:ascii="宋体" w:hAnsi="宋体" w:eastAsia="宋体" w:cs="宋体"/>
                <w:bCs/>
                <w:color w:val="auto"/>
                <w:szCs w:val="21"/>
                <w:highlight w:val="none"/>
              </w:rPr>
            </w:pPr>
          </w:p>
        </w:tc>
      </w:tr>
      <w:tr w14:paraId="069C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BE5626F">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2、总资产报酬率</w:t>
            </w:r>
          </w:p>
        </w:tc>
        <w:tc>
          <w:tcPr>
            <w:tcW w:w="1322" w:type="dxa"/>
            <w:noWrap w:val="0"/>
            <w:vAlign w:val="center"/>
          </w:tcPr>
          <w:p w14:paraId="2E5510AF">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tc>
        <w:tc>
          <w:tcPr>
            <w:tcW w:w="1704" w:type="dxa"/>
            <w:noWrap w:val="0"/>
            <w:vAlign w:val="center"/>
          </w:tcPr>
          <w:p w14:paraId="36C82BD3">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434147B2">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13F9FFA6">
            <w:pPr>
              <w:snapToGrid w:val="0"/>
              <w:spacing w:line="360" w:lineRule="auto"/>
              <w:jc w:val="center"/>
              <w:rPr>
                <w:rFonts w:hint="eastAsia" w:ascii="宋体" w:hAnsi="宋体" w:eastAsia="宋体" w:cs="宋体"/>
                <w:bCs/>
                <w:color w:val="auto"/>
                <w:szCs w:val="21"/>
                <w:highlight w:val="none"/>
              </w:rPr>
            </w:pPr>
          </w:p>
        </w:tc>
      </w:tr>
      <w:tr w14:paraId="2208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1F551ED8">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3、主营业务利润率</w:t>
            </w:r>
          </w:p>
        </w:tc>
        <w:tc>
          <w:tcPr>
            <w:tcW w:w="1322" w:type="dxa"/>
            <w:noWrap w:val="0"/>
            <w:vAlign w:val="center"/>
          </w:tcPr>
          <w:p w14:paraId="19FFA6E9">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tc>
        <w:tc>
          <w:tcPr>
            <w:tcW w:w="1704" w:type="dxa"/>
            <w:noWrap w:val="0"/>
            <w:vAlign w:val="center"/>
          </w:tcPr>
          <w:p w14:paraId="24C3993E">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7C29390A">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1AD2CAB5">
            <w:pPr>
              <w:snapToGrid w:val="0"/>
              <w:spacing w:line="360" w:lineRule="auto"/>
              <w:jc w:val="center"/>
              <w:rPr>
                <w:rFonts w:hint="eastAsia" w:ascii="宋体" w:hAnsi="宋体" w:eastAsia="宋体" w:cs="宋体"/>
                <w:bCs/>
                <w:color w:val="auto"/>
                <w:szCs w:val="21"/>
                <w:highlight w:val="none"/>
              </w:rPr>
            </w:pPr>
          </w:p>
        </w:tc>
      </w:tr>
      <w:tr w14:paraId="02C6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1FD730F">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4、资产负债率</w:t>
            </w:r>
          </w:p>
        </w:tc>
        <w:tc>
          <w:tcPr>
            <w:tcW w:w="1322" w:type="dxa"/>
            <w:noWrap w:val="0"/>
            <w:vAlign w:val="center"/>
          </w:tcPr>
          <w:p w14:paraId="3BCF286D">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tc>
        <w:tc>
          <w:tcPr>
            <w:tcW w:w="1704" w:type="dxa"/>
            <w:noWrap w:val="0"/>
            <w:vAlign w:val="center"/>
          </w:tcPr>
          <w:p w14:paraId="7F942C67">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21523EAD">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496AA732">
            <w:pPr>
              <w:snapToGrid w:val="0"/>
              <w:spacing w:line="360" w:lineRule="auto"/>
              <w:jc w:val="center"/>
              <w:rPr>
                <w:rFonts w:hint="eastAsia" w:ascii="宋体" w:hAnsi="宋体" w:eastAsia="宋体" w:cs="宋体"/>
                <w:bCs/>
                <w:color w:val="auto"/>
                <w:szCs w:val="21"/>
                <w:highlight w:val="none"/>
              </w:rPr>
            </w:pPr>
          </w:p>
        </w:tc>
      </w:tr>
      <w:tr w14:paraId="30FE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1B7E3C2E">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5、流动比率</w:t>
            </w:r>
          </w:p>
        </w:tc>
        <w:tc>
          <w:tcPr>
            <w:tcW w:w="1322" w:type="dxa"/>
            <w:noWrap w:val="0"/>
            <w:vAlign w:val="center"/>
          </w:tcPr>
          <w:p w14:paraId="39FFF180">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tc>
        <w:tc>
          <w:tcPr>
            <w:tcW w:w="1704" w:type="dxa"/>
            <w:noWrap w:val="0"/>
            <w:vAlign w:val="center"/>
          </w:tcPr>
          <w:p w14:paraId="3FD31E28">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6D392081">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24C60805">
            <w:pPr>
              <w:snapToGrid w:val="0"/>
              <w:spacing w:line="360" w:lineRule="auto"/>
              <w:jc w:val="center"/>
              <w:rPr>
                <w:rFonts w:hint="eastAsia" w:ascii="宋体" w:hAnsi="宋体" w:eastAsia="宋体" w:cs="宋体"/>
                <w:bCs/>
                <w:color w:val="auto"/>
                <w:szCs w:val="21"/>
                <w:highlight w:val="none"/>
              </w:rPr>
            </w:pPr>
          </w:p>
        </w:tc>
      </w:tr>
      <w:tr w14:paraId="1ABC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65F7486D">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6、速动比率</w:t>
            </w:r>
          </w:p>
        </w:tc>
        <w:tc>
          <w:tcPr>
            <w:tcW w:w="1322" w:type="dxa"/>
            <w:noWrap w:val="0"/>
            <w:vAlign w:val="center"/>
          </w:tcPr>
          <w:p w14:paraId="54080DFD">
            <w:pPr>
              <w:snapToGrid w:val="0"/>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w:t>
            </w:r>
          </w:p>
        </w:tc>
        <w:tc>
          <w:tcPr>
            <w:tcW w:w="1704" w:type="dxa"/>
            <w:noWrap w:val="0"/>
            <w:vAlign w:val="center"/>
          </w:tcPr>
          <w:p w14:paraId="61100F34">
            <w:pPr>
              <w:snapToGrid w:val="0"/>
              <w:spacing w:line="360" w:lineRule="auto"/>
              <w:jc w:val="center"/>
              <w:rPr>
                <w:rFonts w:hint="eastAsia" w:ascii="宋体" w:hAnsi="宋体" w:eastAsia="宋体" w:cs="宋体"/>
                <w:bCs/>
                <w:color w:val="auto"/>
                <w:szCs w:val="21"/>
                <w:highlight w:val="none"/>
              </w:rPr>
            </w:pPr>
          </w:p>
        </w:tc>
        <w:tc>
          <w:tcPr>
            <w:tcW w:w="1706" w:type="dxa"/>
            <w:noWrap w:val="0"/>
            <w:vAlign w:val="center"/>
          </w:tcPr>
          <w:p w14:paraId="33C50CB8">
            <w:pPr>
              <w:snapToGrid w:val="0"/>
              <w:spacing w:line="360" w:lineRule="auto"/>
              <w:jc w:val="center"/>
              <w:rPr>
                <w:rFonts w:hint="eastAsia" w:ascii="宋体" w:hAnsi="宋体" w:eastAsia="宋体" w:cs="宋体"/>
                <w:bCs/>
                <w:color w:val="auto"/>
                <w:szCs w:val="21"/>
                <w:highlight w:val="none"/>
              </w:rPr>
            </w:pPr>
          </w:p>
        </w:tc>
        <w:tc>
          <w:tcPr>
            <w:tcW w:w="2113" w:type="dxa"/>
            <w:noWrap w:val="0"/>
            <w:vAlign w:val="center"/>
          </w:tcPr>
          <w:p w14:paraId="3D84FBF3">
            <w:pPr>
              <w:snapToGrid w:val="0"/>
              <w:spacing w:line="360" w:lineRule="auto"/>
              <w:jc w:val="center"/>
              <w:rPr>
                <w:rFonts w:hint="eastAsia" w:ascii="宋体" w:hAnsi="宋体" w:eastAsia="宋体" w:cs="宋体"/>
                <w:bCs/>
                <w:color w:val="auto"/>
                <w:szCs w:val="21"/>
                <w:highlight w:val="none"/>
              </w:rPr>
            </w:pPr>
          </w:p>
        </w:tc>
      </w:tr>
    </w:tbl>
    <w:p w14:paraId="02848D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14:paraId="0DD8C48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1、投标人应附财务报告的资产负债表、利润表、现金流量表。</w:t>
      </w:r>
    </w:p>
    <w:p w14:paraId="080A8CE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2、请投标人</w:t>
      </w:r>
      <w:r>
        <w:rPr>
          <w:rFonts w:hint="eastAsia" w:ascii="宋体" w:hAnsi="宋体" w:eastAsia="宋体" w:cs="宋体"/>
          <w:color w:val="auto"/>
          <w:szCs w:val="21"/>
          <w:highlight w:val="none"/>
          <w:lang w:val="en-US" w:eastAsia="zh-CN"/>
        </w:rPr>
        <w:t>根据表格内容</w:t>
      </w:r>
      <w:r>
        <w:rPr>
          <w:rFonts w:hint="eastAsia" w:ascii="宋体" w:hAnsi="宋体" w:eastAsia="宋体" w:cs="宋体"/>
          <w:color w:val="auto"/>
          <w:szCs w:val="21"/>
          <w:highlight w:val="none"/>
        </w:rPr>
        <w:t>填写关键数据。</w:t>
      </w:r>
    </w:p>
    <w:p w14:paraId="2E5F54C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3、若缺少上述内容将可能影响评标委员会对投标人的评审。</w:t>
      </w:r>
    </w:p>
    <w:p w14:paraId="4B78FC8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p>
    <w:p w14:paraId="78479D1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4、按招标文件要求提供对应时间的资产负债表、利润表、现金流量表</w:t>
      </w:r>
    </w:p>
    <w:p w14:paraId="28C0203D">
      <w:pPr>
        <w:spacing w:line="480" w:lineRule="auto"/>
        <w:jc w:val="left"/>
        <w:rPr>
          <w:rFonts w:hint="eastAsia" w:ascii="宋体" w:hAnsi="宋体" w:eastAsia="宋体" w:cs="宋体"/>
          <w:b/>
          <w:color w:val="auto"/>
          <w:sz w:val="24"/>
          <w:highlight w:val="none"/>
        </w:rPr>
      </w:pPr>
    </w:p>
    <w:p w14:paraId="05F4D038">
      <w:pPr>
        <w:spacing w:line="480" w:lineRule="auto"/>
        <w:jc w:val="left"/>
        <w:rPr>
          <w:rFonts w:hint="eastAsia" w:ascii="宋体" w:hAnsi="宋体" w:eastAsia="宋体" w:cs="宋体"/>
          <w:color w:val="auto"/>
          <w:highlight w:val="none"/>
        </w:rPr>
      </w:pPr>
      <w:r>
        <w:rPr>
          <w:rFonts w:hint="eastAsia" w:ascii="宋体" w:hAnsi="宋体" w:eastAsia="宋体" w:cs="宋体"/>
          <w:b/>
          <w:color w:val="auto"/>
          <w:sz w:val="24"/>
          <w:highlight w:val="none"/>
        </w:rPr>
        <w:t>（4）服务团队情况</w:t>
      </w:r>
    </w:p>
    <w:p w14:paraId="18803384">
      <w:pPr>
        <w:overflowPunct w:val="0"/>
        <w:autoSpaceDE w:val="0"/>
        <w:autoSpaceDN w:val="0"/>
        <w:adjustRightInd w:val="0"/>
        <w:snapToGrid w:val="0"/>
        <w:spacing w:before="120" w:beforeLines="50" w:after="120" w:afterLines="50"/>
        <w:jc w:val="center"/>
        <w:rPr>
          <w:rFonts w:hint="eastAsia" w:ascii="宋体" w:hAnsi="宋体" w:eastAsia="宋体" w:cs="宋体"/>
          <w:b/>
          <w:bCs/>
          <w:color w:val="auto"/>
          <w:szCs w:val="21"/>
          <w:highlight w:val="none"/>
        </w:rPr>
      </w:pPr>
      <w:r>
        <w:rPr>
          <w:rFonts w:hint="eastAsia" w:ascii="宋体" w:hAnsi="宋体" w:eastAsia="宋体" w:cs="宋体"/>
          <w:b/>
          <w:bCs/>
          <w:snapToGrid w:val="0"/>
          <w:color w:val="auto"/>
          <w:kern w:val="0"/>
          <w:szCs w:val="21"/>
          <w:highlight w:val="none"/>
        </w:rPr>
        <w:t>拟投入服务团队成员情况一览表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91"/>
        <w:gridCol w:w="560"/>
        <w:gridCol w:w="560"/>
        <w:gridCol w:w="560"/>
        <w:gridCol w:w="560"/>
        <w:gridCol w:w="1929"/>
        <w:gridCol w:w="826"/>
        <w:gridCol w:w="2241"/>
      </w:tblGrid>
      <w:tr w14:paraId="57D5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559" w:type="dxa"/>
            <w:tcBorders>
              <w:top w:val="single" w:color="auto" w:sz="4" w:space="0"/>
              <w:left w:val="single" w:color="auto" w:sz="4" w:space="0"/>
              <w:bottom w:val="nil"/>
              <w:right w:val="single" w:color="auto" w:sz="4" w:space="0"/>
            </w:tcBorders>
            <w:shd w:val="clear" w:color="auto" w:fill="FFFFFF"/>
            <w:noWrap w:val="0"/>
            <w:vAlign w:val="center"/>
          </w:tcPr>
          <w:p w14:paraId="05E20C66">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91" w:type="dxa"/>
            <w:tcBorders>
              <w:top w:val="single" w:color="auto" w:sz="4" w:space="0"/>
              <w:left w:val="single" w:color="auto" w:sz="4" w:space="0"/>
              <w:bottom w:val="nil"/>
              <w:right w:val="single" w:color="auto" w:sz="4" w:space="0"/>
            </w:tcBorders>
            <w:shd w:val="clear" w:color="auto" w:fill="FFFFFF"/>
            <w:noWrap w:val="0"/>
            <w:vAlign w:val="center"/>
          </w:tcPr>
          <w:p w14:paraId="081BD4B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拟担任本项目的角色</w:t>
            </w:r>
          </w:p>
        </w:tc>
        <w:tc>
          <w:tcPr>
            <w:tcW w:w="560" w:type="dxa"/>
            <w:tcBorders>
              <w:top w:val="single" w:color="auto" w:sz="4" w:space="0"/>
              <w:left w:val="single" w:color="auto" w:sz="4" w:space="0"/>
              <w:bottom w:val="nil"/>
              <w:right w:val="single" w:color="auto" w:sz="4" w:space="0"/>
            </w:tcBorders>
            <w:shd w:val="clear" w:color="auto" w:fill="FFFFFF"/>
            <w:noWrap w:val="0"/>
            <w:vAlign w:val="center"/>
          </w:tcPr>
          <w:p w14:paraId="02293922">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姓名</w:t>
            </w:r>
          </w:p>
        </w:tc>
        <w:tc>
          <w:tcPr>
            <w:tcW w:w="560" w:type="dxa"/>
            <w:tcBorders>
              <w:top w:val="single" w:color="auto" w:sz="4" w:space="0"/>
              <w:left w:val="single" w:color="auto" w:sz="4" w:space="0"/>
              <w:bottom w:val="nil"/>
            </w:tcBorders>
            <w:shd w:val="clear" w:color="auto" w:fill="FFFFFF"/>
            <w:noWrap w:val="0"/>
            <w:vAlign w:val="center"/>
          </w:tcPr>
          <w:p w14:paraId="59CD459F">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年龄</w:t>
            </w:r>
          </w:p>
        </w:tc>
        <w:tc>
          <w:tcPr>
            <w:tcW w:w="560" w:type="dxa"/>
            <w:tcBorders>
              <w:top w:val="single" w:color="auto" w:sz="4" w:space="0"/>
              <w:left w:val="single" w:color="auto" w:sz="4" w:space="0"/>
              <w:bottom w:val="nil"/>
            </w:tcBorders>
            <w:shd w:val="clear" w:color="auto" w:fill="FFFFFF"/>
            <w:noWrap w:val="0"/>
            <w:vAlign w:val="center"/>
          </w:tcPr>
          <w:p w14:paraId="048B5797">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学历</w:t>
            </w:r>
          </w:p>
        </w:tc>
        <w:tc>
          <w:tcPr>
            <w:tcW w:w="560" w:type="dxa"/>
            <w:tcBorders>
              <w:top w:val="single" w:color="auto" w:sz="4" w:space="0"/>
              <w:bottom w:val="nil"/>
            </w:tcBorders>
            <w:shd w:val="clear" w:color="auto" w:fill="FFFFFF"/>
            <w:noWrap w:val="0"/>
            <w:vAlign w:val="center"/>
          </w:tcPr>
          <w:p w14:paraId="078BBC1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职务</w:t>
            </w:r>
          </w:p>
        </w:tc>
        <w:tc>
          <w:tcPr>
            <w:tcW w:w="1929" w:type="dxa"/>
            <w:tcBorders>
              <w:top w:val="single" w:color="auto" w:sz="4" w:space="0"/>
              <w:bottom w:val="nil"/>
            </w:tcBorders>
            <w:shd w:val="clear" w:color="auto" w:fill="FFFFFF"/>
            <w:noWrap w:val="0"/>
            <w:vAlign w:val="center"/>
          </w:tcPr>
          <w:p w14:paraId="063E2EFD">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具有相关证书(含职称证)等</w:t>
            </w:r>
          </w:p>
        </w:tc>
        <w:tc>
          <w:tcPr>
            <w:tcW w:w="826" w:type="dxa"/>
            <w:tcBorders>
              <w:top w:val="single" w:color="auto" w:sz="4" w:space="0"/>
              <w:bottom w:val="nil"/>
            </w:tcBorders>
            <w:shd w:val="clear" w:color="auto" w:fill="FFFFFF"/>
            <w:noWrap w:val="0"/>
            <w:vAlign w:val="center"/>
          </w:tcPr>
          <w:p w14:paraId="50FE5611">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工作年限</w:t>
            </w:r>
          </w:p>
        </w:tc>
        <w:tc>
          <w:tcPr>
            <w:tcW w:w="2241" w:type="dxa"/>
            <w:tcBorders>
              <w:top w:val="single" w:color="auto" w:sz="4" w:space="0"/>
              <w:bottom w:val="nil"/>
              <w:right w:val="single" w:color="auto" w:sz="4" w:space="0"/>
            </w:tcBorders>
            <w:shd w:val="clear" w:color="auto" w:fill="FFFFFF"/>
            <w:noWrap w:val="0"/>
            <w:vAlign w:val="center"/>
          </w:tcPr>
          <w:p w14:paraId="44EE63F5">
            <w:pPr>
              <w:ind w:firstLine="12"/>
              <w:jc w:val="cente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主要资历、经验及承担过的项目</w:t>
            </w:r>
          </w:p>
        </w:tc>
      </w:tr>
      <w:tr w14:paraId="269B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top w:val="single" w:color="auto" w:sz="4" w:space="0"/>
              <w:left w:val="single" w:color="auto" w:sz="4" w:space="0"/>
              <w:bottom w:val="nil"/>
              <w:right w:val="single" w:color="auto" w:sz="4" w:space="0"/>
            </w:tcBorders>
            <w:noWrap w:val="0"/>
            <w:vAlign w:val="center"/>
          </w:tcPr>
          <w:p w14:paraId="645444F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91" w:type="dxa"/>
            <w:tcBorders>
              <w:top w:val="single" w:color="auto" w:sz="4" w:space="0"/>
              <w:left w:val="single" w:color="auto" w:sz="4" w:space="0"/>
              <w:bottom w:val="nil"/>
              <w:right w:val="single" w:color="auto" w:sz="4" w:space="0"/>
            </w:tcBorders>
            <w:noWrap w:val="0"/>
            <w:vAlign w:val="center"/>
          </w:tcPr>
          <w:p w14:paraId="36A10E20">
            <w:pPr>
              <w:jc w:val="center"/>
              <w:rPr>
                <w:rFonts w:hint="eastAsia" w:ascii="宋体" w:hAnsi="宋体" w:eastAsia="宋体" w:cs="宋体"/>
                <w:color w:val="auto"/>
                <w:szCs w:val="21"/>
                <w:highlight w:val="none"/>
              </w:rPr>
            </w:pPr>
          </w:p>
        </w:tc>
        <w:tc>
          <w:tcPr>
            <w:tcW w:w="560" w:type="dxa"/>
            <w:tcBorders>
              <w:top w:val="single" w:color="auto" w:sz="4" w:space="0"/>
              <w:left w:val="single" w:color="auto" w:sz="4" w:space="0"/>
              <w:bottom w:val="nil"/>
              <w:right w:val="single" w:color="auto" w:sz="4" w:space="0"/>
            </w:tcBorders>
            <w:noWrap w:val="0"/>
            <w:vAlign w:val="center"/>
          </w:tcPr>
          <w:p w14:paraId="30AFF4EE">
            <w:pPr>
              <w:jc w:val="center"/>
              <w:rPr>
                <w:rFonts w:hint="eastAsia" w:ascii="宋体" w:hAnsi="宋体" w:eastAsia="宋体" w:cs="宋体"/>
                <w:color w:val="auto"/>
                <w:szCs w:val="21"/>
                <w:highlight w:val="none"/>
              </w:rPr>
            </w:pPr>
          </w:p>
        </w:tc>
        <w:tc>
          <w:tcPr>
            <w:tcW w:w="560" w:type="dxa"/>
            <w:tcBorders>
              <w:top w:val="single" w:color="auto" w:sz="4" w:space="0"/>
              <w:left w:val="single" w:color="auto" w:sz="4" w:space="0"/>
              <w:bottom w:val="nil"/>
            </w:tcBorders>
            <w:noWrap w:val="0"/>
            <w:vAlign w:val="center"/>
          </w:tcPr>
          <w:p w14:paraId="75F54FAD">
            <w:pPr>
              <w:jc w:val="center"/>
              <w:rPr>
                <w:rFonts w:hint="eastAsia" w:ascii="宋体" w:hAnsi="宋体" w:eastAsia="宋体" w:cs="宋体"/>
                <w:color w:val="auto"/>
                <w:szCs w:val="21"/>
                <w:highlight w:val="none"/>
              </w:rPr>
            </w:pPr>
          </w:p>
        </w:tc>
        <w:tc>
          <w:tcPr>
            <w:tcW w:w="560" w:type="dxa"/>
            <w:tcBorders>
              <w:top w:val="single" w:color="auto" w:sz="4" w:space="0"/>
              <w:left w:val="single" w:color="auto" w:sz="4" w:space="0"/>
              <w:bottom w:val="nil"/>
            </w:tcBorders>
            <w:noWrap w:val="0"/>
            <w:vAlign w:val="center"/>
          </w:tcPr>
          <w:p w14:paraId="2CD29015">
            <w:pPr>
              <w:jc w:val="center"/>
              <w:rPr>
                <w:rFonts w:hint="eastAsia" w:ascii="宋体" w:hAnsi="宋体" w:eastAsia="宋体" w:cs="宋体"/>
                <w:color w:val="auto"/>
                <w:szCs w:val="21"/>
                <w:highlight w:val="none"/>
              </w:rPr>
            </w:pPr>
          </w:p>
        </w:tc>
        <w:tc>
          <w:tcPr>
            <w:tcW w:w="560" w:type="dxa"/>
            <w:tcBorders>
              <w:top w:val="single" w:color="auto" w:sz="4" w:space="0"/>
              <w:bottom w:val="nil"/>
            </w:tcBorders>
            <w:noWrap w:val="0"/>
            <w:vAlign w:val="center"/>
          </w:tcPr>
          <w:p w14:paraId="3D75622E">
            <w:pPr>
              <w:jc w:val="center"/>
              <w:rPr>
                <w:rFonts w:hint="eastAsia" w:ascii="宋体" w:hAnsi="宋体" w:eastAsia="宋体" w:cs="宋体"/>
                <w:color w:val="auto"/>
                <w:szCs w:val="21"/>
                <w:highlight w:val="none"/>
              </w:rPr>
            </w:pPr>
          </w:p>
        </w:tc>
        <w:tc>
          <w:tcPr>
            <w:tcW w:w="1929" w:type="dxa"/>
            <w:tcBorders>
              <w:top w:val="single" w:color="auto" w:sz="4" w:space="0"/>
              <w:bottom w:val="nil"/>
            </w:tcBorders>
            <w:noWrap w:val="0"/>
            <w:vAlign w:val="center"/>
          </w:tcPr>
          <w:p w14:paraId="6CCD3CE2">
            <w:pPr>
              <w:jc w:val="center"/>
              <w:rPr>
                <w:rFonts w:hint="eastAsia" w:ascii="宋体" w:hAnsi="宋体" w:eastAsia="宋体" w:cs="宋体"/>
                <w:color w:val="auto"/>
                <w:szCs w:val="21"/>
                <w:highlight w:val="none"/>
              </w:rPr>
            </w:pPr>
          </w:p>
        </w:tc>
        <w:tc>
          <w:tcPr>
            <w:tcW w:w="826" w:type="dxa"/>
            <w:tcBorders>
              <w:top w:val="single" w:color="auto" w:sz="4" w:space="0"/>
              <w:bottom w:val="nil"/>
            </w:tcBorders>
            <w:noWrap w:val="0"/>
            <w:vAlign w:val="center"/>
          </w:tcPr>
          <w:p w14:paraId="77B8F795">
            <w:pPr>
              <w:ind w:firstLine="12"/>
              <w:jc w:val="center"/>
              <w:rPr>
                <w:rFonts w:hint="eastAsia" w:ascii="宋体" w:hAnsi="宋体" w:eastAsia="宋体" w:cs="宋体"/>
                <w:color w:val="auto"/>
                <w:szCs w:val="21"/>
                <w:highlight w:val="none"/>
              </w:rPr>
            </w:pPr>
          </w:p>
        </w:tc>
        <w:tc>
          <w:tcPr>
            <w:tcW w:w="2241" w:type="dxa"/>
            <w:tcBorders>
              <w:top w:val="single" w:color="auto" w:sz="4" w:space="0"/>
              <w:bottom w:val="nil"/>
              <w:right w:val="single" w:color="auto" w:sz="4" w:space="0"/>
            </w:tcBorders>
            <w:noWrap w:val="0"/>
            <w:vAlign w:val="center"/>
          </w:tcPr>
          <w:p w14:paraId="7EE10EC5">
            <w:pPr>
              <w:ind w:firstLine="12"/>
              <w:jc w:val="center"/>
              <w:rPr>
                <w:rFonts w:hint="eastAsia" w:ascii="宋体" w:hAnsi="宋体" w:eastAsia="宋体" w:cs="宋体"/>
                <w:color w:val="auto"/>
                <w:szCs w:val="21"/>
                <w:highlight w:val="none"/>
              </w:rPr>
            </w:pPr>
          </w:p>
        </w:tc>
      </w:tr>
      <w:tr w14:paraId="0E92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40AE61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91" w:type="dxa"/>
            <w:tcBorders>
              <w:left w:val="single" w:color="auto" w:sz="4" w:space="0"/>
              <w:right w:val="single" w:color="auto" w:sz="4" w:space="0"/>
            </w:tcBorders>
            <w:noWrap w:val="0"/>
            <w:vAlign w:val="center"/>
          </w:tcPr>
          <w:p w14:paraId="31B494C0">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14:paraId="623B0E2C">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4DEB01F3">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18404A76">
            <w:pPr>
              <w:jc w:val="center"/>
              <w:rPr>
                <w:rFonts w:hint="eastAsia" w:ascii="宋体" w:hAnsi="宋体" w:eastAsia="宋体" w:cs="宋体"/>
                <w:color w:val="auto"/>
                <w:szCs w:val="21"/>
                <w:highlight w:val="none"/>
              </w:rPr>
            </w:pPr>
          </w:p>
        </w:tc>
        <w:tc>
          <w:tcPr>
            <w:tcW w:w="560" w:type="dxa"/>
            <w:noWrap w:val="0"/>
            <w:vAlign w:val="center"/>
          </w:tcPr>
          <w:p w14:paraId="45C9C9E2">
            <w:pPr>
              <w:jc w:val="center"/>
              <w:rPr>
                <w:rFonts w:hint="eastAsia" w:ascii="宋体" w:hAnsi="宋体" w:eastAsia="宋体" w:cs="宋体"/>
                <w:color w:val="auto"/>
                <w:szCs w:val="21"/>
                <w:highlight w:val="none"/>
              </w:rPr>
            </w:pPr>
          </w:p>
        </w:tc>
        <w:tc>
          <w:tcPr>
            <w:tcW w:w="1929" w:type="dxa"/>
            <w:noWrap w:val="0"/>
            <w:vAlign w:val="center"/>
          </w:tcPr>
          <w:p w14:paraId="25685315">
            <w:pPr>
              <w:jc w:val="center"/>
              <w:rPr>
                <w:rFonts w:hint="eastAsia" w:ascii="宋体" w:hAnsi="宋体" w:eastAsia="宋体" w:cs="宋体"/>
                <w:color w:val="auto"/>
                <w:szCs w:val="21"/>
                <w:highlight w:val="none"/>
              </w:rPr>
            </w:pPr>
          </w:p>
        </w:tc>
        <w:tc>
          <w:tcPr>
            <w:tcW w:w="826" w:type="dxa"/>
            <w:noWrap w:val="0"/>
            <w:vAlign w:val="center"/>
          </w:tcPr>
          <w:p w14:paraId="321440A7">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14:paraId="3D539CC0">
            <w:pPr>
              <w:jc w:val="center"/>
              <w:rPr>
                <w:rFonts w:hint="eastAsia" w:ascii="宋体" w:hAnsi="宋体" w:eastAsia="宋体" w:cs="宋体"/>
                <w:color w:val="auto"/>
                <w:szCs w:val="21"/>
                <w:highlight w:val="none"/>
              </w:rPr>
            </w:pPr>
          </w:p>
        </w:tc>
      </w:tr>
      <w:tr w14:paraId="3BEC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19876BB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91" w:type="dxa"/>
            <w:tcBorders>
              <w:left w:val="single" w:color="auto" w:sz="4" w:space="0"/>
              <w:right w:val="single" w:color="auto" w:sz="4" w:space="0"/>
            </w:tcBorders>
            <w:noWrap w:val="0"/>
            <w:vAlign w:val="center"/>
          </w:tcPr>
          <w:p w14:paraId="057698ED">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14:paraId="72FE20F8">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58DB74F6">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136CFF16">
            <w:pPr>
              <w:jc w:val="center"/>
              <w:rPr>
                <w:rFonts w:hint="eastAsia" w:ascii="宋体" w:hAnsi="宋体" w:eastAsia="宋体" w:cs="宋体"/>
                <w:color w:val="auto"/>
                <w:szCs w:val="21"/>
                <w:highlight w:val="none"/>
              </w:rPr>
            </w:pPr>
          </w:p>
        </w:tc>
        <w:tc>
          <w:tcPr>
            <w:tcW w:w="560" w:type="dxa"/>
            <w:noWrap w:val="0"/>
            <w:vAlign w:val="center"/>
          </w:tcPr>
          <w:p w14:paraId="7488A9A4">
            <w:pPr>
              <w:jc w:val="center"/>
              <w:rPr>
                <w:rFonts w:hint="eastAsia" w:ascii="宋体" w:hAnsi="宋体" w:eastAsia="宋体" w:cs="宋体"/>
                <w:color w:val="auto"/>
                <w:szCs w:val="21"/>
                <w:highlight w:val="none"/>
              </w:rPr>
            </w:pPr>
          </w:p>
        </w:tc>
        <w:tc>
          <w:tcPr>
            <w:tcW w:w="1929" w:type="dxa"/>
            <w:noWrap w:val="0"/>
            <w:vAlign w:val="center"/>
          </w:tcPr>
          <w:p w14:paraId="408B8482">
            <w:pPr>
              <w:jc w:val="center"/>
              <w:rPr>
                <w:rFonts w:hint="eastAsia" w:ascii="宋体" w:hAnsi="宋体" w:eastAsia="宋体" w:cs="宋体"/>
                <w:color w:val="auto"/>
                <w:szCs w:val="21"/>
                <w:highlight w:val="none"/>
              </w:rPr>
            </w:pPr>
          </w:p>
        </w:tc>
        <w:tc>
          <w:tcPr>
            <w:tcW w:w="826" w:type="dxa"/>
            <w:noWrap w:val="0"/>
            <w:vAlign w:val="center"/>
          </w:tcPr>
          <w:p w14:paraId="6B873A46">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14:paraId="33E6B61B">
            <w:pPr>
              <w:jc w:val="center"/>
              <w:rPr>
                <w:rFonts w:hint="eastAsia" w:ascii="宋体" w:hAnsi="宋体" w:eastAsia="宋体" w:cs="宋体"/>
                <w:color w:val="auto"/>
                <w:szCs w:val="21"/>
                <w:highlight w:val="none"/>
              </w:rPr>
            </w:pPr>
          </w:p>
        </w:tc>
      </w:tr>
      <w:tr w14:paraId="2594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56EC11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91" w:type="dxa"/>
            <w:tcBorders>
              <w:left w:val="single" w:color="auto" w:sz="4" w:space="0"/>
              <w:right w:val="single" w:color="auto" w:sz="4" w:space="0"/>
            </w:tcBorders>
            <w:noWrap w:val="0"/>
            <w:vAlign w:val="center"/>
          </w:tcPr>
          <w:p w14:paraId="666447B6">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14:paraId="0AF13060">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6AAF4C49">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3C3A12E0">
            <w:pPr>
              <w:jc w:val="center"/>
              <w:rPr>
                <w:rFonts w:hint="eastAsia" w:ascii="宋体" w:hAnsi="宋体" w:eastAsia="宋体" w:cs="宋体"/>
                <w:color w:val="auto"/>
                <w:szCs w:val="21"/>
                <w:highlight w:val="none"/>
              </w:rPr>
            </w:pPr>
          </w:p>
        </w:tc>
        <w:tc>
          <w:tcPr>
            <w:tcW w:w="560" w:type="dxa"/>
            <w:noWrap w:val="0"/>
            <w:vAlign w:val="center"/>
          </w:tcPr>
          <w:p w14:paraId="33705A1D">
            <w:pPr>
              <w:jc w:val="center"/>
              <w:rPr>
                <w:rFonts w:hint="eastAsia" w:ascii="宋体" w:hAnsi="宋体" w:eastAsia="宋体" w:cs="宋体"/>
                <w:color w:val="auto"/>
                <w:szCs w:val="21"/>
                <w:highlight w:val="none"/>
              </w:rPr>
            </w:pPr>
          </w:p>
        </w:tc>
        <w:tc>
          <w:tcPr>
            <w:tcW w:w="1929" w:type="dxa"/>
            <w:noWrap w:val="0"/>
            <w:vAlign w:val="center"/>
          </w:tcPr>
          <w:p w14:paraId="00CC4EF1">
            <w:pPr>
              <w:jc w:val="center"/>
              <w:rPr>
                <w:rFonts w:hint="eastAsia" w:ascii="宋体" w:hAnsi="宋体" w:eastAsia="宋体" w:cs="宋体"/>
                <w:color w:val="auto"/>
                <w:szCs w:val="21"/>
                <w:highlight w:val="none"/>
              </w:rPr>
            </w:pPr>
          </w:p>
        </w:tc>
        <w:tc>
          <w:tcPr>
            <w:tcW w:w="826" w:type="dxa"/>
            <w:noWrap w:val="0"/>
            <w:vAlign w:val="center"/>
          </w:tcPr>
          <w:p w14:paraId="20703D49">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14:paraId="301DDB73">
            <w:pPr>
              <w:jc w:val="center"/>
              <w:rPr>
                <w:rFonts w:hint="eastAsia" w:ascii="宋体" w:hAnsi="宋体" w:eastAsia="宋体" w:cs="宋体"/>
                <w:color w:val="auto"/>
                <w:szCs w:val="21"/>
                <w:highlight w:val="none"/>
              </w:rPr>
            </w:pPr>
          </w:p>
        </w:tc>
      </w:tr>
      <w:tr w14:paraId="76C6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079C53A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491" w:type="dxa"/>
            <w:tcBorders>
              <w:left w:val="single" w:color="auto" w:sz="4" w:space="0"/>
              <w:right w:val="single" w:color="auto" w:sz="4" w:space="0"/>
            </w:tcBorders>
            <w:noWrap w:val="0"/>
            <w:vAlign w:val="center"/>
          </w:tcPr>
          <w:p w14:paraId="5D9E40E4">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14:paraId="0F377497">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651F6B6C">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022FA44F">
            <w:pPr>
              <w:jc w:val="center"/>
              <w:rPr>
                <w:rFonts w:hint="eastAsia" w:ascii="宋体" w:hAnsi="宋体" w:eastAsia="宋体" w:cs="宋体"/>
                <w:color w:val="auto"/>
                <w:szCs w:val="21"/>
                <w:highlight w:val="none"/>
              </w:rPr>
            </w:pPr>
          </w:p>
        </w:tc>
        <w:tc>
          <w:tcPr>
            <w:tcW w:w="560" w:type="dxa"/>
            <w:noWrap w:val="0"/>
            <w:vAlign w:val="center"/>
          </w:tcPr>
          <w:p w14:paraId="31B62E56">
            <w:pPr>
              <w:jc w:val="center"/>
              <w:rPr>
                <w:rFonts w:hint="eastAsia" w:ascii="宋体" w:hAnsi="宋体" w:eastAsia="宋体" w:cs="宋体"/>
                <w:color w:val="auto"/>
                <w:szCs w:val="21"/>
                <w:highlight w:val="none"/>
              </w:rPr>
            </w:pPr>
          </w:p>
        </w:tc>
        <w:tc>
          <w:tcPr>
            <w:tcW w:w="1929" w:type="dxa"/>
            <w:noWrap w:val="0"/>
            <w:vAlign w:val="center"/>
          </w:tcPr>
          <w:p w14:paraId="7B9052F7">
            <w:pPr>
              <w:jc w:val="center"/>
              <w:rPr>
                <w:rFonts w:hint="eastAsia" w:ascii="宋体" w:hAnsi="宋体" w:eastAsia="宋体" w:cs="宋体"/>
                <w:color w:val="auto"/>
                <w:szCs w:val="21"/>
                <w:highlight w:val="none"/>
              </w:rPr>
            </w:pPr>
          </w:p>
        </w:tc>
        <w:tc>
          <w:tcPr>
            <w:tcW w:w="826" w:type="dxa"/>
            <w:noWrap w:val="0"/>
            <w:vAlign w:val="center"/>
          </w:tcPr>
          <w:p w14:paraId="5E798082">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14:paraId="0AEA4732">
            <w:pPr>
              <w:jc w:val="center"/>
              <w:rPr>
                <w:rFonts w:hint="eastAsia" w:ascii="宋体" w:hAnsi="宋体" w:eastAsia="宋体" w:cs="宋体"/>
                <w:color w:val="auto"/>
                <w:szCs w:val="21"/>
                <w:highlight w:val="none"/>
              </w:rPr>
            </w:pPr>
          </w:p>
        </w:tc>
      </w:tr>
      <w:tr w14:paraId="4A73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180C2FE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91" w:type="dxa"/>
            <w:tcBorders>
              <w:left w:val="single" w:color="auto" w:sz="4" w:space="0"/>
              <w:right w:val="single" w:color="auto" w:sz="4" w:space="0"/>
            </w:tcBorders>
            <w:noWrap w:val="0"/>
            <w:vAlign w:val="center"/>
          </w:tcPr>
          <w:p w14:paraId="7CAF3FB7">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14:paraId="4D24B210">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6C7FD2D2">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720B7697">
            <w:pPr>
              <w:jc w:val="center"/>
              <w:rPr>
                <w:rFonts w:hint="eastAsia" w:ascii="宋体" w:hAnsi="宋体" w:eastAsia="宋体" w:cs="宋体"/>
                <w:color w:val="auto"/>
                <w:szCs w:val="21"/>
                <w:highlight w:val="none"/>
              </w:rPr>
            </w:pPr>
          </w:p>
        </w:tc>
        <w:tc>
          <w:tcPr>
            <w:tcW w:w="560" w:type="dxa"/>
            <w:noWrap w:val="0"/>
            <w:vAlign w:val="center"/>
          </w:tcPr>
          <w:p w14:paraId="3EAB197B">
            <w:pPr>
              <w:jc w:val="center"/>
              <w:rPr>
                <w:rFonts w:hint="eastAsia" w:ascii="宋体" w:hAnsi="宋体" w:eastAsia="宋体" w:cs="宋体"/>
                <w:color w:val="auto"/>
                <w:szCs w:val="21"/>
                <w:highlight w:val="none"/>
              </w:rPr>
            </w:pPr>
          </w:p>
        </w:tc>
        <w:tc>
          <w:tcPr>
            <w:tcW w:w="1929" w:type="dxa"/>
            <w:noWrap w:val="0"/>
            <w:vAlign w:val="center"/>
          </w:tcPr>
          <w:p w14:paraId="0AAFD08D">
            <w:pPr>
              <w:jc w:val="center"/>
              <w:rPr>
                <w:rFonts w:hint="eastAsia" w:ascii="宋体" w:hAnsi="宋体" w:eastAsia="宋体" w:cs="宋体"/>
                <w:color w:val="auto"/>
                <w:szCs w:val="21"/>
                <w:highlight w:val="none"/>
              </w:rPr>
            </w:pPr>
          </w:p>
        </w:tc>
        <w:tc>
          <w:tcPr>
            <w:tcW w:w="826" w:type="dxa"/>
            <w:noWrap w:val="0"/>
            <w:vAlign w:val="center"/>
          </w:tcPr>
          <w:p w14:paraId="5365C508">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14:paraId="48677A6F">
            <w:pPr>
              <w:jc w:val="center"/>
              <w:rPr>
                <w:rFonts w:hint="eastAsia" w:ascii="宋体" w:hAnsi="宋体" w:eastAsia="宋体" w:cs="宋体"/>
                <w:color w:val="auto"/>
                <w:szCs w:val="21"/>
                <w:highlight w:val="none"/>
              </w:rPr>
            </w:pPr>
          </w:p>
        </w:tc>
      </w:tr>
      <w:tr w14:paraId="336D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0450756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91" w:type="dxa"/>
            <w:tcBorders>
              <w:left w:val="single" w:color="auto" w:sz="4" w:space="0"/>
              <w:right w:val="single" w:color="auto" w:sz="4" w:space="0"/>
            </w:tcBorders>
            <w:noWrap w:val="0"/>
            <w:vAlign w:val="center"/>
          </w:tcPr>
          <w:p w14:paraId="10672020">
            <w:pPr>
              <w:jc w:val="center"/>
              <w:rPr>
                <w:rFonts w:hint="eastAsia" w:ascii="宋体" w:hAnsi="宋体" w:eastAsia="宋体" w:cs="宋体"/>
                <w:color w:val="auto"/>
                <w:szCs w:val="21"/>
                <w:highlight w:val="none"/>
              </w:rPr>
            </w:pPr>
          </w:p>
        </w:tc>
        <w:tc>
          <w:tcPr>
            <w:tcW w:w="560" w:type="dxa"/>
            <w:tcBorders>
              <w:left w:val="single" w:color="auto" w:sz="4" w:space="0"/>
              <w:right w:val="single" w:color="auto" w:sz="4" w:space="0"/>
            </w:tcBorders>
            <w:noWrap w:val="0"/>
            <w:vAlign w:val="center"/>
          </w:tcPr>
          <w:p w14:paraId="33AD844B">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19215A34">
            <w:pPr>
              <w:jc w:val="center"/>
              <w:rPr>
                <w:rFonts w:hint="eastAsia" w:ascii="宋体" w:hAnsi="宋体" w:eastAsia="宋体" w:cs="宋体"/>
                <w:color w:val="auto"/>
                <w:szCs w:val="21"/>
                <w:highlight w:val="none"/>
              </w:rPr>
            </w:pPr>
          </w:p>
        </w:tc>
        <w:tc>
          <w:tcPr>
            <w:tcW w:w="560" w:type="dxa"/>
            <w:tcBorders>
              <w:left w:val="single" w:color="auto" w:sz="4" w:space="0"/>
            </w:tcBorders>
            <w:noWrap w:val="0"/>
            <w:vAlign w:val="center"/>
          </w:tcPr>
          <w:p w14:paraId="7E72C39D">
            <w:pPr>
              <w:jc w:val="center"/>
              <w:rPr>
                <w:rFonts w:hint="eastAsia" w:ascii="宋体" w:hAnsi="宋体" w:eastAsia="宋体" w:cs="宋体"/>
                <w:color w:val="auto"/>
                <w:szCs w:val="21"/>
                <w:highlight w:val="none"/>
              </w:rPr>
            </w:pPr>
          </w:p>
        </w:tc>
        <w:tc>
          <w:tcPr>
            <w:tcW w:w="560" w:type="dxa"/>
            <w:noWrap w:val="0"/>
            <w:vAlign w:val="center"/>
          </w:tcPr>
          <w:p w14:paraId="36F10F56">
            <w:pPr>
              <w:jc w:val="center"/>
              <w:rPr>
                <w:rFonts w:hint="eastAsia" w:ascii="宋体" w:hAnsi="宋体" w:eastAsia="宋体" w:cs="宋体"/>
                <w:color w:val="auto"/>
                <w:szCs w:val="21"/>
                <w:highlight w:val="none"/>
              </w:rPr>
            </w:pPr>
          </w:p>
        </w:tc>
        <w:tc>
          <w:tcPr>
            <w:tcW w:w="1929" w:type="dxa"/>
            <w:noWrap w:val="0"/>
            <w:vAlign w:val="center"/>
          </w:tcPr>
          <w:p w14:paraId="02832D1C">
            <w:pPr>
              <w:jc w:val="center"/>
              <w:rPr>
                <w:rFonts w:hint="eastAsia" w:ascii="宋体" w:hAnsi="宋体" w:eastAsia="宋体" w:cs="宋体"/>
                <w:color w:val="auto"/>
                <w:szCs w:val="21"/>
                <w:highlight w:val="none"/>
              </w:rPr>
            </w:pPr>
          </w:p>
        </w:tc>
        <w:tc>
          <w:tcPr>
            <w:tcW w:w="826" w:type="dxa"/>
            <w:noWrap w:val="0"/>
            <w:vAlign w:val="center"/>
          </w:tcPr>
          <w:p w14:paraId="09532E87">
            <w:pPr>
              <w:jc w:val="center"/>
              <w:rPr>
                <w:rFonts w:hint="eastAsia" w:ascii="宋体" w:hAnsi="宋体" w:eastAsia="宋体" w:cs="宋体"/>
                <w:color w:val="auto"/>
                <w:szCs w:val="21"/>
                <w:highlight w:val="none"/>
              </w:rPr>
            </w:pPr>
          </w:p>
        </w:tc>
        <w:tc>
          <w:tcPr>
            <w:tcW w:w="2241" w:type="dxa"/>
            <w:tcBorders>
              <w:right w:val="single" w:color="auto" w:sz="4" w:space="0"/>
            </w:tcBorders>
            <w:noWrap w:val="0"/>
            <w:vAlign w:val="center"/>
          </w:tcPr>
          <w:p w14:paraId="0223E135">
            <w:pPr>
              <w:jc w:val="center"/>
              <w:rPr>
                <w:rFonts w:hint="eastAsia" w:ascii="宋体" w:hAnsi="宋体" w:eastAsia="宋体" w:cs="宋体"/>
                <w:color w:val="auto"/>
                <w:szCs w:val="21"/>
                <w:highlight w:val="none"/>
              </w:rPr>
            </w:pPr>
          </w:p>
        </w:tc>
      </w:tr>
    </w:tbl>
    <w:p w14:paraId="2B43CAF8">
      <w:pPr>
        <w:spacing w:before="120" w:beforeLines="50" w:line="360" w:lineRule="auto"/>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lang w:val="en-GB"/>
        </w:rPr>
        <w:t>注：需按招标文件要求提供上述团队成员职称证书复印件。</w:t>
      </w:r>
    </w:p>
    <w:p w14:paraId="483EBACA">
      <w:pPr>
        <w:pStyle w:val="6"/>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（5）企业资信状况（如需，格式自拟）；</w:t>
      </w:r>
    </w:p>
    <w:p w14:paraId="74AE9FEC">
      <w:pPr>
        <w:pStyle w:val="6"/>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（6）企业综合实力（如需，格式自拟）；</w:t>
      </w:r>
    </w:p>
    <w:p w14:paraId="697D1CC5">
      <w:pPr>
        <w:pStyle w:val="6"/>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（7）企业履约信用、荣誉（如需，格式自拟）；</w:t>
      </w:r>
    </w:p>
    <w:p w14:paraId="647E0AD9">
      <w:pPr>
        <w:pStyle w:val="6"/>
        <w:spacing w:line="360" w:lineRule="auto"/>
        <w:ind w:lef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（8）其他商务证明材料（投标人根据商务评分表内容及认为需要补充的说明提供相关材料）。</w:t>
      </w:r>
    </w:p>
    <w:p w14:paraId="4350AB63">
      <w:pPr>
        <w:spacing w:line="360" w:lineRule="auto"/>
        <w:rPr>
          <w:rFonts w:hint="eastAsia" w:ascii="宋体" w:hAnsi="宋体" w:eastAsia="宋体" w:cs="宋体"/>
          <w:color w:val="auto"/>
          <w:szCs w:val="21"/>
          <w:highlight w:val="none"/>
        </w:rPr>
      </w:pPr>
    </w:p>
    <w:p w14:paraId="68BDB9A9">
      <w:pPr>
        <w:spacing w:line="360" w:lineRule="auto"/>
        <w:rPr>
          <w:rFonts w:hint="eastAsia" w:ascii="宋体" w:hAnsi="宋体" w:eastAsia="宋体" w:cs="宋体"/>
          <w:color w:val="auto"/>
          <w:szCs w:val="21"/>
          <w:highlight w:val="none"/>
        </w:rPr>
        <w:sectPr>
          <w:footnotePr>
            <w:pos w:val="beneathText"/>
          </w:footnotePr>
          <w:pgSz w:w="11906" w:h="16838"/>
          <w:pgMar w:top="1418" w:right="1418" w:bottom="1418" w:left="1418" w:header="850" w:footer="992" w:gutter="0"/>
          <w:cols w:space="720" w:num="1"/>
          <w:docGrid w:linePitch="333" w:charSpace="0"/>
        </w:sectPr>
      </w:pPr>
    </w:p>
    <w:p w14:paraId="70119DBC">
      <w:pPr>
        <w:spacing w:line="48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（二）主要商务条件响应表</w:t>
      </w:r>
    </w:p>
    <w:p w14:paraId="2B330EBF">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主要商务条款响应表</w:t>
      </w:r>
    </w:p>
    <w:p w14:paraId="0DA2F2CB">
      <w:pPr>
        <w:spacing w:line="360" w:lineRule="auto"/>
        <w:ind w:left="618" w:hanging="618"/>
        <w:rPr>
          <w:rFonts w:hint="eastAsia" w:ascii="宋体" w:hAnsi="宋体" w:eastAsia="宋体" w:cs="宋体"/>
          <w:color w:val="auto"/>
          <w:highlight w:val="none"/>
        </w:rPr>
      </w:pPr>
      <w:r>
        <w:rPr>
          <w:rFonts w:hint="eastAsia" w:ascii="宋体" w:hAnsi="宋体" w:eastAsia="宋体" w:cs="宋体"/>
          <w:color w:val="auto"/>
          <w:highlight w:val="none"/>
        </w:rPr>
        <w:t>[说明]投标人应对招标文件第四部分合同所有条款的内容（而非题目）作全面响应，并在“响应”栏中打“√”，有差异的请在“备注”栏中注明具体偏离情况。</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961"/>
        <w:gridCol w:w="2756"/>
        <w:gridCol w:w="1020"/>
        <w:gridCol w:w="1020"/>
      </w:tblGrid>
      <w:tr w14:paraId="50C7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348A1143">
            <w:pPr>
              <w:spacing w:line="2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961" w:type="dxa"/>
            <w:noWrap w:val="0"/>
            <w:vAlign w:val="center"/>
          </w:tcPr>
          <w:p w14:paraId="4B7D39DB">
            <w:pPr>
              <w:spacing w:line="2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2756" w:type="dxa"/>
            <w:noWrap w:val="0"/>
            <w:vAlign w:val="center"/>
          </w:tcPr>
          <w:p w14:paraId="10A7EF96">
            <w:pPr>
              <w:spacing w:line="2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条款内容</w:t>
            </w:r>
          </w:p>
        </w:tc>
        <w:tc>
          <w:tcPr>
            <w:tcW w:w="1020" w:type="dxa"/>
            <w:noWrap w:val="0"/>
            <w:vAlign w:val="center"/>
          </w:tcPr>
          <w:p w14:paraId="59D60034">
            <w:pPr>
              <w:spacing w:line="2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响应</w:t>
            </w:r>
          </w:p>
        </w:tc>
        <w:tc>
          <w:tcPr>
            <w:tcW w:w="1020" w:type="dxa"/>
            <w:noWrap w:val="0"/>
            <w:vAlign w:val="center"/>
          </w:tcPr>
          <w:p w14:paraId="19B1E562">
            <w:pPr>
              <w:spacing w:line="2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1D8C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54017BE2">
            <w:pPr>
              <w:spacing w:line="2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961" w:type="dxa"/>
            <w:noWrap w:val="0"/>
            <w:vAlign w:val="center"/>
          </w:tcPr>
          <w:p w14:paraId="5134A564">
            <w:pPr>
              <w:jc w:val="center"/>
              <w:rPr>
                <w:rFonts w:hint="eastAsia" w:ascii="宋体" w:hAnsi="宋体" w:eastAsia="宋体" w:cs="宋体"/>
                <w:color w:val="auto"/>
                <w:szCs w:val="21"/>
                <w:highlight w:val="none"/>
              </w:rPr>
            </w:pPr>
          </w:p>
        </w:tc>
        <w:tc>
          <w:tcPr>
            <w:tcW w:w="2756" w:type="dxa"/>
            <w:noWrap w:val="0"/>
            <w:vAlign w:val="center"/>
          </w:tcPr>
          <w:p w14:paraId="39941DC9">
            <w:pPr>
              <w:pStyle w:val="36"/>
              <w:rPr>
                <w:rFonts w:hint="eastAsia" w:ascii="宋体" w:hAnsi="宋体" w:eastAsia="宋体" w:cs="宋体"/>
                <w:color w:val="auto"/>
                <w:highlight w:val="none"/>
              </w:rPr>
            </w:pPr>
          </w:p>
        </w:tc>
        <w:tc>
          <w:tcPr>
            <w:tcW w:w="1020" w:type="dxa"/>
            <w:noWrap w:val="0"/>
            <w:vAlign w:val="center"/>
          </w:tcPr>
          <w:p w14:paraId="2762767D">
            <w:pPr>
              <w:spacing w:line="200" w:lineRule="atLeast"/>
              <w:jc w:val="center"/>
              <w:rPr>
                <w:rFonts w:hint="eastAsia" w:ascii="宋体" w:hAnsi="宋体" w:eastAsia="宋体" w:cs="宋体"/>
                <w:color w:val="auto"/>
                <w:highlight w:val="none"/>
              </w:rPr>
            </w:pPr>
          </w:p>
        </w:tc>
        <w:tc>
          <w:tcPr>
            <w:tcW w:w="1020" w:type="dxa"/>
            <w:noWrap w:val="0"/>
            <w:vAlign w:val="center"/>
          </w:tcPr>
          <w:p w14:paraId="61A63937">
            <w:pPr>
              <w:spacing w:line="200" w:lineRule="atLeast"/>
              <w:jc w:val="center"/>
              <w:rPr>
                <w:rFonts w:hint="eastAsia" w:ascii="宋体" w:hAnsi="宋体" w:eastAsia="宋体" w:cs="宋体"/>
                <w:color w:val="auto"/>
                <w:highlight w:val="none"/>
              </w:rPr>
            </w:pPr>
          </w:p>
        </w:tc>
      </w:tr>
      <w:tr w14:paraId="41A7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5695EB36">
            <w:pPr>
              <w:spacing w:line="200" w:lineRule="atLeas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961" w:type="dxa"/>
            <w:noWrap w:val="0"/>
            <w:vAlign w:val="center"/>
          </w:tcPr>
          <w:p w14:paraId="51677A2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756" w:type="dxa"/>
            <w:noWrap w:val="0"/>
            <w:vAlign w:val="center"/>
          </w:tcPr>
          <w:p w14:paraId="48A30409">
            <w:pPr>
              <w:pStyle w:val="36"/>
              <w:rPr>
                <w:rFonts w:hint="eastAsia" w:ascii="宋体" w:hAnsi="宋体" w:eastAsia="宋体" w:cs="宋体"/>
                <w:color w:val="auto"/>
                <w:highlight w:val="none"/>
              </w:rPr>
            </w:pPr>
          </w:p>
        </w:tc>
        <w:tc>
          <w:tcPr>
            <w:tcW w:w="1020" w:type="dxa"/>
            <w:noWrap w:val="0"/>
            <w:vAlign w:val="center"/>
          </w:tcPr>
          <w:p w14:paraId="781F0304">
            <w:pPr>
              <w:spacing w:line="200" w:lineRule="atLeast"/>
              <w:jc w:val="center"/>
              <w:rPr>
                <w:rFonts w:hint="eastAsia" w:ascii="宋体" w:hAnsi="宋体" w:eastAsia="宋体" w:cs="宋体"/>
                <w:color w:val="auto"/>
                <w:highlight w:val="none"/>
              </w:rPr>
            </w:pPr>
          </w:p>
        </w:tc>
        <w:tc>
          <w:tcPr>
            <w:tcW w:w="1020" w:type="dxa"/>
            <w:noWrap w:val="0"/>
            <w:vAlign w:val="center"/>
          </w:tcPr>
          <w:p w14:paraId="391E5F59">
            <w:pPr>
              <w:spacing w:line="200" w:lineRule="atLeast"/>
              <w:jc w:val="center"/>
              <w:rPr>
                <w:rFonts w:hint="eastAsia" w:ascii="宋体" w:hAnsi="宋体" w:eastAsia="宋体" w:cs="宋体"/>
                <w:color w:val="auto"/>
                <w:highlight w:val="none"/>
              </w:rPr>
            </w:pPr>
          </w:p>
        </w:tc>
      </w:tr>
      <w:tr w14:paraId="6BC3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5ACDC4CA">
            <w:pPr>
              <w:spacing w:line="200" w:lineRule="atLeast"/>
              <w:jc w:val="center"/>
              <w:rPr>
                <w:rFonts w:hint="eastAsia" w:ascii="宋体" w:hAnsi="宋体" w:eastAsia="宋体" w:cs="宋体"/>
                <w:color w:val="auto"/>
                <w:highlight w:val="none"/>
              </w:rPr>
            </w:pPr>
          </w:p>
        </w:tc>
        <w:tc>
          <w:tcPr>
            <w:tcW w:w="2961" w:type="dxa"/>
            <w:noWrap w:val="0"/>
            <w:vAlign w:val="center"/>
          </w:tcPr>
          <w:p w14:paraId="3840A931">
            <w:pPr>
              <w:rPr>
                <w:rFonts w:hint="eastAsia" w:ascii="宋体" w:hAnsi="宋体" w:eastAsia="宋体" w:cs="宋体"/>
                <w:color w:val="auto"/>
                <w:szCs w:val="21"/>
                <w:highlight w:val="none"/>
              </w:rPr>
            </w:pPr>
          </w:p>
        </w:tc>
        <w:tc>
          <w:tcPr>
            <w:tcW w:w="2756" w:type="dxa"/>
            <w:noWrap w:val="0"/>
            <w:vAlign w:val="center"/>
          </w:tcPr>
          <w:p w14:paraId="08254E19">
            <w:pPr>
              <w:pStyle w:val="36"/>
              <w:rPr>
                <w:rFonts w:hint="eastAsia" w:ascii="宋体" w:hAnsi="宋体" w:eastAsia="宋体" w:cs="宋体"/>
                <w:color w:val="auto"/>
                <w:highlight w:val="none"/>
              </w:rPr>
            </w:pPr>
          </w:p>
        </w:tc>
        <w:tc>
          <w:tcPr>
            <w:tcW w:w="1020" w:type="dxa"/>
            <w:noWrap w:val="0"/>
            <w:vAlign w:val="center"/>
          </w:tcPr>
          <w:p w14:paraId="46049E62">
            <w:pPr>
              <w:spacing w:line="200" w:lineRule="atLeast"/>
              <w:jc w:val="center"/>
              <w:rPr>
                <w:rFonts w:hint="eastAsia" w:ascii="宋体" w:hAnsi="宋体" w:eastAsia="宋体" w:cs="宋体"/>
                <w:color w:val="auto"/>
                <w:highlight w:val="none"/>
              </w:rPr>
            </w:pPr>
          </w:p>
        </w:tc>
        <w:tc>
          <w:tcPr>
            <w:tcW w:w="1020" w:type="dxa"/>
            <w:noWrap w:val="0"/>
            <w:vAlign w:val="center"/>
          </w:tcPr>
          <w:p w14:paraId="5313C9E9">
            <w:pPr>
              <w:spacing w:line="200" w:lineRule="atLeast"/>
              <w:jc w:val="center"/>
              <w:rPr>
                <w:rFonts w:hint="eastAsia" w:ascii="宋体" w:hAnsi="宋体" w:eastAsia="宋体" w:cs="宋体"/>
                <w:color w:val="auto"/>
                <w:highlight w:val="none"/>
              </w:rPr>
            </w:pPr>
          </w:p>
        </w:tc>
      </w:tr>
      <w:tr w14:paraId="5EDD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783DDB43">
            <w:pPr>
              <w:spacing w:line="200" w:lineRule="atLeast"/>
              <w:jc w:val="center"/>
              <w:rPr>
                <w:rFonts w:hint="eastAsia" w:ascii="宋体" w:hAnsi="宋体" w:eastAsia="宋体" w:cs="宋体"/>
                <w:color w:val="auto"/>
                <w:highlight w:val="none"/>
              </w:rPr>
            </w:pPr>
          </w:p>
        </w:tc>
        <w:tc>
          <w:tcPr>
            <w:tcW w:w="2961" w:type="dxa"/>
            <w:noWrap w:val="0"/>
            <w:vAlign w:val="center"/>
          </w:tcPr>
          <w:p w14:paraId="36DD1FC9">
            <w:pPr>
              <w:rPr>
                <w:rFonts w:hint="eastAsia" w:ascii="宋体" w:hAnsi="宋体" w:eastAsia="宋体" w:cs="宋体"/>
                <w:color w:val="auto"/>
                <w:szCs w:val="21"/>
                <w:highlight w:val="none"/>
              </w:rPr>
            </w:pPr>
          </w:p>
        </w:tc>
        <w:tc>
          <w:tcPr>
            <w:tcW w:w="2756" w:type="dxa"/>
            <w:noWrap w:val="0"/>
            <w:vAlign w:val="center"/>
          </w:tcPr>
          <w:p w14:paraId="21590213">
            <w:pPr>
              <w:pStyle w:val="36"/>
              <w:rPr>
                <w:rFonts w:hint="eastAsia" w:ascii="宋体" w:hAnsi="宋体" w:eastAsia="宋体" w:cs="宋体"/>
                <w:color w:val="auto"/>
                <w:highlight w:val="none"/>
              </w:rPr>
            </w:pPr>
          </w:p>
        </w:tc>
        <w:tc>
          <w:tcPr>
            <w:tcW w:w="1020" w:type="dxa"/>
            <w:noWrap w:val="0"/>
            <w:vAlign w:val="center"/>
          </w:tcPr>
          <w:p w14:paraId="0235D053">
            <w:pPr>
              <w:spacing w:line="200" w:lineRule="atLeast"/>
              <w:jc w:val="center"/>
              <w:rPr>
                <w:rFonts w:hint="eastAsia" w:ascii="宋体" w:hAnsi="宋体" w:eastAsia="宋体" w:cs="宋体"/>
                <w:color w:val="auto"/>
                <w:highlight w:val="none"/>
              </w:rPr>
            </w:pPr>
          </w:p>
        </w:tc>
        <w:tc>
          <w:tcPr>
            <w:tcW w:w="1020" w:type="dxa"/>
            <w:noWrap w:val="0"/>
            <w:vAlign w:val="center"/>
          </w:tcPr>
          <w:p w14:paraId="2D8A67B5">
            <w:pPr>
              <w:spacing w:line="200" w:lineRule="atLeast"/>
              <w:jc w:val="center"/>
              <w:rPr>
                <w:rFonts w:hint="eastAsia" w:ascii="宋体" w:hAnsi="宋体" w:eastAsia="宋体" w:cs="宋体"/>
                <w:color w:val="auto"/>
                <w:highlight w:val="none"/>
              </w:rPr>
            </w:pPr>
          </w:p>
        </w:tc>
      </w:tr>
      <w:tr w14:paraId="47C3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5E39A0A3">
            <w:pPr>
              <w:spacing w:line="200" w:lineRule="atLeast"/>
              <w:jc w:val="center"/>
              <w:rPr>
                <w:rFonts w:hint="eastAsia" w:ascii="宋体" w:hAnsi="宋体" w:eastAsia="宋体" w:cs="宋体"/>
                <w:color w:val="auto"/>
                <w:highlight w:val="none"/>
              </w:rPr>
            </w:pPr>
          </w:p>
        </w:tc>
        <w:tc>
          <w:tcPr>
            <w:tcW w:w="2961" w:type="dxa"/>
            <w:noWrap w:val="0"/>
            <w:vAlign w:val="center"/>
          </w:tcPr>
          <w:p w14:paraId="4608E06F">
            <w:pPr>
              <w:rPr>
                <w:rFonts w:hint="eastAsia" w:ascii="宋体" w:hAnsi="宋体" w:eastAsia="宋体" w:cs="宋体"/>
                <w:color w:val="auto"/>
                <w:szCs w:val="21"/>
                <w:highlight w:val="none"/>
              </w:rPr>
            </w:pPr>
          </w:p>
        </w:tc>
        <w:tc>
          <w:tcPr>
            <w:tcW w:w="2756" w:type="dxa"/>
            <w:noWrap w:val="0"/>
            <w:vAlign w:val="center"/>
          </w:tcPr>
          <w:p w14:paraId="744B8525">
            <w:pPr>
              <w:pStyle w:val="36"/>
              <w:rPr>
                <w:rFonts w:hint="eastAsia" w:ascii="宋体" w:hAnsi="宋体" w:eastAsia="宋体" w:cs="宋体"/>
                <w:color w:val="auto"/>
                <w:highlight w:val="none"/>
              </w:rPr>
            </w:pPr>
          </w:p>
        </w:tc>
        <w:tc>
          <w:tcPr>
            <w:tcW w:w="1020" w:type="dxa"/>
            <w:noWrap w:val="0"/>
            <w:vAlign w:val="center"/>
          </w:tcPr>
          <w:p w14:paraId="4954EFDF">
            <w:pPr>
              <w:spacing w:line="200" w:lineRule="atLeast"/>
              <w:jc w:val="center"/>
              <w:rPr>
                <w:rFonts w:hint="eastAsia" w:ascii="宋体" w:hAnsi="宋体" w:eastAsia="宋体" w:cs="宋体"/>
                <w:color w:val="auto"/>
                <w:highlight w:val="none"/>
              </w:rPr>
            </w:pPr>
          </w:p>
        </w:tc>
        <w:tc>
          <w:tcPr>
            <w:tcW w:w="1020" w:type="dxa"/>
            <w:noWrap w:val="0"/>
            <w:vAlign w:val="center"/>
          </w:tcPr>
          <w:p w14:paraId="7DD4A2EE">
            <w:pPr>
              <w:spacing w:line="200" w:lineRule="atLeast"/>
              <w:jc w:val="center"/>
              <w:rPr>
                <w:rFonts w:hint="eastAsia" w:ascii="宋体" w:hAnsi="宋体" w:eastAsia="宋体" w:cs="宋体"/>
                <w:color w:val="auto"/>
                <w:highlight w:val="none"/>
              </w:rPr>
            </w:pPr>
          </w:p>
        </w:tc>
      </w:tr>
    </w:tbl>
    <w:p w14:paraId="3C26748F">
      <w:pPr>
        <w:spacing w:line="360" w:lineRule="auto"/>
        <w:rPr>
          <w:rFonts w:hint="eastAsia" w:ascii="宋体" w:hAnsi="宋体" w:eastAsia="宋体" w:cs="宋体"/>
          <w:color w:val="auto"/>
          <w:highlight w:val="none"/>
        </w:rPr>
      </w:pPr>
    </w:p>
    <w:p w14:paraId="2F9FE1F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说明：</w:t>
      </w:r>
    </w:p>
    <w:p w14:paraId="63278B21">
      <w:pPr>
        <w:spacing w:line="30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如投标人对招标文件</w:t>
      </w:r>
      <w:r>
        <w:rPr>
          <w:rFonts w:hint="eastAsia" w:ascii="宋体" w:hAnsi="宋体" w:eastAsia="宋体" w:cs="宋体"/>
          <w:color w:val="auto"/>
          <w:highlight w:val="none"/>
        </w:rPr>
        <w:t>合同</w:t>
      </w:r>
      <w:r>
        <w:rPr>
          <w:rFonts w:hint="eastAsia" w:ascii="宋体" w:hAnsi="宋体" w:eastAsia="宋体" w:cs="宋体"/>
          <w:bCs/>
          <w:color w:val="auto"/>
          <w:szCs w:val="21"/>
          <w:highlight w:val="none"/>
        </w:rPr>
        <w:t>条款有偏离的必须填写上表，否则视为完全响应招标文件要求。</w:t>
      </w:r>
    </w:p>
    <w:p w14:paraId="1ED8EB37">
      <w:pPr>
        <w:spacing w:line="480" w:lineRule="auto"/>
        <w:rPr>
          <w:rFonts w:hint="eastAsia" w:ascii="宋体" w:hAnsi="宋体" w:eastAsia="宋体" w:cs="宋体"/>
          <w:color w:val="auto"/>
          <w:szCs w:val="22"/>
          <w:highlight w:val="none"/>
        </w:rPr>
      </w:pPr>
    </w:p>
    <w:p w14:paraId="2B17967D">
      <w:pPr>
        <w:spacing w:line="360" w:lineRule="auto"/>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27406FD1">
      <w:pPr>
        <w:spacing w:line="360" w:lineRule="auto"/>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56E1EED8">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101" w:name="_Toc455417787"/>
      <w:bookmarkStart w:id="102" w:name="_Toc476177995"/>
      <w:bookmarkStart w:id="103" w:name="_Toc476177436"/>
      <w:bookmarkStart w:id="104" w:name="_Toc118018369"/>
      <w:r>
        <w:rPr>
          <w:rFonts w:hint="eastAsia" w:ascii="宋体" w:hAnsi="宋体" w:eastAsia="宋体" w:cs="宋体"/>
          <w:b/>
          <w:bCs/>
          <w:color w:val="auto"/>
          <w:sz w:val="28"/>
          <w:szCs w:val="21"/>
          <w:highlight w:val="none"/>
        </w:rPr>
        <w:t>六、技术响应文件格式</w:t>
      </w:r>
      <w:bookmarkEnd w:id="101"/>
      <w:bookmarkEnd w:id="102"/>
      <w:bookmarkEnd w:id="103"/>
      <w:bookmarkEnd w:id="104"/>
    </w:p>
    <w:p w14:paraId="3E465F5C">
      <w:pPr>
        <w:spacing w:before="240" w:line="360" w:lineRule="auto"/>
        <w:ind w:left="902" w:hanging="902"/>
        <w:rPr>
          <w:rFonts w:hint="eastAsia" w:ascii="宋体" w:hAnsi="宋体" w:eastAsia="宋体" w:cs="宋体"/>
          <w:color w:val="auto"/>
          <w:highlight w:val="none"/>
        </w:rPr>
      </w:pPr>
      <w:r>
        <w:rPr>
          <w:rFonts w:hint="eastAsia" w:ascii="宋体" w:hAnsi="宋体" w:eastAsia="宋体" w:cs="宋体"/>
          <w:b/>
          <w:color w:val="auto"/>
          <w:highlight w:val="none"/>
        </w:rPr>
        <w:t xml:space="preserve">[说明]  </w:t>
      </w:r>
      <w:r>
        <w:rPr>
          <w:rFonts w:hint="eastAsia" w:ascii="宋体" w:hAnsi="宋体" w:eastAsia="宋体" w:cs="宋体"/>
          <w:color w:val="auto"/>
          <w:highlight w:val="none"/>
        </w:rPr>
        <w:t>投标人应按照招标文件的要求，根据《用户需求书》要求内容做出全面响应。其内容应包括但不限于本格式内各项要求。对必须响应的内容，必须完全响应，不允许有任何差异，对响应有差异的内容，提出说明和优化建议。</w:t>
      </w:r>
    </w:p>
    <w:p w14:paraId="1C49502D">
      <w:pPr>
        <w:spacing w:line="360" w:lineRule="auto"/>
        <w:rPr>
          <w:rFonts w:hint="eastAsia" w:ascii="宋体" w:hAnsi="宋体" w:eastAsia="宋体" w:cs="宋体"/>
          <w:color w:val="auto"/>
          <w:highlight w:val="none"/>
        </w:rPr>
      </w:pPr>
      <w:r>
        <w:rPr>
          <w:rFonts w:hint="eastAsia" w:ascii="宋体" w:hAnsi="宋体" w:eastAsia="宋体" w:cs="宋体"/>
          <w:color w:val="auto"/>
          <w:szCs w:val="22"/>
          <w:highlight w:val="none"/>
        </w:rPr>
        <w:t xml:space="preserve">格式6.1   </w:t>
      </w:r>
      <w:r>
        <w:rPr>
          <w:rFonts w:hint="eastAsia" w:ascii="宋体" w:hAnsi="宋体" w:eastAsia="宋体" w:cs="宋体"/>
          <w:color w:val="auto"/>
          <w:highlight w:val="none"/>
        </w:rPr>
        <w:t>用户需求书中要求投标人自行填写的表格内容</w:t>
      </w:r>
    </w:p>
    <w:p w14:paraId="19525796">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格式</w:t>
      </w:r>
      <w:r>
        <w:rPr>
          <w:rFonts w:hint="eastAsia" w:ascii="宋体" w:hAnsi="宋体" w:eastAsia="宋体" w:cs="宋体"/>
          <w:color w:val="auto"/>
          <w:szCs w:val="22"/>
          <w:highlight w:val="none"/>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项目实施</w:t>
      </w:r>
      <w:r>
        <w:rPr>
          <w:rFonts w:hint="eastAsia" w:ascii="宋体" w:hAnsi="宋体" w:eastAsia="宋体" w:cs="宋体"/>
          <w:color w:val="auto"/>
          <w:highlight w:val="none"/>
          <w:lang w:val="en-US" w:eastAsia="zh-CN"/>
        </w:rPr>
        <w:t>方案</w:t>
      </w:r>
    </w:p>
    <w:p w14:paraId="7BF7D8A7">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格式</w:t>
      </w:r>
      <w:r>
        <w:rPr>
          <w:rFonts w:hint="eastAsia" w:ascii="宋体" w:hAnsi="宋体" w:eastAsia="宋体" w:cs="宋体"/>
          <w:color w:val="auto"/>
          <w:szCs w:val="22"/>
          <w:highlight w:val="none"/>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w:t>
      </w:r>
      <w:r>
        <w:rPr>
          <w:rFonts w:hint="eastAsia" w:ascii="宋体" w:hAnsi="宋体" w:eastAsia="宋体" w:cs="宋体"/>
          <w:color w:val="auto"/>
          <w:kern w:val="0"/>
          <w:highlight w:val="none"/>
          <w:lang w:val="en-US" w:eastAsia="zh-CN" w:bidi="ar"/>
        </w:rPr>
        <w:t>施工方案</w:t>
      </w:r>
      <w:r>
        <w:rPr>
          <w:rFonts w:hint="eastAsia" w:ascii="宋体" w:hAnsi="宋体" w:cs="宋体"/>
          <w:color w:val="auto"/>
          <w:kern w:val="0"/>
          <w:highlight w:val="none"/>
          <w:lang w:val="en-US" w:eastAsia="zh-CN" w:bidi="ar"/>
        </w:rPr>
        <w:t>（如有）</w:t>
      </w:r>
    </w:p>
    <w:p w14:paraId="2C6A1B98">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格式</w:t>
      </w:r>
      <w:r>
        <w:rPr>
          <w:rFonts w:hint="eastAsia" w:ascii="宋体" w:hAnsi="宋体" w:eastAsia="宋体" w:cs="宋体"/>
          <w:color w:val="auto"/>
          <w:szCs w:val="22"/>
          <w:highlight w:val="none"/>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4   </w:t>
      </w:r>
      <w:r>
        <w:rPr>
          <w:rFonts w:hint="eastAsia" w:ascii="宋体" w:hAnsi="宋体" w:cs="宋体"/>
          <w:color w:val="auto"/>
          <w:kern w:val="2"/>
          <w:sz w:val="21"/>
          <w:szCs w:val="21"/>
          <w:highlight w:val="none"/>
          <w:lang w:val="en-US" w:eastAsia="zh-CN" w:bidi="ar-SA"/>
        </w:rPr>
        <w:t>电梯回收处理说明（如有）</w:t>
      </w:r>
    </w:p>
    <w:p w14:paraId="00AF03E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格式</w:t>
      </w:r>
      <w:r>
        <w:rPr>
          <w:rFonts w:hint="eastAsia" w:ascii="宋体" w:hAnsi="宋体" w:eastAsia="宋体" w:cs="宋体"/>
          <w:color w:val="auto"/>
          <w:szCs w:val="22"/>
          <w:highlight w:val="none"/>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5   </w:t>
      </w:r>
      <w:r>
        <w:rPr>
          <w:rFonts w:hint="eastAsia" w:ascii="宋体" w:hAnsi="宋体" w:cs="宋体"/>
          <w:color w:val="auto"/>
          <w:kern w:val="2"/>
          <w:sz w:val="21"/>
          <w:szCs w:val="21"/>
          <w:highlight w:val="none"/>
          <w:lang w:val="en-US" w:eastAsia="zh-CN" w:bidi="ar-SA"/>
        </w:rPr>
        <w:t>设备详细说明（应对拟投的</w:t>
      </w:r>
      <w:r>
        <w:rPr>
          <w:rFonts w:ascii="宋体" w:hAnsi="宋体" w:cs="宋体"/>
          <w:spacing w:val="-4"/>
          <w:szCs w:val="21"/>
          <w:highlight w:val="none"/>
        </w:rPr>
        <w:t>设备的</w:t>
      </w:r>
      <w:r>
        <w:rPr>
          <w:rFonts w:ascii="宋体" w:hAnsi="宋体" w:cs="宋体"/>
          <w:spacing w:val="-2"/>
          <w:szCs w:val="21"/>
          <w:highlight w:val="none"/>
        </w:rPr>
        <w:t>选型、稳</w:t>
      </w:r>
      <w:r>
        <w:rPr>
          <w:rFonts w:ascii="宋体" w:hAnsi="宋体" w:cs="宋体"/>
          <w:spacing w:val="-4"/>
          <w:szCs w:val="21"/>
          <w:highlight w:val="none"/>
        </w:rPr>
        <w:t>定</w:t>
      </w:r>
      <w:r>
        <w:rPr>
          <w:rFonts w:ascii="宋体" w:hAnsi="宋体" w:cs="宋体"/>
          <w:spacing w:val="-3"/>
          <w:szCs w:val="21"/>
          <w:highlight w:val="none"/>
        </w:rPr>
        <w:t>性等</w:t>
      </w:r>
      <w:r>
        <w:rPr>
          <w:rFonts w:hint="eastAsia" w:ascii="宋体" w:hAnsi="宋体" w:cs="宋体"/>
          <w:spacing w:val="-3"/>
          <w:szCs w:val="21"/>
          <w:highlight w:val="none"/>
          <w:lang w:eastAsia="zh-CN"/>
        </w:rPr>
        <w:t>；</w:t>
      </w:r>
      <w:r>
        <w:rPr>
          <w:rFonts w:hint="eastAsia" w:ascii="宋体" w:hAnsi="宋体" w:cs="宋体"/>
          <w:szCs w:val="21"/>
          <w:highlight w:val="none"/>
        </w:rPr>
        <w:t>设备的主要部件、元器件</w:t>
      </w:r>
      <w:r>
        <w:rPr>
          <w:rFonts w:hint="eastAsia" w:ascii="宋体" w:hAnsi="宋体" w:cs="宋体"/>
          <w:szCs w:val="21"/>
          <w:highlight w:val="none"/>
          <w:lang w:eastAsia="zh-CN"/>
        </w:rPr>
        <w:t>；</w:t>
      </w:r>
      <w:r>
        <w:rPr>
          <w:rFonts w:ascii="宋体" w:hAnsi="宋体" w:cs="宋体"/>
          <w:spacing w:val="-2"/>
          <w:szCs w:val="21"/>
          <w:highlight w:val="none"/>
        </w:rPr>
        <w:t>设备</w:t>
      </w:r>
      <w:r>
        <w:rPr>
          <w:rFonts w:ascii="宋体" w:hAnsi="宋体" w:cs="宋体"/>
          <w:spacing w:val="-1"/>
          <w:szCs w:val="21"/>
          <w:highlight w:val="none"/>
        </w:rPr>
        <w:t>的兼容性</w:t>
      </w:r>
      <w:r>
        <w:rPr>
          <w:rFonts w:hint="eastAsia" w:ascii="宋体" w:hAnsi="宋体" w:cs="宋体"/>
          <w:spacing w:val="-1"/>
          <w:szCs w:val="21"/>
          <w:highlight w:val="none"/>
          <w:lang w:eastAsia="zh-CN"/>
        </w:rPr>
        <w:t>；</w:t>
      </w:r>
      <w:r>
        <w:rPr>
          <w:rFonts w:hint="eastAsia" w:ascii="宋体" w:hAnsi="宋体" w:cs="宋体"/>
          <w:szCs w:val="21"/>
          <w:highlight w:val="none"/>
        </w:rPr>
        <w:t>设备工艺</w:t>
      </w:r>
      <w:r>
        <w:rPr>
          <w:rFonts w:hint="eastAsia" w:ascii="宋体" w:hAnsi="宋体" w:cs="宋体"/>
          <w:szCs w:val="21"/>
          <w:highlight w:val="none"/>
          <w:lang w:val="en-US" w:eastAsia="zh-CN"/>
        </w:rPr>
        <w:t>的工艺作出说明</w:t>
      </w:r>
      <w:r>
        <w:rPr>
          <w:rFonts w:hint="eastAsia" w:ascii="宋体" w:hAnsi="宋体" w:cs="宋体"/>
          <w:color w:val="auto"/>
          <w:kern w:val="2"/>
          <w:sz w:val="21"/>
          <w:szCs w:val="21"/>
          <w:highlight w:val="none"/>
          <w:lang w:val="en-US" w:eastAsia="zh-CN" w:bidi="ar-SA"/>
        </w:rPr>
        <w:t>）</w:t>
      </w:r>
    </w:p>
    <w:p w14:paraId="70DDE0D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格式</w:t>
      </w:r>
      <w:r>
        <w:rPr>
          <w:rFonts w:hint="eastAsia" w:ascii="宋体" w:hAnsi="宋体" w:eastAsia="宋体" w:cs="宋体"/>
          <w:color w:val="auto"/>
          <w:szCs w:val="22"/>
          <w:highlight w:val="none"/>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6   </w:t>
      </w:r>
      <w:r>
        <w:rPr>
          <w:rFonts w:hint="eastAsia" w:ascii="宋体" w:hAnsi="宋体" w:cs="宋体"/>
          <w:color w:val="auto"/>
          <w:kern w:val="2"/>
          <w:sz w:val="21"/>
          <w:szCs w:val="21"/>
          <w:highlight w:val="none"/>
          <w:lang w:val="en-US" w:eastAsia="zh-CN" w:bidi="ar-SA"/>
        </w:rPr>
        <w:t>售后服务方案（含服务响应承诺）</w:t>
      </w:r>
    </w:p>
    <w:p w14:paraId="724D55A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格式</w:t>
      </w:r>
      <w:r>
        <w:rPr>
          <w:rFonts w:hint="eastAsia" w:ascii="宋体" w:hAnsi="宋体" w:eastAsia="宋体" w:cs="宋体"/>
          <w:color w:val="auto"/>
          <w:szCs w:val="22"/>
          <w:highlight w:val="none"/>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7   </w:t>
      </w:r>
      <w:r>
        <w:rPr>
          <w:rFonts w:hint="eastAsia" w:ascii="宋体" w:hAnsi="宋体" w:eastAsia="宋体" w:cs="宋体"/>
          <w:color w:val="auto"/>
          <w:highlight w:val="none"/>
        </w:rPr>
        <w:t>技术标评分细则需要提供的资料</w:t>
      </w:r>
    </w:p>
    <w:p w14:paraId="679A8A0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格式</w:t>
      </w:r>
      <w:r>
        <w:rPr>
          <w:rFonts w:hint="eastAsia" w:ascii="宋体" w:hAnsi="宋体" w:eastAsia="宋体" w:cs="宋体"/>
          <w:color w:val="auto"/>
          <w:szCs w:val="22"/>
          <w:highlight w:val="none"/>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xml:space="preserve">   招标人配合内容（如有）</w:t>
      </w:r>
    </w:p>
    <w:p w14:paraId="39AE0B5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格式</w:t>
      </w:r>
      <w:r>
        <w:rPr>
          <w:rFonts w:hint="eastAsia" w:ascii="宋体" w:hAnsi="宋体" w:eastAsia="宋体" w:cs="宋体"/>
          <w:color w:val="auto"/>
          <w:szCs w:val="22"/>
          <w:highlight w:val="none"/>
        </w:rPr>
        <w:t>6</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   投标人认为有必要提供的其他文件（如有）</w:t>
      </w:r>
    </w:p>
    <w:p w14:paraId="052EC032">
      <w:pPr>
        <w:spacing w:line="360" w:lineRule="auto"/>
        <w:rPr>
          <w:rFonts w:hint="eastAsia" w:ascii="宋体" w:hAnsi="宋体" w:eastAsia="宋体" w:cs="宋体"/>
          <w:color w:val="auto"/>
          <w:sz w:val="30"/>
          <w:szCs w:val="30"/>
          <w:highlight w:val="none"/>
        </w:rPr>
      </w:pPr>
      <w:bookmarkStart w:id="105" w:name="_Hlt42956379"/>
      <w:bookmarkEnd w:id="105"/>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格式6.1</w:t>
      </w:r>
      <w:bookmarkStart w:id="106" w:name="_Toc4471859"/>
      <w:bookmarkStart w:id="107" w:name="_Toc42956284"/>
      <w:bookmarkStart w:id="108" w:name="_Toc208723428"/>
      <w:bookmarkStart w:id="109" w:name="_Toc118018370"/>
      <w:bookmarkStart w:id="110" w:name="_Toc118015391"/>
      <w:r>
        <w:rPr>
          <w:rFonts w:hint="eastAsia" w:ascii="宋体" w:hAnsi="宋体" w:eastAsia="宋体" w:cs="宋体"/>
          <w:b/>
          <w:color w:val="auto"/>
          <w:sz w:val="24"/>
          <w:highlight w:val="none"/>
        </w:rPr>
        <w:t xml:space="preserve">.1  </w:t>
      </w:r>
      <w:bookmarkEnd w:id="106"/>
      <w:bookmarkEnd w:id="107"/>
      <w:bookmarkEnd w:id="108"/>
      <w:bookmarkEnd w:id="109"/>
      <w:bookmarkEnd w:id="110"/>
      <w:bookmarkStart w:id="111" w:name="_Hlt10564367"/>
      <w:bookmarkEnd w:id="111"/>
      <w:r>
        <w:rPr>
          <w:rFonts w:hint="eastAsia" w:ascii="宋体" w:hAnsi="宋体" w:eastAsia="宋体" w:cs="宋体"/>
          <w:b/>
          <w:color w:val="auto"/>
          <w:sz w:val="24"/>
          <w:highlight w:val="none"/>
        </w:rPr>
        <w:t xml:space="preserve"> </w:t>
      </w:r>
    </w:p>
    <w:p w14:paraId="2F624B15">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技术响应表</w:t>
      </w:r>
    </w:p>
    <w:p w14:paraId="1CFD59FE">
      <w:pPr>
        <w:rPr>
          <w:rFonts w:hint="eastAsia" w:ascii="宋体" w:hAnsi="宋体" w:eastAsia="宋体" w:cs="宋体"/>
          <w:color w:val="auto"/>
          <w:highlight w:val="none"/>
        </w:rPr>
      </w:pPr>
    </w:p>
    <w:tbl>
      <w:tblPr>
        <w:tblStyle w:val="5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60"/>
        <w:gridCol w:w="3045"/>
        <w:gridCol w:w="1453"/>
        <w:gridCol w:w="2777"/>
      </w:tblGrid>
      <w:tr w14:paraId="0461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0EA5D66C">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highlight w:val="none"/>
              </w:rPr>
              <w:t>用户需求书相应序号</w:t>
            </w:r>
          </w:p>
        </w:tc>
        <w:tc>
          <w:tcPr>
            <w:tcW w:w="3045" w:type="dxa"/>
            <w:noWrap w:val="0"/>
            <w:vAlign w:val="center"/>
          </w:tcPr>
          <w:p w14:paraId="620F0B0F">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highlight w:val="none"/>
              </w:rPr>
              <w:t>用户需求书相关内容</w:t>
            </w:r>
          </w:p>
        </w:tc>
        <w:tc>
          <w:tcPr>
            <w:tcW w:w="1453" w:type="dxa"/>
            <w:noWrap w:val="0"/>
            <w:vAlign w:val="center"/>
          </w:tcPr>
          <w:p w14:paraId="710B7E70">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highlight w:val="none"/>
              </w:rPr>
              <w:t>响应内容描述</w:t>
            </w:r>
          </w:p>
        </w:tc>
        <w:tc>
          <w:tcPr>
            <w:tcW w:w="2777" w:type="dxa"/>
            <w:noWrap w:val="0"/>
            <w:vAlign w:val="center"/>
          </w:tcPr>
          <w:p w14:paraId="48554413">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highlight w:val="none"/>
              </w:rPr>
              <w:t>差异描述</w:t>
            </w:r>
          </w:p>
        </w:tc>
      </w:tr>
      <w:tr w14:paraId="2EF0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4D438505">
            <w:pPr>
              <w:autoSpaceDE w:val="0"/>
              <w:autoSpaceDN w:val="0"/>
              <w:adjustRightInd w:val="0"/>
              <w:jc w:val="center"/>
              <w:rPr>
                <w:rFonts w:hint="eastAsia" w:ascii="宋体" w:hAnsi="宋体" w:eastAsia="宋体" w:cs="宋体"/>
                <w:color w:val="auto"/>
                <w:highlight w:val="none"/>
              </w:rPr>
            </w:pPr>
          </w:p>
        </w:tc>
        <w:tc>
          <w:tcPr>
            <w:tcW w:w="3045" w:type="dxa"/>
            <w:noWrap w:val="0"/>
            <w:vAlign w:val="center"/>
          </w:tcPr>
          <w:p w14:paraId="19706C76">
            <w:pPr>
              <w:autoSpaceDE w:val="0"/>
              <w:autoSpaceDN w:val="0"/>
              <w:adjustRightInd w:val="0"/>
              <w:jc w:val="center"/>
              <w:rPr>
                <w:rFonts w:hint="eastAsia" w:ascii="宋体" w:hAnsi="宋体" w:eastAsia="宋体" w:cs="宋体"/>
                <w:color w:val="auto"/>
                <w:highlight w:val="none"/>
              </w:rPr>
            </w:pPr>
          </w:p>
        </w:tc>
        <w:tc>
          <w:tcPr>
            <w:tcW w:w="1453" w:type="dxa"/>
            <w:noWrap w:val="0"/>
            <w:vAlign w:val="center"/>
          </w:tcPr>
          <w:p w14:paraId="7C08647B">
            <w:pPr>
              <w:autoSpaceDE w:val="0"/>
              <w:autoSpaceDN w:val="0"/>
              <w:adjustRightInd w:val="0"/>
              <w:jc w:val="center"/>
              <w:rPr>
                <w:rFonts w:hint="eastAsia" w:ascii="宋体" w:hAnsi="宋体" w:eastAsia="宋体" w:cs="宋体"/>
                <w:color w:val="auto"/>
                <w:highlight w:val="none"/>
              </w:rPr>
            </w:pPr>
          </w:p>
        </w:tc>
        <w:tc>
          <w:tcPr>
            <w:tcW w:w="2777" w:type="dxa"/>
            <w:noWrap w:val="0"/>
            <w:vAlign w:val="center"/>
          </w:tcPr>
          <w:p w14:paraId="44D510F2">
            <w:pPr>
              <w:autoSpaceDE w:val="0"/>
              <w:autoSpaceDN w:val="0"/>
              <w:adjustRightInd w:val="0"/>
              <w:jc w:val="center"/>
              <w:rPr>
                <w:rFonts w:hint="eastAsia" w:ascii="宋体" w:hAnsi="宋体" w:eastAsia="宋体" w:cs="宋体"/>
                <w:color w:val="auto"/>
                <w:w w:val="80"/>
                <w:highlight w:val="none"/>
              </w:rPr>
            </w:pPr>
          </w:p>
        </w:tc>
      </w:tr>
      <w:tr w14:paraId="7D60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3487108B">
            <w:pPr>
              <w:autoSpaceDE w:val="0"/>
              <w:autoSpaceDN w:val="0"/>
              <w:adjustRightInd w:val="0"/>
              <w:jc w:val="center"/>
              <w:rPr>
                <w:rFonts w:hint="eastAsia" w:ascii="宋体" w:hAnsi="宋体" w:eastAsia="宋体" w:cs="宋体"/>
                <w:color w:val="auto"/>
                <w:highlight w:val="none"/>
              </w:rPr>
            </w:pPr>
          </w:p>
        </w:tc>
        <w:tc>
          <w:tcPr>
            <w:tcW w:w="3045" w:type="dxa"/>
            <w:noWrap w:val="0"/>
            <w:vAlign w:val="center"/>
          </w:tcPr>
          <w:p w14:paraId="535C648E">
            <w:pPr>
              <w:autoSpaceDE w:val="0"/>
              <w:autoSpaceDN w:val="0"/>
              <w:adjustRightInd w:val="0"/>
              <w:jc w:val="center"/>
              <w:rPr>
                <w:rFonts w:hint="eastAsia" w:ascii="宋体" w:hAnsi="宋体" w:eastAsia="宋体" w:cs="宋体"/>
                <w:color w:val="auto"/>
                <w:highlight w:val="none"/>
              </w:rPr>
            </w:pPr>
          </w:p>
        </w:tc>
        <w:tc>
          <w:tcPr>
            <w:tcW w:w="1453" w:type="dxa"/>
            <w:noWrap w:val="0"/>
            <w:vAlign w:val="center"/>
          </w:tcPr>
          <w:p w14:paraId="0124AEC4">
            <w:pPr>
              <w:autoSpaceDE w:val="0"/>
              <w:autoSpaceDN w:val="0"/>
              <w:adjustRightInd w:val="0"/>
              <w:jc w:val="center"/>
              <w:rPr>
                <w:rFonts w:hint="eastAsia" w:ascii="宋体" w:hAnsi="宋体" w:eastAsia="宋体" w:cs="宋体"/>
                <w:color w:val="auto"/>
                <w:highlight w:val="none"/>
              </w:rPr>
            </w:pPr>
          </w:p>
        </w:tc>
        <w:tc>
          <w:tcPr>
            <w:tcW w:w="2777" w:type="dxa"/>
            <w:noWrap w:val="0"/>
            <w:vAlign w:val="center"/>
          </w:tcPr>
          <w:p w14:paraId="50116C81">
            <w:pPr>
              <w:autoSpaceDE w:val="0"/>
              <w:autoSpaceDN w:val="0"/>
              <w:adjustRightInd w:val="0"/>
              <w:jc w:val="center"/>
              <w:rPr>
                <w:rFonts w:hint="eastAsia" w:ascii="宋体" w:hAnsi="宋体" w:eastAsia="宋体" w:cs="宋体"/>
                <w:color w:val="auto"/>
                <w:w w:val="80"/>
                <w:highlight w:val="none"/>
              </w:rPr>
            </w:pPr>
          </w:p>
        </w:tc>
      </w:tr>
      <w:tr w14:paraId="5855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371352F6">
            <w:pPr>
              <w:autoSpaceDE w:val="0"/>
              <w:autoSpaceDN w:val="0"/>
              <w:adjustRightInd w:val="0"/>
              <w:jc w:val="center"/>
              <w:rPr>
                <w:rFonts w:hint="eastAsia" w:ascii="宋体" w:hAnsi="宋体" w:eastAsia="宋体" w:cs="宋体"/>
                <w:color w:val="auto"/>
                <w:highlight w:val="none"/>
              </w:rPr>
            </w:pPr>
          </w:p>
        </w:tc>
        <w:tc>
          <w:tcPr>
            <w:tcW w:w="3045" w:type="dxa"/>
            <w:noWrap w:val="0"/>
            <w:vAlign w:val="center"/>
          </w:tcPr>
          <w:p w14:paraId="75DC4D02">
            <w:pPr>
              <w:autoSpaceDE w:val="0"/>
              <w:autoSpaceDN w:val="0"/>
              <w:adjustRightInd w:val="0"/>
              <w:jc w:val="center"/>
              <w:rPr>
                <w:rFonts w:hint="eastAsia" w:ascii="宋体" w:hAnsi="宋体" w:eastAsia="宋体" w:cs="宋体"/>
                <w:color w:val="auto"/>
                <w:highlight w:val="none"/>
              </w:rPr>
            </w:pPr>
          </w:p>
        </w:tc>
        <w:tc>
          <w:tcPr>
            <w:tcW w:w="1453" w:type="dxa"/>
            <w:noWrap w:val="0"/>
            <w:vAlign w:val="center"/>
          </w:tcPr>
          <w:p w14:paraId="48F2892F">
            <w:pPr>
              <w:autoSpaceDE w:val="0"/>
              <w:autoSpaceDN w:val="0"/>
              <w:adjustRightInd w:val="0"/>
              <w:jc w:val="center"/>
              <w:rPr>
                <w:rFonts w:hint="eastAsia" w:ascii="宋体" w:hAnsi="宋体" w:eastAsia="宋体" w:cs="宋体"/>
                <w:color w:val="auto"/>
                <w:highlight w:val="none"/>
              </w:rPr>
            </w:pPr>
          </w:p>
        </w:tc>
        <w:tc>
          <w:tcPr>
            <w:tcW w:w="2777" w:type="dxa"/>
            <w:noWrap w:val="0"/>
            <w:vAlign w:val="center"/>
          </w:tcPr>
          <w:p w14:paraId="631065A1">
            <w:pPr>
              <w:autoSpaceDE w:val="0"/>
              <w:autoSpaceDN w:val="0"/>
              <w:adjustRightInd w:val="0"/>
              <w:jc w:val="center"/>
              <w:rPr>
                <w:rFonts w:hint="eastAsia" w:ascii="宋体" w:hAnsi="宋体" w:eastAsia="宋体" w:cs="宋体"/>
                <w:color w:val="auto"/>
                <w:w w:val="80"/>
                <w:highlight w:val="none"/>
              </w:rPr>
            </w:pPr>
          </w:p>
        </w:tc>
      </w:tr>
      <w:tr w14:paraId="0E56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04F238B0">
            <w:pPr>
              <w:autoSpaceDE w:val="0"/>
              <w:autoSpaceDN w:val="0"/>
              <w:adjustRightInd w:val="0"/>
              <w:jc w:val="center"/>
              <w:rPr>
                <w:rFonts w:hint="eastAsia" w:ascii="宋体" w:hAnsi="宋体" w:eastAsia="宋体" w:cs="宋体"/>
                <w:color w:val="auto"/>
                <w:highlight w:val="none"/>
              </w:rPr>
            </w:pPr>
          </w:p>
        </w:tc>
        <w:tc>
          <w:tcPr>
            <w:tcW w:w="3045" w:type="dxa"/>
            <w:noWrap w:val="0"/>
            <w:vAlign w:val="center"/>
          </w:tcPr>
          <w:p w14:paraId="1D458A30">
            <w:pPr>
              <w:autoSpaceDE w:val="0"/>
              <w:autoSpaceDN w:val="0"/>
              <w:adjustRightInd w:val="0"/>
              <w:jc w:val="center"/>
              <w:rPr>
                <w:rFonts w:hint="eastAsia" w:ascii="宋体" w:hAnsi="宋体" w:eastAsia="宋体" w:cs="宋体"/>
                <w:color w:val="auto"/>
                <w:highlight w:val="none"/>
              </w:rPr>
            </w:pPr>
          </w:p>
        </w:tc>
        <w:tc>
          <w:tcPr>
            <w:tcW w:w="1453" w:type="dxa"/>
            <w:noWrap w:val="0"/>
            <w:vAlign w:val="center"/>
          </w:tcPr>
          <w:p w14:paraId="166FDCC8">
            <w:pPr>
              <w:autoSpaceDE w:val="0"/>
              <w:autoSpaceDN w:val="0"/>
              <w:adjustRightInd w:val="0"/>
              <w:jc w:val="center"/>
              <w:rPr>
                <w:rFonts w:hint="eastAsia" w:ascii="宋体" w:hAnsi="宋体" w:eastAsia="宋体" w:cs="宋体"/>
                <w:color w:val="auto"/>
                <w:highlight w:val="none"/>
              </w:rPr>
            </w:pPr>
          </w:p>
        </w:tc>
        <w:tc>
          <w:tcPr>
            <w:tcW w:w="2777" w:type="dxa"/>
            <w:noWrap w:val="0"/>
            <w:vAlign w:val="center"/>
          </w:tcPr>
          <w:p w14:paraId="245B0F0D">
            <w:pPr>
              <w:autoSpaceDE w:val="0"/>
              <w:autoSpaceDN w:val="0"/>
              <w:adjustRightInd w:val="0"/>
              <w:jc w:val="center"/>
              <w:rPr>
                <w:rFonts w:hint="eastAsia" w:ascii="宋体" w:hAnsi="宋体" w:eastAsia="宋体" w:cs="宋体"/>
                <w:color w:val="auto"/>
                <w:w w:val="80"/>
                <w:highlight w:val="none"/>
              </w:rPr>
            </w:pPr>
          </w:p>
        </w:tc>
      </w:tr>
      <w:tr w14:paraId="6590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29EDE4C5">
            <w:pPr>
              <w:autoSpaceDE w:val="0"/>
              <w:autoSpaceDN w:val="0"/>
              <w:adjustRightInd w:val="0"/>
              <w:jc w:val="center"/>
              <w:rPr>
                <w:rFonts w:hint="eastAsia" w:ascii="宋体" w:hAnsi="宋体" w:eastAsia="宋体" w:cs="宋体"/>
                <w:color w:val="auto"/>
                <w:highlight w:val="none"/>
              </w:rPr>
            </w:pPr>
          </w:p>
        </w:tc>
        <w:tc>
          <w:tcPr>
            <w:tcW w:w="3045" w:type="dxa"/>
            <w:noWrap w:val="0"/>
            <w:vAlign w:val="center"/>
          </w:tcPr>
          <w:p w14:paraId="6DA4E30A">
            <w:pPr>
              <w:autoSpaceDE w:val="0"/>
              <w:autoSpaceDN w:val="0"/>
              <w:adjustRightInd w:val="0"/>
              <w:jc w:val="center"/>
              <w:rPr>
                <w:rFonts w:hint="eastAsia" w:ascii="宋体" w:hAnsi="宋体" w:eastAsia="宋体" w:cs="宋体"/>
                <w:color w:val="auto"/>
                <w:highlight w:val="none"/>
              </w:rPr>
            </w:pPr>
          </w:p>
        </w:tc>
        <w:tc>
          <w:tcPr>
            <w:tcW w:w="1453" w:type="dxa"/>
            <w:noWrap w:val="0"/>
            <w:vAlign w:val="center"/>
          </w:tcPr>
          <w:p w14:paraId="6D90171F">
            <w:pPr>
              <w:autoSpaceDE w:val="0"/>
              <w:autoSpaceDN w:val="0"/>
              <w:adjustRightInd w:val="0"/>
              <w:jc w:val="center"/>
              <w:rPr>
                <w:rFonts w:hint="eastAsia" w:ascii="宋体" w:hAnsi="宋体" w:eastAsia="宋体" w:cs="宋体"/>
                <w:color w:val="auto"/>
                <w:highlight w:val="none"/>
              </w:rPr>
            </w:pPr>
          </w:p>
        </w:tc>
        <w:tc>
          <w:tcPr>
            <w:tcW w:w="2777" w:type="dxa"/>
            <w:noWrap w:val="0"/>
            <w:vAlign w:val="center"/>
          </w:tcPr>
          <w:p w14:paraId="365F173F">
            <w:pPr>
              <w:autoSpaceDE w:val="0"/>
              <w:autoSpaceDN w:val="0"/>
              <w:adjustRightInd w:val="0"/>
              <w:jc w:val="center"/>
              <w:rPr>
                <w:rFonts w:hint="eastAsia" w:ascii="宋体" w:hAnsi="宋体" w:eastAsia="宋体" w:cs="宋体"/>
                <w:color w:val="auto"/>
                <w:w w:val="80"/>
                <w:highlight w:val="none"/>
              </w:rPr>
            </w:pPr>
          </w:p>
        </w:tc>
      </w:tr>
      <w:tr w14:paraId="1E22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466BC862">
            <w:pPr>
              <w:autoSpaceDE w:val="0"/>
              <w:autoSpaceDN w:val="0"/>
              <w:adjustRightInd w:val="0"/>
              <w:jc w:val="center"/>
              <w:rPr>
                <w:rFonts w:hint="eastAsia" w:ascii="宋体" w:hAnsi="宋体" w:eastAsia="宋体" w:cs="宋体"/>
                <w:color w:val="auto"/>
                <w:highlight w:val="none"/>
              </w:rPr>
            </w:pPr>
          </w:p>
        </w:tc>
        <w:tc>
          <w:tcPr>
            <w:tcW w:w="3045" w:type="dxa"/>
            <w:noWrap w:val="0"/>
            <w:vAlign w:val="center"/>
          </w:tcPr>
          <w:p w14:paraId="64EE9BC4">
            <w:pPr>
              <w:autoSpaceDE w:val="0"/>
              <w:autoSpaceDN w:val="0"/>
              <w:adjustRightInd w:val="0"/>
              <w:jc w:val="center"/>
              <w:rPr>
                <w:rFonts w:hint="eastAsia" w:ascii="宋体" w:hAnsi="宋体" w:eastAsia="宋体" w:cs="宋体"/>
                <w:color w:val="auto"/>
                <w:highlight w:val="none"/>
              </w:rPr>
            </w:pPr>
          </w:p>
        </w:tc>
        <w:tc>
          <w:tcPr>
            <w:tcW w:w="1453" w:type="dxa"/>
            <w:noWrap w:val="0"/>
            <w:vAlign w:val="center"/>
          </w:tcPr>
          <w:p w14:paraId="2DB7F310">
            <w:pPr>
              <w:autoSpaceDE w:val="0"/>
              <w:autoSpaceDN w:val="0"/>
              <w:adjustRightInd w:val="0"/>
              <w:jc w:val="center"/>
              <w:rPr>
                <w:rFonts w:hint="eastAsia" w:ascii="宋体" w:hAnsi="宋体" w:eastAsia="宋体" w:cs="宋体"/>
                <w:color w:val="auto"/>
                <w:highlight w:val="none"/>
              </w:rPr>
            </w:pPr>
          </w:p>
        </w:tc>
        <w:tc>
          <w:tcPr>
            <w:tcW w:w="2777" w:type="dxa"/>
            <w:noWrap w:val="0"/>
            <w:vAlign w:val="center"/>
          </w:tcPr>
          <w:p w14:paraId="3F5CCCE4">
            <w:pPr>
              <w:autoSpaceDE w:val="0"/>
              <w:autoSpaceDN w:val="0"/>
              <w:adjustRightInd w:val="0"/>
              <w:jc w:val="center"/>
              <w:rPr>
                <w:rFonts w:hint="eastAsia" w:ascii="宋体" w:hAnsi="宋体" w:eastAsia="宋体" w:cs="宋体"/>
                <w:color w:val="auto"/>
                <w:w w:val="80"/>
                <w:highlight w:val="none"/>
              </w:rPr>
            </w:pPr>
          </w:p>
        </w:tc>
      </w:tr>
    </w:tbl>
    <w:p w14:paraId="59ADDBFC">
      <w:pPr>
        <w:spacing w:line="360" w:lineRule="auto"/>
        <w:rPr>
          <w:rFonts w:hint="eastAsia" w:ascii="宋体" w:hAnsi="宋体" w:eastAsia="宋体" w:cs="宋体"/>
          <w:color w:val="auto"/>
          <w:highlight w:val="none"/>
        </w:rPr>
      </w:pPr>
    </w:p>
    <w:p w14:paraId="4F6913A9">
      <w:pPr>
        <w:rPr>
          <w:rFonts w:hint="eastAsia" w:ascii="宋体" w:hAnsi="宋体" w:eastAsia="宋体" w:cs="宋体"/>
          <w:color w:val="auto"/>
          <w:highlight w:val="none"/>
          <w:lang w:eastAsia="zh-CN"/>
        </w:rPr>
      </w:pPr>
      <w:r>
        <w:rPr>
          <w:rFonts w:hint="eastAsia" w:ascii="宋体" w:hAnsi="宋体" w:eastAsia="宋体" w:cs="宋体"/>
          <w:b/>
          <w:color w:val="auto"/>
          <w:highlight w:val="none"/>
        </w:rPr>
        <w:t>[说明]</w:t>
      </w:r>
      <w:r>
        <w:rPr>
          <w:rFonts w:hint="eastAsia" w:ascii="宋体" w:hAnsi="宋体" w:eastAsia="宋体" w:cs="宋体"/>
          <w:color w:val="auto"/>
          <w:highlight w:val="none"/>
        </w:rPr>
        <w:t xml:space="preserve"> 投标人应按照招标文件要求和“用户需求书”作出响应，招标参数可以直接在招标文件第三章用户需求书复制。投标人必须逐项对应描述投标货物参数及要求详细地如实填写，不得遗漏。如有偏离，请予以说明</w:t>
      </w:r>
      <w:r>
        <w:rPr>
          <w:rFonts w:hint="eastAsia" w:ascii="宋体" w:hAnsi="宋体" w:cs="宋体"/>
          <w:color w:val="auto"/>
          <w:highlight w:val="none"/>
          <w:lang w:eastAsia="zh-CN"/>
        </w:rPr>
        <w:t>。</w:t>
      </w:r>
    </w:p>
    <w:p w14:paraId="61F1A0FC">
      <w:pPr>
        <w:rPr>
          <w:rFonts w:hint="eastAsia" w:ascii="宋体" w:hAnsi="宋体" w:eastAsia="宋体" w:cs="宋体"/>
          <w:color w:val="auto"/>
          <w:highlight w:val="none"/>
        </w:rPr>
      </w:pPr>
    </w:p>
    <w:p w14:paraId="027392C0">
      <w:pPr>
        <w:tabs>
          <w:tab w:val="left" w:pos="676"/>
          <w:tab w:val="left" w:pos="2330"/>
          <w:tab w:val="left" w:pos="9230"/>
        </w:tabs>
        <w:autoSpaceDE w:val="0"/>
        <w:autoSpaceDN w:val="0"/>
        <w:adjustRightInd w:val="0"/>
        <w:spacing w:line="360" w:lineRule="auto"/>
        <w:ind w:left="4700" w:leftChars="2238"/>
        <w:rPr>
          <w:rFonts w:hint="eastAsia" w:ascii="宋体" w:hAnsi="宋体" w:eastAsia="宋体" w:cs="宋体"/>
          <w:color w:val="auto"/>
          <w:highlight w:val="none"/>
        </w:rPr>
      </w:pPr>
    </w:p>
    <w:p w14:paraId="12DF1A6F">
      <w:pPr>
        <w:tabs>
          <w:tab w:val="left" w:pos="676"/>
          <w:tab w:val="left" w:pos="2330"/>
          <w:tab w:val="left" w:pos="9230"/>
        </w:tabs>
        <w:autoSpaceDE w:val="0"/>
        <w:autoSpaceDN w:val="0"/>
        <w:adjustRightInd w:val="0"/>
        <w:spacing w:line="360" w:lineRule="auto"/>
        <w:ind w:left="4700" w:leftChars="2238"/>
        <w:rPr>
          <w:rFonts w:hint="eastAsia" w:ascii="宋体" w:hAnsi="宋体" w:eastAsia="宋体" w:cs="宋体"/>
          <w:color w:val="auto"/>
          <w:highlight w:val="none"/>
        </w:rPr>
      </w:pPr>
    </w:p>
    <w:p w14:paraId="47D5DB06">
      <w:pPr>
        <w:spacing w:line="480" w:lineRule="auto"/>
        <w:ind w:firstLine="3990" w:firstLineChars="190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投标人名称:（盖章）</w:t>
      </w:r>
    </w:p>
    <w:p w14:paraId="043B3432">
      <w:pPr>
        <w:spacing w:line="480" w:lineRule="auto"/>
        <w:ind w:firstLine="3990" w:firstLineChars="190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日期：    年   月   日</w:t>
      </w:r>
    </w:p>
    <w:p w14:paraId="58382C74">
      <w:pPr>
        <w:tabs>
          <w:tab w:val="left" w:pos="676"/>
          <w:tab w:val="left" w:pos="2330"/>
          <w:tab w:val="left" w:pos="9230"/>
        </w:tabs>
        <w:autoSpaceDE w:val="0"/>
        <w:autoSpaceDN w:val="0"/>
        <w:adjustRightInd w:val="0"/>
        <w:jc w:val="center"/>
        <w:rPr>
          <w:rFonts w:hint="eastAsia" w:ascii="宋体" w:hAnsi="宋体" w:eastAsia="宋体" w:cs="宋体"/>
          <w:color w:val="auto"/>
          <w:highlight w:val="none"/>
        </w:rPr>
      </w:pPr>
    </w:p>
    <w:p w14:paraId="5BFEE5C5">
      <w:pPr>
        <w:tabs>
          <w:tab w:val="left" w:pos="7200"/>
        </w:tabs>
        <w:autoSpaceDE w:val="0"/>
        <w:autoSpaceDN w:val="0"/>
        <w:adjustRightInd w:val="0"/>
        <w:spacing w:line="300" w:lineRule="auto"/>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highlight w:val="none"/>
        </w:rPr>
        <w:t>格式6.1.2</w:t>
      </w:r>
    </w:p>
    <w:p w14:paraId="0E2C8DD4">
      <w:pPr>
        <w:spacing w:line="360" w:lineRule="auto"/>
        <w:jc w:val="center"/>
        <w:rPr>
          <w:rFonts w:hint="eastAsia" w:ascii="宋体" w:hAnsi="宋体" w:eastAsia="宋体" w:cs="宋体"/>
          <w:b/>
          <w:color w:val="auto"/>
          <w:sz w:val="32"/>
          <w:szCs w:val="36"/>
          <w:highlight w:val="none"/>
        </w:rPr>
      </w:pPr>
      <w:r>
        <w:rPr>
          <w:rFonts w:hint="eastAsia" w:ascii="宋体" w:hAnsi="宋体" w:eastAsia="宋体" w:cs="宋体"/>
          <w:b/>
          <w:color w:val="auto"/>
          <w:sz w:val="28"/>
          <w:szCs w:val="28"/>
          <w:highlight w:val="none"/>
        </w:rPr>
        <w:t>关键条款响应表</w:t>
      </w:r>
    </w:p>
    <w:p w14:paraId="584ECB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bl>
      <w:tblPr>
        <w:tblStyle w:val="5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194"/>
        <w:gridCol w:w="2616"/>
        <w:gridCol w:w="1216"/>
        <w:gridCol w:w="1216"/>
        <w:gridCol w:w="2318"/>
      </w:tblGrid>
      <w:tr w14:paraId="4D3A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697" w:type="pct"/>
            <w:noWrap w:val="0"/>
            <w:vAlign w:val="center"/>
          </w:tcPr>
          <w:p w14:paraId="42B25EA3">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highlight w:val="none"/>
              </w:rPr>
              <w:t>用户需求书相应序号</w:t>
            </w:r>
          </w:p>
        </w:tc>
        <w:tc>
          <w:tcPr>
            <w:tcW w:w="1527" w:type="pct"/>
            <w:noWrap w:val="0"/>
            <w:vAlign w:val="center"/>
          </w:tcPr>
          <w:p w14:paraId="160EBD44">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highlight w:val="none"/>
              </w:rPr>
              <w:t>关键条款（★条款）相关内容</w:t>
            </w:r>
          </w:p>
        </w:tc>
        <w:tc>
          <w:tcPr>
            <w:tcW w:w="710" w:type="pct"/>
            <w:noWrap w:val="0"/>
            <w:vAlign w:val="center"/>
          </w:tcPr>
          <w:p w14:paraId="5A67D829">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kern w:val="1"/>
                <w:highlight w:val="none"/>
              </w:rPr>
              <w:t>偏离情况</w:t>
            </w:r>
          </w:p>
        </w:tc>
        <w:tc>
          <w:tcPr>
            <w:tcW w:w="710" w:type="pct"/>
            <w:noWrap w:val="0"/>
            <w:vAlign w:val="center"/>
          </w:tcPr>
          <w:p w14:paraId="5E42FB71">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highlight w:val="none"/>
              </w:rPr>
              <w:t>响应内容描述</w:t>
            </w:r>
          </w:p>
        </w:tc>
        <w:tc>
          <w:tcPr>
            <w:tcW w:w="1353" w:type="pct"/>
            <w:noWrap w:val="0"/>
            <w:vAlign w:val="center"/>
          </w:tcPr>
          <w:p w14:paraId="646FB772">
            <w:pPr>
              <w:autoSpaceDE w:val="0"/>
              <w:autoSpaceDN w:val="0"/>
              <w:adjustRightInd w:val="0"/>
              <w:jc w:val="center"/>
              <w:rPr>
                <w:rFonts w:hint="eastAsia" w:ascii="宋体" w:hAnsi="宋体" w:eastAsia="宋体" w:cs="宋体"/>
                <w:color w:val="auto"/>
                <w:highlight w:val="none"/>
              </w:rPr>
            </w:pPr>
            <w:r>
              <w:rPr>
                <w:rFonts w:hint="eastAsia" w:ascii="宋体" w:hAnsi="宋体" w:eastAsia="宋体" w:cs="宋体"/>
                <w:color w:val="auto"/>
                <w:highlight w:val="none"/>
              </w:rPr>
              <w:t>差异描述</w:t>
            </w:r>
          </w:p>
        </w:tc>
      </w:tr>
      <w:tr w14:paraId="1723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697" w:type="pct"/>
            <w:noWrap w:val="0"/>
            <w:vAlign w:val="center"/>
          </w:tcPr>
          <w:p w14:paraId="0D317383">
            <w:pPr>
              <w:autoSpaceDE w:val="0"/>
              <w:autoSpaceDN w:val="0"/>
              <w:adjustRightInd w:val="0"/>
              <w:jc w:val="center"/>
              <w:rPr>
                <w:rFonts w:hint="eastAsia" w:ascii="宋体" w:hAnsi="宋体" w:eastAsia="宋体" w:cs="宋体"/>
                <w:color w:val="auto"/>
                <w:highlight w:val="none"/>
              </w:rPr>
            </w:pPr>
          </w:p>
        </w:tc>
        <w:tc>
          <w:tcPr>
            <w:tcW w:w="1527" w:type="pct"/>
            <w:noWrap w:val="0"/>
            <w:vAlign w:val="center"/>
          </w:tcPr>
          <w:p w14:paraId="2982E682">
            <w:pPr>
              <w:autoSpaceDE w:val="0"/>
              <w:autoSpaceDN w:val="0"/>
              <w:adjustRightInd w:val="0"/>
              <w:jc w:val="center"/>
              <w:rPr>
                <w:rFonts w:hint="eastAsia" w:ascii="宋体" w:hAnsi="宋体" w:eastAsia="宋体" w:cs="宋体"/>
                <w:color w:val="auto"/>
                <w:sz w:val="22"/>
                <w:szCs w:val="22"/>
                <w:highlight w:val="none"/>
                <w:lang w:bidi="ar"/>
              </w:rPr>
            </w:pPr>
          </w:p>
        </w:tc>
        <w:tc>
          <w:tcPr>
            <w:tcW w:w="710" w:type="pct"/>
            <w:noWrap w:val="0"/>
            <w:vAlign w:val="center"/>
          </w:tcPr>
          <w:p w14:paraId="34014ECF">
            <w:pPr>
              <w:autoSpaceDE w:val="0"/>
              <w:autoSpaceDN w:val="0"/>
              <w:adjustRightInd w:val="0"/>
              <w:jc w:val="center"/>
              <w:rPr>
                <w:rFonts w:hint="eastAsia" w:ascii="宋体" w:hAnsi="宋体" w:eastAsia="宋体" w:cs="宋体"/>
                <w:color w:val="auto"/>
                <w:highlight w:val="none"/>
              </w:rPr>
            </w:pPr>
          </w:p>
        </w:tc>
        <w:tc>
          <w:tcPr>
            <w:tcW w:w="710" w:type="pct"/>
            <w:noWrap w:val="0"/>
            <w:vAlign w:val="center"/>
          </w:tcPr>
          <w:p w14:paraId="04D145B3">
            <w:pPr>
              <w:autoSpaceDE w:val="0"/>
              <w:autoSpaceDN w:val="0"/>
              <w:adjustRightInd w:val="0"/>
              <w:jc w:val="center"/>
              <w:rPr>
                <w:rFonts w:hint="eastAsia" w:ascii="宋体" w:hAnsi="宋体" w:eastAsia="宋体" w:cs="宋体"/>
                <w:color w:val="auto"/>
                <w:highlight w:val="none"/>
              </w:rPr>
            </w:pPr>
          </w:p>
        </w:tc>
        <w:tc>
          <w:tcPr>
            <w:tcW w:w="1353" w:type="pct"/>
            <w:noWrap w:val="0"/>
            <w:vAlign w:val="center"/>
          </w:tcPr>
          <w:p w14:paraId="4BB76AE4">
            <w:pPr>
              <w:autoSpaceDE w:val="0"/>
              <w:autoSpaceDN w:val="0"/>
              <w:adjustRightInd w:val="0"/>
              <w:jc w:val="center"/>
              <w:rPr>
                <w:rFonts w:hint="eastAsia" w:ascii="宋体" w:hAnsi="宋体" w:eastAsia="宋体" w:cs="宋体"/>
                <w:color w:val="auto"/>
                <w:w w:val="80"/>
                <w:highlight w:val="none"/>
              </w:rPr>
            </w:pPr>
          </w:p>
        </w:tc>
      </w:tr>
      <w:tr w14:paraId="1EB6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697" w:type="pct"/>
            <w:noWrap w:val="0"/>
            <w:vAlign w:val="center"/>
          </w:tcPr>
          <w:p w14:paraId="36938517">
            <w:pPr>
              <w:autoSpaceDE w:val="0"/>
              <w:autoSpaceDN w:val="0"/>
              <w:adjustRightInd w:val="0"/>
              <w:jc w:val="center"/>
              <w:rPr>
                <w:rFonts w:hint="eastAsia" w:ascii="宋体" w:hAnsi="宋体" w:eastAsia="宋体" w:cs="宋体"/>
                <w:color w:val="auto"/>
                <w:highlight w:val="none"/>
              </w:rPr>
            </w:pPr>
          </w:p>
        </w:tc>
        <w:tc>
          <w:tcPr>
            <w:tcW w:w="1527" w:type="pct"/>
            <w:noWrap w:val="0"/>
            <w:vAlign w:val="center"/>
          </w:tcPr>
          <w:p w14:paraId="2439EE55">
            <w:pPr>
              <w:autoSpaceDE w:val="0"/>
              <w:autoSpaceDN w:val="0"/>
              <w:adjustRightInd w:val="0"/>
              <w:jc w:val="center"/>
              <w:rPr>
                <w:rFonts w:hint="eastAsia" w:ascii="宋体" w:hAnsi="宋体" w:eastAsia="宋体" w:cs="宋体"/>
                <w:color w:val="auto"/>
                <w:highlight w:val="none"/>
              </w:rPr>
            </w:pPr>
          </w:p>
        </w:tc>
        <w:tc>
          <w:tcPr>
            <w:tcW w:w="710" w:type="pct"/>
            <w:noWrap w:val="0"/>
            <w:vAlign w:val="center"/>
          </w:tcPr>
          <w:p w14:paraId="3F6460C6">
            <w:pPr>
              <w:autoSpaceDE w:val="0"/>
              <w:autoSpaceDN w:val="0"/>
              <w:adjustRightInd w:val="0"/>
              <w:jc w:val="center"/>
              <w:rPr>
                <w:rFonts w:hint="eastAsia" w:ascii="宋体" w:hAnsi="宋体" w:eastAsia="宋体" w:cs="宋体"/>
                <w:color w:val="auto"/>
                <w:highlight w:val="none"/>
              </w:rPr>
            </w:pPr>
          </w:p>
        </w:tc>
        <w:tc>
          <w:tcPr>
            <w:tcW w:w="710" w:type="pct"/>
            <w:noWrap w:val="0"/>
            <w:vAlign w:val="center"/>
          </w:tcPr>
          <w:p w14:paraId="72571B69">
            <w:pPr>
              <w:autoSpaceDE w:val="0"/>
              <w:autoSpaceDN w:val="0"/>
              <w:adjustRightInd w:val="0"/>
              <w:jc w:val="center"/>
              <w:rPr>
                <w:rFonts w:hint="eastAsia" w:ascii="宋体" w:hAnsi="宋体" w:eastAsia="宋体" w:cs="宋体"/>
                <w:color w:val="auto"/>
                <w:highlight w:val="none"/>
              </w:rPr>
            </w:pPr>
          </w:p>
        </w:tc>
        <w:tc>
          <w:tcPr>
            <w:tcW w:w="1353" w:type="pct"/>
            <w:noWrap w:val="0"/>
            <w:vAlign w:val="center"/>
          </w:tcPr>
          <w:p w14:paraId="33990A37">
            <w:pPr>
              <w:autoSpaceDE w:val="0"/>
              <w:autoSpaceDN w:val="0"/>
              <w:adjustRightInd w:val="0"/>
              <w:jc w:val="center"/>
              <w:rPr>
                <w:rFonts w:hint="eastAsia" w:ascii="宋体" w:hAnsi="宋体" w:eastAsia="宋体" w:cs="宋体"/>
                <w:color w:val="auto"/>
                <w:w w:val="80"/>
                <w:highlight w:val="none"/>
              </w:rPr>
            </w:pPr>
          </w:p>
        </w:tc>
      </w:tr>
      <w:tr w14:paraId="32C6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697" w:type="pct"/>
            <w:noWrap w:val="0"/>
            <w:vAlign w:val="center"/>
          </w:tcPr>
          <w:p w14:paraId="21687412">
            <w:pPr>
              <w:autoSpaceDE w:val="0"/>
              <w:autoSpaceDN w:val="0"/>
              <w:adjustRightInd w:val="0"/>
              <w:jc w:val="center"/>
              <w:rPr>
                <w:rFonts w:hint="eastAsia" w:ascii="宋体" w:hAnsi="宋体" w:eastAsia="宋体" w:cs="宋体"/>
                <w:color w:val="auto"/>
                <w:highlight w:val="none"/>
              </w:rPr>
            </w:pPr>
          </w:p>
        </w:tc>
        <w:tc>
          <w:tcPr>
            <w:tcW w:w="1527" w:type="pct"/>
            <w:noWrap w:val="0"/>
            <w:vAlign w:val="center"/>
          </w:tcPr>
          <w:p w14:paraId="2D6D3CA6">
            <w:pPr>
              <w:autoSpaceDE w:val="0"/>
              <w:autoSpaceDN w:val="0"/>
              <w:adjustRightInd w:val="0"/>
              <w:jc w:val="center"/>
              <w:rPr>
                <w:rFonts w:hint="eastAsia" w:ascii="宋体" w:hAnsi="宋体" w:eastAsia="宋体" w:cs="宋体"/>
                <w:color w:val="auto"/>
                <w:highlight w:val="none"/>
              </w:rPr>
            </w:pPr>
          </w:p>
        </w:tc>
        <w:tc>
          <w:tcPr>
            <w:tcW w:w="710" w:type="pct"/>
            <w:noWrap w:val="0"/>
            <w:vAlign w:val="center"/>
          </w:tcPr>
          <w:p w14:paraId="28D6D8D3">
            <w:pPr>
              <w:autoSpaceDE w:val="0"/>
              <w:autoSpaceDN w:val="0"/>
              <w:adjustRightInd w:val="0"/>
              <w:jc w:val="center"/>
              <w:rPr>
                <w:rFonts w:hint="eastAsia" w:ascii="宋体" w:hAnsi="宋体" w:eastAsia="宋体" w:cs="宋体"/>
                <w:color w:val="auto"/>
                <w:highlight w:val="none"/>
              </w:rPr>
            </w:pPr>
          </w:p>
        </w:tc>
        <w:tc>
          <w:tcPr>
            <w:tcW w:w="710" w:type="pct"/>
            <w:noWrap w:val="0"/>
            <w:vAlign w:val="center"/>
          </w:tcPr>
          <w:p w14:paraId="11955ACB">
            <w:pPr>
              <w:autoSpaceDE w:val="0"/>
              <w:autoSpaceDN w:val="0"/>
              <w:adjustRightInd w:val="0"/>
              <w:jc w:val="center"/>
              <w:rPr>
                <w:rFonts w:hint="eastAsia" w:ascii="宋体" w:hAnsi="宋体" w:eastAsia="宋体" w:cs="宋体"/>
                <w:color w:val="auto"/>
                <w:highlight w:val="none"/>
              </w:rPr>
            </w:pPr>
          </w:p>
        </w:tc>
        <w:tc>
          <w:tcPr>
            <w:tcW w:w="1353" w:type="pct"/>
            <w:noWrap w:val="0"/>
            <w:vAlign w:val="center"/>
          </w:tcPr>
          <w:p w14:paraId="4F2B3DC2">
            <w:pPr>
              <w:autoSpaceDE w:val="0"/>
              <w:autoSpaceDN w:val="0"/>
              <w:adjustRightInd w:val="0"/>
              <w:jc w:val="center"/>
              <w:rPr>
                <w:rFonts w:hint="eastAsia" w:ascii="宋体" w:hAnsi="宋体" w:eastAsia="宋体" w:cs="宋体"/>
                <w:color w:val="auto"/>
                <w:w w:val="80"/>
                <w:highlight w:val="none"/>
              </w:rPr>
            </w:pPr>
          </w:p>
        </w:tc>
      </w:tr>
      <w:tr w14:paraId="51CE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697" w:type="pct"/>
            <w:noWrap w:val="0"/>
            <w:vAlign w:val="center"/>
          </w:tcPr>
          <w:p w14:paraId="48CED2A7">
            <w:pPr>
              <w:autoSpaceDE w:val="0"/>
              <w:autoSpaceDN w:val="0"/>
              <w:adjustRightInd w:val="0"/>
              <w:jc w:val="center"/>
              <w:rPr>
                <w:rFonts w:hint="eastAsia" w:ascii="宋体" w:hAnsi="宋体" w:eastAsia="宋体" w:cs="宋体"/>
                <w:color w:val="auto"/>
                <w:highlight w:val="none"/>
              </w:rPr>
            </w:pPr>
          </w:p>
        </w:tc>
        <w:tc>
          <w:tcPr>
            <w:tcW w:w="1527" w:type="pct"/>
            <w:noWrap w:val="0"/>
            <w:vAlign w:val="center"/>
          </w:tcPr>
          <w:p w14:paraId="5ECBAA34">
            <w:pPr>
              <w:autoSpaceDE w:val="0"/>
              <w:autoSpaceDN w:val="0"/>
              <w:adjustRightInd w:val="0"/>
              <w:jc w:val="center"/>
              <w:rPr>
                <w:rFonts w:hint="eastAsia" w:ascii="宋体" w:hAnsi="宋体" w:eastAsia="宋体" w:cs="宋体"/>
                <w:color w:val="auto"/>
                <w:highlight w:val="none"/>
              </w:rPr>
            </w:pPr>
          </w:p>
        </w:tc>
        <w:tc>
          <w:tcPr>
            <w:tcW w:w="710" w:type="pct"/>
            <w:noWrap w:val="0"/>
            <w:vAlign w:val="center"/>
          </w:tcPr>
          <w:p w14:paraId="64F0A4C6">
            <w:pPr>
              <w:autoSpaceDE w:val="0"/>
              <w:autoSpaceDN w:val="0"/>
              <w:adjustRightInd w:val="0"/>
              <w:jc w:val="center"/>
              <w:rPr>
                <w:rFonts w:hint="eastAsia" w:ascii="宋体" w:hAnsi="宋体" w:eastAsia="宋体" w:cs="宋体"/>
                <w:color w:val="auto"/>
                <w:highlight w:val="none"/>
              </w:rPr>
            </w:pPr>
          </w:p>
        </w:tc>
        <w:tc>
          <w:tcPr>
            <w:tcW w:w="710" w:type="pct"/>
            <w:noWrap w:val="0"/>
            <w:vAlign w:val="center"/>
          </w:tcPr>
          <w:p w14:paraId="55249229">
            <w:pPr>
              <w:autoSpaceDE w:val="0"/>
              <w:autoSpaceDN w:val="0"/>
              <w:adjustRightInd w:val="0"/>
              <w:jc w:val="center"/>
              <w:rPr>
                <w:rFonts w:hint="eastAsia" w:ascii="宋体" w:hAnsi="宋体" w:eastAsia="宋体" w:cs="宋体"/>
                <w:color w:val="auto"/>
                <w:highlight w:val="none"/>
              </w:rPr>
            </w:pPr>
          </w:p>
        </w:tc>
        <w:tc>
          <w:tcPr>
            <w:tcW w:w="1353" w:type="pct"/>
            <w:noWrap w:val="0"/>
            <w:vAlign w:val="center"/>
          </w:tcPr>
          <w:p w14:paraId="07C0FF9F">
            <w:pPr>
              <w:autoSpaceDE w:val="0"/>
              <w:autoSpaceDN w:val="0"/>
              <w:adjustRightInd w:val="0"/>
              <w:jc w:val="center"/>
              <w:rPr>
                <w:rFonts w:hint="eastAsia" w:ascii="宋体" w:hAnsi="宋体" w:eastAsia="宋体" w:cs="宋体"/>
                <w:color w:val="auto"/>
                <w:w w:val="80"/>
                <w:highlight w:val="none"/>
              </w:rPr>
            </w:pPr>
          </w:p>
        </w:tc>
      </w:tr>
      <w:tr w14:paraId="7B6B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697" w:type="pct"/>
            <w:noWrap w:val="0"/>
            <w:vAlign w:val="center"/>
          </w:tcPr>
          <w:p w14:paraId="3670FCD7">
            <w:pPr>
              <w:autoSpaceDE w:val="0"/>
              <w:autoSpaceDN w:val="0"/>
              <w:adjustRightInd w:val="0"/>
              <w:jc w:val="center"/>
              <w:rPr>
                <w:rFonts w:hint="eastAsia" w:ascii="宋体" w:hAnsi="宋体" w:eastAsia="宋体" w:cs="宋体"/>
                <w:color w:val="auto"/>
                <w:highlight w:val="none"/>
              </w:rPr>
            </w:pPr>
          </w:p>
        </w:tc>
        <w:tc>
          <w:tcPr>
            <w:tcW w:w="1527" w:type="pct"/>
            <w:noWrap w:val="0"/>
            <w:vAlign w:val="center"/>
          </w:tcPr>
          <w:p w14:paraId="7455C792">
            <w:pPr>
              <w:autoSpaceDE w:val="0"/>
              <w:autoSpaceDN w:val="0"/>
              <w:adjustRightInd w:val="0"/>
              <w:jc w:val="center"/>
              <w:rPr>
                <w:rFonts w:hint="eastAsia" w:ascii="宋体" w:hAnsi="宋体" w:eastAsia="宋体" w:cs="宋体"/>
                <w:color w:val="auto"/>
                <w:highlight w:val="none"/>
              </w:rPr>
            </w:pPr>
          </w:p>
        </w:tc>
        <w:tc>
          <w:tcPr>
            <w:tcW w:w="710" w:type="pct"/>
            <w:noWrap w:val="0"/>
            <w:vAlign w:val="center"/>
          </w:tcPr>
          <w:p w14:paraId="3146A398">
            <w:pPr>
              <w:autoSpaceDE w:val="0"/>
              <w:autoSpaceDN w:val="0"/>
              <w:adjustRightInd w:val="0"/>
              <w:jc w:val="center"/>
              <w:rPr>
                <w:rFonts w:hint="eastAsia" w:ascii="宋体" w:hAnsi="宋体" w:eastAsia="宋体" w:cs="宋体"/>
                <w:color w:val="auto"/>
                <w:highlight w:val="none"/>
              </w:rPr>
            </w:pPr>
          </w:p>
        </w:tc>
        <w:tc>
          <w:tcPr>
            <w:tcW w:w="710" w:type="pct"/>
            <w:noWrap w:val="0"/>
            <w:vAlign w:val="center"/>
          </w:tcPr>
          <w:p w14:paraId="23E63956">
            <w:pPr>
              <w:autoSpaceDE w:val="0"/>
              <w:autoSpaceDN w:val="0"/>
              <w:adjustRightInd w:val="0"/>
              <w:jc w:val="center"/>
              <w:rPr>
                <w:rFonts w:hint="eastAsia" w:ascii="宋体" w:hAnsi="宋体" w:eastAsia="宋体" w:cs="宋体"/>
                <w:color w:val="auto"/>
                <w:highlight w:val="none"/>
              </w:rPr>
            </w:pPr>
          </w:p>
        </w:tc>
        <w:tc>
          <w:tcPr>
            <w:tcW w:w="1353" w:type="pct"/>
            <w:noWrap w:val="0"/>
            <w:vAlign w:val="center"/>
          </w:tcPr>
          <w:p w14:paraId="250A582D">
            <w:pPr>
              <w:autoSpaceDE w:val="0"/>
              <w:autoSpaceDN w:val="0"/>
              <w:adjustRightInd w:val="0"/>
              <w:jc w:val="center"/>
              <w:rPr>
                <w:rFonts w:hint="eastAsia" w:ascii="宋体" w:hAnsi="宋体" w:eastAsia="宋体" w:cs="宋体"/>
                <w:color w:val="auto"/>
                <w:w w:val="80"/>
                <w:highlight w:val="none"/>
              </w:rPr>
            </w:pPr>
          </w:p>
        </w:tc>
      </w:tr>
    </w:tbl>
    <w:p w14:paraId="7301DC9A">
      <w:pPr>
        <w:spacing w:line="360" w:lineRule="auto"/>
        <w:rPr>
          <w:rFonts w:hint="eastAsia" w:ascii="宋体" w:hAnsi="宋体" w:eastAsia="宋体" w:cs="宋体"/>
          <w:color w:val="auto"/>
          <w:sz w:val="24"/>
          <w:highlight w:val="none"/>
        </w:rPr>
      </w:pPr>
    </w:p>
    <w:p w14:paraId="5D63E9EF">
      <w:pPr>
        <w:autoSpaceDE w:val="0"/>
        <w:autoSpaceDN w:val="0"/>
        <w:adjustRightInd w:val="0"/>
        <w:jc w:val="left"/>
        <w:rPr>
          <w:rFonts w:hint="eastAsia" w:ascii="宋体" w:hAnsi="宋体" w:eastAsia="宋体" w:cs="宋体"/>
          <w:color w:val="auto"/>
          <w:highlight w:val="none"/>
        </w:rPr>
      </w:pPr>
      <w:r>
        <w:rPr>
          <w:rFonts w:hint="eastAsia" w:ascii="宋体" w:hAnsi="宋体" w:eastAsia="宋体" w:cs="宋体"/>
          <w:b/>
          <w:color w:val="auto"/>
          <w:highlight w:val="none"/>
        </w:rPr>
        <w:t>[说明]</w:t>
      </w:r>
      <w:r>
        <w:rPr>
          <w:rFonts w:hint="eastAsia" w:ascii="宋体" w:hAnsi="宋体" w:eastAsia="宋体" w:cs="宋体"/>
          <w:color w:val="auto"/>
          <w:highlight w:val="none"/>
        </w:rPr>
        <w:t xml:space="preserve"> 投标人需按各自标段中★技术条款逐一对应响应表填写（如有）</w:t>
      </w:r>
    </w:p>
    <w:p w14:paraId="35429289">
      <w:pPr>
        <w:autoSpaceDE w:val="0"/>
        <w:autoSpaceDN w:val="0"/>
        <w:adjustRightInd w:val="0"/>
        <w:jc w:val="left"/>
        <w:rPr>
          <w:rFonts w:hint="eastAsia" w:ascii="宋体" w:hAnsi="宋体" w:eastAsia="宋体" w:cs="宋体"/>
          <w:color w:val="auto"/>
          <w:highlight w:val="none"/>
        </w:rPr>
      </w:pPr>
      <w:r>
        <w:rPr>
          <w:rFonts w:hint="eastAsia" w:ascii="宋体" w:hAnsi="宋体" w:eastAsia="宋体" w:cs="宋体"/>
          <w:color w:val="auto"/>
          <w:highlight w:val="none"/>
        </w:rPr>
        <w:t>投标人必须逐项对★技术条款的</w:t>
      </w:r>
      <w:r>
        <w:rPr>
          <w:rFonts w:hint="eastAsia" w:ascii="宋体" w:hAnsi="宋体" w:eastAsia="宋体" w:cs="宋体"/>
          <w:color w:val="auto"/>
          <w:highlight w:val="none"/>
          <w:lang w:val="en-US" w:eastAsia="zh-CN"/>
        </w:rPr>
        <w:t>偏离情况</w:t>
      </w:r>
      <w:r>
        <w:rPr>
          <w:rFonts w:hint="eastAsia" w:ascii="宋体" w:hAnsi="宋体" w:eastAsia="宋体" w:cs="宋体"/>
          <w:color w:val="auto"/>
          <w:highlight w:val="none"/>
        </w:rPr>
        <w:t>如实填写</w:t>
      </w:r>
      <w:r>
        <w:rPr>
          <w:rFonts w:hint="eastAsia" w:ascii="宋体" w:hAnsi="宋体" w:eastAsia="宋体" w:cs="宋体"/>
          <w:color w:val="auto"/>
          <w:kern w:val="1"/>
          <w:highlight w:val="none"/>
        </w:rPr>
        <w:t>，并在本表的“偏离情况”栏中注明“正偏离”或“负偏离”或“无偏离”。</w:t>
      </w:r>
      <w:r>
        <w:rPr>
          <w:rFonts w:hint="eastAsia" w:ascii="宋体" w:hAnsi="宋体" w:eastAsia="宋体" w:cs="宋体"/>
          <w:color w:val="auto"/>
          <w:highlight w:val="none"/>
        </w:rPr>
        <w:t>如有差异的在“差异描述”栏中详细描述差异情况。</w:t>
      </w:r>
    </w:p>
    <w:p w14:paraId="44BF1DDF">
      <w:pPr>
        <w:autoSpaceDE w:val="0"/>
        <w:autoSpaceDN w:val="0"/>
        <w:adjustRightInd w:val="0"/>
        <w:jc w:val="left"/>
        <w:rPr>
          <w:rFonts w:hint="eastAsia" w:ascii="宋体" w:hAnsi="宋体" w:eastAsia="宋体" w:cs="宋体"/>
          <w:color w:val="auto"/>
          <w:highlight w:val="none"/>
        </w:rPr>
      </w:pPr>
    </w:p>
    <w:p w14:paraId="014512F3">
      <w:pPr>
        <w:spacing w:line="360" w:lineRule="auto"/>
        <w:jc w:val="left"/>
        <w:rPr>
          <w:rFonts w:hint="eastAsia" w:ascii="宋体" w:hAnsi="宋体" w:eastAsia="宋体" w:cs="宋体"/>
          <w:color w:val="auto"/>
          <w:sz w:val="24"/>
          <w:highlight w:val="none"/>
        </w:rPr>
      </w:pPr>
    </w:p>
    <w:p w14:paraId="78B44C61">
      <w:pPr>
        <w:spacing w:line="480" w:lineRule="auto"/>
        <w:ind w:firstLine="3990" w:firstLineChars="190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投标人名称:（盖章）</w:t>
      </w:r>
    </w:p>
    <w:p w14:paraId="747C089D">
      <w:pPr>
        <w:spacing w:line="480" w:lineRule="auto"/>
        <w:ind w:firstLine="3990" w:firstLineChars="190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日期：    年   月   日</w:t>
      </w:r>
    </w:p>
    <w:p w14:paraId="779D912D">
      <w:pPr>
        <w:tabs>
          <w:tab w:val="left" w:pos="676"/>
          <w:tab w:val="left" w:pos="2330"/>
          <w:tab w:val="left" w:pos="9230"/>
        </w:tabs>
        <w:autoSpaceDE w:val="0"/>
        <w:autoSpaceDN w:val="0"/>
        <w:adjustRightInd w:val="0"/>
        <w:jc w:val="center"/>
        <w:rPr>
          <w:rFonts w:hint="eastAsia" w:ascii="宋体" w:hAnsi="宋体" w:eastAsia="宋体" w:cs="宋体"/>
          <w:color w:val="auto"/>
          <w:highlight w:val="none"/>
        </w:rPr>
      </w:pPr>
    </w:p>
    <w:p w14:paraId="67638230">
      <w:pPr>
        <w:tabs>
          <w:tab w:val="left" w:pos="676"/>
          <w:tab w:val="left" w:pos="2330"/>
          <w:tab w:val="left" w:pos="9230"/>
        </w:tabs>
        <w:autoSpaceDE w:val="0"/>
        <w:autoSpaceDN w:val="0"/>
        <w:adjustRightInd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格式6.2</w:t>
      </w:r>
    </w:p>
    <w:p w14:paraId="729BC60A">
      <w:pPr>
        <w:spacing w:line="360" w:lineRule="auto"/>
        <w:ind w:firstLine="425"/>
        <w:jc w:val="center"/>
        <w:rPr>
          <w:rFonts w:hint="eastAsia" w:ascii="宋体" w:hAnsi="宋体" w:eastAsia="宋体" w:cs="宋体"/>
          <w:color w:val="auto"/>
          <w:highlight w:val="none"/>
          <w:lang w:val="en-US" w:eastAsia="zh-CN"/>
        </w:rPr>
      </w:pPr>
      <w:r>
        <w:rPr>
          <w:rFonts w:hint="eastAsia" w:ascii="宋体" w:hAnsi="宋体" w:cs="宋体"/>
          <w:b/>
          <w:color w:val="auto"/>
          <w:sz w:val="28"/>
          <w:szCs w:val="28"/>
          <w:highlight w:val="none"/>
          <w:lang w:val="en-US" w:eastAsia="zh-CN"/>
        </w:rPr>
        <w:t>项目实施</w:t>
      </w:r>
      <w:r>
        <w:rPr>
          <w:rFonts w:hint="eastAsia" w:ascii="宋体" w:hAnsi="宋体" w:eastAsia="宋体" w:cs="宋体"/>
          <w:b/>
          <w:color w:val="auto"/>
          <w:sz w:val="28"/>
          <w:szCs w:val="28"/>
          <w:highlight w:val="none"/>
          <w:lang w:val="en-US" w:eastAsia="zh-CN"/>
        </w:rPr>
        <w:t>方案</w:t>
      </w:r>
    </w:p>
    <w:p w14:paraId="7A962A62">
      <w:pPr>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投标人应根据招标文件《用户需求书》及评审内容填写。</w:t>
      </w:r>
    </w:p>
    <w:p w14:paraId="14921106">
      <w:pPr>
        <w:adjustRightInd w:val="0"/>
        <w:snapToGrid w:val="0"/>
        <w:spacing w:line="360" w:lineRule="auto"/>
        <w:ind w:left="420" w:leftChars="200"/>
        <w:rPr>
          <w:rFonts w:hint="eastAsia" w:ascii="宋体" w:hAnsi="宋体" w:eastAsia="宋体" w:cs="宋体"/>
          <w:color w:val="auto"/>
          <w:highlight w:val="none"/>
        </w:rPr>
      </w:pPr>
    </w:p>
    <w:p w14:paraId="631703F0">
      <w:pPr>
        <w:spacing w:line="360" w:lineRule="auto"/>
        <w:jc w:val="center"/>
        <w:rPr>
          <w:rFonts w:hint="eastAsia" w:ascii="宋体" w:hAnsi="宋体" w:eastAsia="宋体" w:cs="宋体"/>
          <w:b/>
          <w:color w:val="auto"/>
          <w:sz w:val="28"/>
          <w:szCs w:val="28"/>
          <w:highlight w:val="none"/>
        </w:rPr>
      </w:pPr>
    </w:p>
    <w:p w14:paraId="6C0DB521">
      <w:pPr>
        <w:spacing w:line="360" w:lineRule="auto"/>
        <w:jc w:val="center"/>
        <w:rPr>
          <w:rFonts w:hint="eastAsia" w:ascii="宋体" w:hAnsi="宋体" w:eastAsia="宋体" w:cs="宋体"/>
          <w:b/>
          <w:color w:val="auto"/>
          <w:sz w:val="28"/>
          <w:szCs w:val="28"/>
          <w:highlight w:val="none"/>
        </w:rPr>
      </w:pPr>
    </w:p>
    <w:p w14:paraId="55FE4989">
      <w:pPr>
        <w:tabs>
          <w:tab w:val="left" w:pos="676"/>
          <w:tab w:val="left" w:pos="2330"/>
          <w:tab w:val="left" w:pos="9230"/>
        </w:tabs>
        <w:autoSpaceDE w:val="0"/>
        <w:autoSpaceDN w:val="0"/>
        <w:adjustRightInd w:val="0"/>
        <w:ind w:firstLine="3045" w:firstLineChars="1450"/>
        <w:rPr>
          <w:rFonts w:hint="eastAsia" w:ascii="宋体" w:hAnsi="宋体" w:eastAsia="宋体" w:cs="宋体"/>
          <w:color w:val="auto"/>
          <w:highlight w:val="none"/>
        </w:rPr>
        <w:sectPr>
          <w:headerReference r:id="rId11" w:type="default"/>
          <w:footerReference r:id="rId12" w:type="default"/>
          <w:pgSz w:w="11907" w:h="16840"/>
          <w:pgMar w:top="1418" w:right="1701" w:bottom="1418" w:left="1701" w:header="737" w:footer="737" w:gutter="0"/>
          <w:cols w:space="720" w:num="1"/>
          <w:docGrid w:linePitch="286" w:charSpace="0"/>
        </w:sectPr>
      </w:pPr>
    </w:p>
    <w:p w14:paraId="7F90D767">
      <w:pPr>
        <w:ind w:firstLine="420"/>
        <w:rPr>
          <w:rFonts w:hint="eastAsia" w:ascii="宋体" w:hAnsi="宋体" w:eastAsia="宋体" w:cs="宋体"/>
          <w:color w:val="auto"/>
          <w:highlight w:val="none"/>
        </w:rPr>
      </w:pPr>
    </w:p>
    <w:p w14:paraId="6F9D3CAB">
      <w:pPr>
        <w:spacing w:line="360" w:lineRule="auto"/>
        <w:ind w:left="631" w:hanging="631" w:hangingChars="26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格式6.3</w:t>
      </w:r>
    </w:p>
    <w:p w14:paraId="7226CE65">
      <w:pPr>
        <w:spacing w:line="360" w:lineRule="auto"/>
        <w:ind w:left="736" w:hanging="631" w:hangingChars="26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施工</w:t>
      </w:r>
      <w:r>
        <w:rPr>
          <w:rFonts w:hint="eastAsia" w:ascii="宋体" w:hAnsi="宋体" w:eastAsia="宋体" w:cs="宋体"/>
          <w:b/>
          <w:color w:val="auto"/>
          <w:sz w:val="24"/>
          <w:highlight w:val="none"/>
        </w:rPr>
        <w:t>方案</w:t>
      </w:r>
      <w:r>
        <w:rPr>
          <w:rFonts w:hint="eastAsia" w:ascii="宋体" w:hAnsi="宋体" w:cs="宋体"/>
          <w:b/>
          <w:color w:val="auto"/>
          <w:sz w:val="24"/>
          <w:highlight w:val="none"/>
          <w:lang w:val="en-US" w:eastAsia="zh-CN"/>
        </w:rPr>
        <w:t>（如有）</w:t>
      </w:r>
    </w:p>
    <w:p w14:paraId="665E8A62">
      <w:pPr>
        <w:spacing w:line="360" w:lineRule="auto"/>
        <w:ind w:left="315" w:hanging="315" w:hangingChars="15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F2F7FD3">
      <w:pPr>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投标人应根据招标文件《用户需求书》及评审内容填写。</w:t>
      </w:r>
    </w:p>
    <w:p w14:paraId="4A596EF9">
      <w:pPr>
        <w:spacing w:line="360" w:lineRule="auto"/>
        <w:rPr>
          <w:rFonts w:hint="eastAsia" w:ascii="宋体" w:hAnsi="宋体" w:eastAsia="宋体" w:cs="宋体"/>
          <w:b/>
          <w:color w:val="auto"/>
          <w:sz w:val="24"/>
          <w:highlight w:val="none"/>
        </w:rPr>
      </w:pPr>
    </w:p>
    <w:p w14:paraId="0FA883BC">
      <w:pPr>
        <w:spacing w:line="360" w:lineRule="auto"/>
        <w:jc w:val="lef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格式6.</w:t>
      </w:r>
      <w:r>
        <w:rPr>
          <w:rFonts w:hint="eastAsia" w:ascii="宋体" w:hAnsi="宋体" w:eastAsia="宋体" w:cs="宋体"/>
          <w:b/>
          <w:color w:val="auto"/>
          <w:sz w:val="24"/>
          <w:highlight w:val="none"/>
          <w:lang w:val="en-US" w:eastAsia="zh-CN"/>
        </w:rPr>
        <w:t>4</w:t>
      </w:r>
    </w:p>
    <w:p w14:paraId="77963483">
      <w:pPr>
        <w:spacing w:line="360" w:lineRule="auto"/>
        <w:jc w:val="center"/>
        <w:rPr>
          <w:rFonts w:hint="eastAsia" w:ascii="宋体" w:hAnsi="宋体" w:eastAsia="宋体" w:cs="宋体"/>
          <w:b/>
          <w:color w:val="auto"/>
          <w:sz w:val="28"/>
          <w:highlight w:val="none"/>
        </w:rPr>
      </w:pPr>
    </w:p>
    <w:p w14:paraId="0CF3DEE5">
      <w:pPr>
        <w:spacing w:line="360" w:lineRule="auto"/>
        <w:ind w:left="736" w:hanging="631" w:hangingChars="26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电梯回收处理说明（如有）</w:t>
      </w:r>
    </w:p>
    <w:p w14:paraId="313A7B7B">
      <w:pPr>
        <w:spacing w:line="360" w:lineRule="auto"/>
        <w:ind w:firstLine="425"/>
        <w:rPr>
          <w:rFonts w:hint="eastAsia" w:ascii="宋体" w:hAnsi="宋体" w:eastAsia="宋体" w:cs="宋体"/>
          <w:color w:val="auto"/>
          <w:highlight w:val="none"/>
        </w:rPr>
      </w:pPr>
      <w:r>
        <w:rPr>
          <w:rFonts w:hint="eastAsia" w:ascii="宋体" w:hAnsi="宋体" w:eastAsia="宋体" w:cs="宋体"/>
          <w:color w:val="auto"/>
          <w:highlight w:val="none"/>
        </w:rPr>
        <w:t>投标人应根据招标文件《用户需求书》及评审内容填写。</w:t>
      </w:r>
    </w:p>
    <w:p w14:paraId="56893233">
      <w:pPr>
        <w:spacing w:line="360" w:lineRule="auto"/>
        <w:jc w:val="center"/>
        <w:rPr>
          <w:rFonts w:hint="eastAsia" w:ascii="宋体" w:hAnsi="宋体" w:eastAsia="宋体" w:cs="宋体"/>
          <w:b/>
          <w:color w:val="auto"/>
          <w:sz w:val="28"/>
          <w:highlight w:val="none"/>
        </w:rPr>
      </w:pPr>
    </w:p>
    <w:p w14:paraId="42CB839F">
      <w:pPr>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8"/>
          <w:highlight w:val="none"/>
        </w:rPr>
        <w:br w:type="page"/>
      </w:r>
      <w:r>
        <w:rPr>
          <w:rFonts w:hint="eastAsia" w:ascii="宋体" w:hAnsi="宋体" w:eastAsia="宋体" w:cs="宋体"/>
          <w:b/>
          <w:color w:val="auto"/>
          <w:sz w:val="24"/>
          <w:highlight w:val="none"/>
        </w:rPr>
        <w:t>格式6.</w:t>
      </w:r>
      <w:r>
        <w:rPr>
          <w:rFonts w:hint="eastAsia" w:ascii="宋体" w:hAnsi="宋体" w:eastAsia="宋体" w:cs="宋体"/>
          <w:b/>
          <w:color w:val="auto"/>
          <w:sz w:val="24"/>
          <w:highlight w:val="none"/>
          <w:lang w:val="en-US" w:eastAsia="zh-CN"/>
        </w:rPr>
        <w:t>5</w:t>
      </w:r>
    </w:p>
    <w:p w14:paraId="06628985">
      <w:pPr>
        <w:spacing w:line="360" w:lineRule="auto"/>
        <w:jc w:val="center"/>
        <w:rPr>
          <w:rFonts w:hint="eastAsia" w:ascii="宋体" w:hAnsi="宋体" w:eastAsia="宋体" w:cs="宋体"/>
          <w:b/>
          <w:color w:val="auto"/>
          <w:sz w:val="28"/>
          <w:highlight w:val="none"/>
        </w:rPr>
      </w:pPr>
    </w:p>
    <w:p w14:paraId="0BEE0E79">
      <w:pPr>
        <w:spacing w:line="360" w:lineRule="auto"/>
        <w:ind w:left="736" w:hanging="631" w:hangingChars="26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设备详细说明（应对拟投的</w:t>
      </w:r>
      <w:r>
        <w:rPr>
          <w:rFonts w:hint="eastAsia" w:ascii="宋体" w:hAnsi="宋体" w:eastAsia="宋体" w:cs="宋体"/>
          <w:b/>
          <w:color w:val="auto"/>
          <w:sz w:val="24"/>
          <w:highlight w:val="none"/>
        </w:rPr>
        <w:t>设备的选型、稳定性等</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设备的主要部件、元器件</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设备的兼容性</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设备工艺</w:t>
      </w:r>
      <w:r>
        <w:rPr>
          <w:rFonts w:hint="eastAsia" w:ascii="宋体" w:hAnsi="宋体" w:eastAsia="宋体" w:cs="宋体"/>
          <w:b/>
          <w:color w:val="auto"/>
          <w:sz w:val="24"/>
          <w:highlight w:val="none"/>
          <w:lang w:val="en-US" w:eastAsia="zh-CN"/>
        </w:rPr>
        <w:t>的工艺作出说明）</w:t>
      </w:r>
    </w:p>
    <w:p w14:paraId="5BBDDB6F">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投标人应根据招标文件《用户需求书》及评审内容填写。</w:t>
      </w:r>
    </w:p>
    <w:p w14:paraId="766FD57D">
      <w:pPr>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color w:val="auto"/>
          <w:sz w:val="24"/>
          <w:highlight w:val="none"/>
        </w:rPr>
        <w:t>格式6.</w:t>
      </w:r>
      <w:r>
        <w:rPr>
          <w:rFonts w:hint="eastAsia" w:ascii="宋体" w:hAnsi="宋体" w:eastAsia="宋体" w:cs="宋体"/>
          <w:b/>
          <w:color w:val="auto"/>
          <w:sz w:val="24"/>
          <w:highlight w:val="none"/>
          <w:lang w:val="en-US" w:eastAsia="zh-CN"/>
        </w:rPr>
        <w:t>6</w:t>
      </w:r>
    </w:p>
    <w:p w14:paraId="7F5DFCA1">
      <w:pPr>
        <w:spacing w:line="360" w:lineRule="auto"/>
        <w:jc w:val="center"/>
        <w:rPr>
          <w:rFonts w:hint="eastAsia" w:ascii="宋体" w:hAnsi="宋体" w:eastAsia="宋体" w:cs="宋体"/>
          <w:b/>
          <w:color w:val="auto"/>
          <w:sz w:val="28"/>
          <w:highlight w:val="none"/>
        </w:rPr>
      </w:pPr>
    </w:p>
    <w:p w14:paraId="434D409B">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4"/>
          <w:highlight w:val="none"/>
          <w:lang w:val="en-US" w:eastAsia="zh-CN"/>
        </w:rPr>
        <w:t>售后服务方案（含服务响应承诺）</w:t>
      </w:r>
    </w:p>
    <w:p w14:paraId="3D432BAF">
      <w:pPr>
        <w:spacing w:line="360" w:lineRule="auto"/>
        <w:jc w:val="center"/>
        <w:rPr>
          <w:rFonts w:hint="eastAsia" w:ascii="宋体" w:hAnsi="宋体" w:eastAsia="宋体" w:cs="宋体"/>
          <w:b/>
          <w:color w:val="auto"/>
          <w:sz w:val="28"/>
          <w:highlight w:val="none"/>
        </w:rPr>
      </w:pPr>
      <w:r>
        <w:rPr>
          <w:rFonts w:hint="eastAsia" w:ascii="宋体" w:hAnsi="宋体" w:eastAsia="宋体" w:cs="宋体"/>
          <w:color w:val="auto"/>
          <w:highlight w:val="none"/>
        </w:rPr>
        <w:t>投标人应根据招标文件《用户需求书》及评审内容填写。</w:t>
      </w:r>
      <w:r>
        <w:rPr>
          <w:rFonts w:hint="eastAsia" w:ascii="宋体" w:hAnsi="宋体" w:eastAsia="宋体" w:cs="宋体"/>
          <w:b/>
          <w:color w:val="auto"/>
          <w:sz w:val="28"/>
          <w:highlight w:val="none"/>
        </w:rPr>
        <w:br w:type="page"/>
      </w:r>
    </w:p>
    <w:p w14:paraId="6C806C87">
      <w:pPr>
        <w:spacing w:line="360" w:lineRule="auto"/>
        <w:jc w:val="left"/>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格式6.</w:t>
      </w:r>
      <w:r>
        <w:rPr>
          <w:rFonts w:hint="eastAsia" w:ascii="宋体" w:hAnsi="宋体" w:eastAsia="宋体" w:cs="宋体"/>
          <w:b/>
          <w:color w:val="auto"/>
          <w:sz w:val="24"/>
          <w:highlight w:val="none"/>
          <w:lang w:val="en-US" w:eastAsia="zh-CN"/>
        </w:rPr>
        <w:t>7</w:t>
      </w:r>
    </w:p>
    <w:p w14:paraId="32E2850F">
      <w:pPr>
        <w:pStyle w:val="20"/>
        <w:rPr>
          <w:rFonts w:hint="eastAsia" w:ascii="宋体" w:hAnsi="宋体" w:eastAsia="宋体" w:cs="宋体"/>
          <w:color w:val="auto"/>
          <w:highlight w:val="none"/>
        </w:rPr>
      </w:pPr>
    </w:p>
    <w:p w14:paraId="19D299A1">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技术标评分细则需要提供的资料（如有）</w:t>
      </w:r>
    </w:p>
    <w:p w14:paraId="062A5899">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D8664ED">
      <w:pPr>
        <w:spacing w:line="360" w:lineRule="auto"/>
        <w:jc w:val="left"/>
        <w:rPr>
          <w:rFonts w:hint="eastAsia" w:ascii="宋体" w:hAnsi="宋体" w:eastAsia="宋体" w:cs="宋体"/>
          <w:b/>
          <w:color w:val="auto"/>
          <w:sz w:val="28"/>
          <w:highlight w:val="none"/>
          <w:lang w:eastAsia="zh-CN"/>
        </w:rPr>
      </w:pPr>
      <w:r>
        <w:rPr>
          <w:rFonts w:hint="eastAsia" w:ascii="宋体" w:hAnsi="宋体" w:eastAsia="宋体" w:cs="宋体"/>
          <w:b/>
          <w:color w:val="auto"/>
          <w:sz w:val="24"/>
          <w:highlight w:val="none"/>
        </w:rPr>
        <w:t>格式6.</w:t>
      </w:r>
      <w:r>
        <w:rPr>
          <w:rFonts w:hint="eastAsia" w:ascii="宋体" w:hAnsi="宋体" w:eastAsia="宋体" w:cs="宋体"/>
          <w:b/>
          <w:color w:val="auto"/>
          <w:sz w:val="24"/>
          <w:highlight w:val="none"/>
          <w:lang w:val="en-US" w:eastAsia="zh-CN"/>
        </w:rPr>
        <w:t>8</w:t>
      </w:r>
    </w:p>
    <w:p w14:paraId="37C5CA97">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招标人配合内容（如有）</w:t>
      </w:r>
    </w:p>
    <w:p w14:paraId="07F4225D">
      <w:pPr>
        <w:jc w:val="center"/>
        <w:rPr>
          <w:rFonts w:hint="eastAsia" w:ascii="宋体" w:hAnsi="宋体" w:eastAsia="宋体" w:cs="宋体"/>
          <w:color w:val="auto"/>
          <w:highlight w:val="none"/>
        </w:rPr>
      </w:pPr>
    </w:p>
    <w:p w14:paraId="0EF3A16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请投标人详细描述中标合同执行阶段需招标人配合的工作内容。</w:t>
      </w:r>
    </w:p>
    <w:p w14:paraId="7B090FE5">
      <w:pPr>
        <w:spacing w:line="360" w:lineRule="auto"/>
        <w:rPr>
          <w:rFonts w:hint="eastAsia" w:ascii="宋体" w:hAnsi="宋体" w:eastAsia="宋体" w:cs="宋体"/>
          <w:color w:val="auto"/>
          <w:highlight w:val="none"/>
        </w:rPr>
      </w:pPr>
    </w:p>
    <w:p w14:paraId="1151F4A4">
      <w:pPr>
        <w:spacing w:line="360" w:lineRule="auto"/>
        <w:rPr>
          <w:rFonts w:hint="eastAsia" w:ascii="宋体" w:hAnsi="宋体" w:eastAsia="宋体" w:cs="宋体"/>
          <w:color w:val="auto"/>
          <w:highlight w:val="none"/>
          <w:lang w:eastAsia="zh-CN"/>
        </w:rPr>
      </w:pPr>
      <w:r>
        <w:rPr>
          <w:rFonts w:hint="eastAsia" w:ascii="宋体" w:hAnsi="宋体" w:eastAsia="宋体" w:cs="宋体"/>
          <w:b/>
          <w:color w:val="auto"/>
          <w:sz w:val="24"/>
          <w:highlight w:val="none"/>
        </w:rPr>
        <w:t>格式6.</w:t>
      </w:r>
      <w:r>
        <w:rPr>
          <w:rFonts w:hint="eastAsia" w:ascii="宋体" w:hAnsi="宋体" w:eastAsia="宋体" w:cs="宋体"/>
          <w:b/>
          <w:color w:val="auto"/>
          <w:sz w:val="24"/>
          <w:highlight w:val="none"/>
          <w:lang w:val="en-US" w:eastAsia="zh-CN"/>
        </w:rPr>
        <w:t>9</w:t>
      </w:r>
    </w:p>
    <w:p w14:paraId="052E9D10">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投标人认为有必要提供的其他文件（如有）</w:t>
      </w:r>
    </w:p>
    <w:p w14:paraId="609267EC">
      <w:pPr>
        <w:pStyle w:val="26"/>
        <w:rPr>
          <w:rFonts w:hint="eastAsia" w:ascii="宋体" w:hAnsi="宋体" w:eastAsia="宋体" w:cs="宋体"/>
          <w:color w:val="auto"/>
          <w:highlight w:val="none"/>
        </w:rPr>
      </w:pPr>
    </w:p>
    <w:p w14:paraId="73A457E6">
      <w:pPr>
        <w:spacing w:line="360" w:lineRule="auto"/>
        <w:rPr>
          <w:rFonts w:hint="eastAsia" w:ascii="宋体" w:hAnsi="宋体" w:eastAsia="宋体" w:cs="宋体"/>
          <w:color w:val="auto"/>
          <w:highlight w:val="none"/>
        </w:rPr>
      </w:pPr>
    </w:p>
    <w:p w14:paraId="53AC0D59">
      <w:pPr>
        <w:tabs>
          <w:tab w:val="left" w:pos="2600"/>
        </w:tabs>
        <w:spacing w:line="300" w:lineRule="exact"/>
        <w:rPr>
          <w:rFonts w:hint="eastAsia" w:ascii="宋体" w:hAnsi="宋体" w:eastAsia="宋体" w:cs="宋体"/>
          <w:b/>
          <w:color w:val="auto"/>
          <w:sz w:val="24"/>
          <w:highlight w:val="none"/>
        </w:rPr>
      </w:pPr>
    </w:p>
    <w:p w14:paraId="3A36593E">
      <w:pPr>
        <w:pStyle w:val="26"/>
        <w:spacing w:line="360" w:lineRule="auto"/>
        <w:ind w:left="4700" w:leftChars="2238"/>
        <w:rPr>
          <w:rFonts w:hint="eastAsia" w:ascii="宋体" w:hAnsi="宋体" w:eastAsia="宋体" w:cs="宋体"/>
          <w:color w:val="auto"/>
          <w:highlight w:val="none"/>
        </w:rPr>
      </w:pPr>
    </w:p>
    <w:p w14:paraId="03C81593">
      <w:pPr>
        <w:pStyle w:val="14"/>
        <w:rPr>
          <w:rFonts w:hint="eastAsia" w:ascii="宋体" w:hAnsi="宋体" w:eastAsia="宋体" w:cs="宋体"/>
          <w:color w:val="auto"/>
          <w:highlight w:val="none"/>
        </w:rPr>
        <w:sectPr>
          <w:pgSz w:w="11907" w:h="16840"/>
          <w:pgMar w:top="1418" w:right="1701" w:bottom="1418" w:left="1701" w:header="851" w:footer="851" w:gutter="0"/>
          <w:cols w:space="720" w:num="1"/>
          <w:docGrid w:linePitch="285" w:charSpace="0"/>
        </w:sectPr>
      </w:pPr>
    </w:p>
    <w:p w14:paraId="1F4C2BC0">
      <w:pPr>
        <w:spacing w:line="360" w:lineRule="auto"/>
        <w:rPr>
          <w:rFonts w:hint="eastAsia" w:ascii="宋体" w:hAnsi="宋体" w:eastAsia="宋体" w:cs="宋体"/>
          <w:b/>
          <w:color w:val="auto"/>
          <w:sz w:val="30"/>
          <w:highlight w:val="none"/>
        </w:rPr>
      </w:pPr>
    </w:p>
    <w:p w14:paraId="4565C63A">
      <w:pPr>
        <w:pStyle w:val="3"/>
        <w:numPr>
          <w:ilvl w:val="0"/>
          <w:numId w:val="0"/>
        </w:numPr>
        <w:ind w:left="422"/>
        <w:rPr>
          <w:rFonts w:hint="eastAsia" w:ascii="宋体" w:hAnsi="宋体" w:eastAsia="宋体" w:cs="宋体"/>
          <w:color w:val="auto"/>
          <w:highlight w:val="none"/>
        </w:rPr>
      </w:pPr>
      <w:bookmarkStart w:id="112" w:name="_Toc118018368"/>
      <w:bookmarkStart w:id="113" w:name="_Toc476177994"/>
      <w:bookmarkStart w:id="114" w:name="_Toc476177435"/>
      <w:bookmarkStart w:id="115" w:name="_Toc477185972"/>
      <w:bookmarkStart w:id="116" w:name="_Toc477186333"/>
      <w:bookmarkStart w:id="117" w:name="_Toc455417786"/>
      <w:bookmarkStart w:id="118" w:name="_Toc496161878"/>
      <w:r>
        <w:rPr>
          <w:rFonts w:hint="eastAsia" w:ascii="宋体" w:hAnsi="宋体" w:eastAsia="宋体" w:cs="宋体"/>
          <w:color w:val="auto"/>
          <w:highlight w:val="none"/>
        </w:rPr>
        <w:t>七、其他资料格式</w:t>
      </w:r>
      <w:bookmarkEnd w:id="112"/>
      <w:bookmarkEnd w:id="113"/>
      <w:bookmarkEnd w:id="114"/>
      <w:bookmarkEnd w:id="115"/>
      <w:bookmarkEnd w:id="116"/>
      <w:bookmarkEnd w:id="117"/>
      <w:bookmarkEnd w:id="118"/>
    </w:p>
    <w:p w14:paraId="6752B893">
      <w:pPr>
        <w:tabs>
          <w:tab w:val="left" w:pos="824"/>
        </w:tabs>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7.1  招标服务费承诺书</w:t>
      </w:r>
    </w:p>
    <w:p w14:paraId="4B3A3CE2">
      <w:pPr>
        <w:tabs>
          <w:tab w:val="left" w:pos="824"/>
        </w:tabs>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7.2  退保证金说明</w:t>
      </w:r>
    </w:p>
    <w:p w14:paraId="57F06A59">
      <w:pPr>
        <w:tabs>
          <w:tab w:val="left" w:pos="824"/>
        </w:tabs>
        <w:spacing w:line="360" w:lineRule="auto"/>
        <w:ind w:firstLine="210" w:firstLineChars="100"/>
        <w:rPr>
          <w:rFonts w:hint="eastAsia" w:ascii="宋体" w:hAnsi="宋体" w:eastAsia="宋体" w:cs="宋体"/>
          <w:color w:val="auto"/>
          <w:highlight w:val="none"/>
        </w:rPr>
      </w:pPr>
    </w:p>
    <w:p w14:paraId="48D0B0D3">
      <w:pPr>
        <w:tabs>
          <w:tab w:val="left" w:pos="824"/>
        </w:tabs>
        <w:spacing w:line="360" w:lineRule="auto"/>
        <w:ind w:firstLine="210" w:firstLineChars="100"/>
        <w:rPr>
          <w:rFonts w:hint="eastAsia" w:ascii="宋体" w:hAnsi="宋体" w:eastAsia="宋体" w:cs="宋体"/>
          <w:color w:val="auto"/>
          <w:highlight w:val="none"/>
        </w:rPr>
      </w:pPr>
    </w:p>
    <w:p w14:paraId="5224461E">
      <w:pPr>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highlight w:val="none"/>
        </w:rPr>
        <w:t>7.1招标服务费承诺书</w:t>
      </w:r>
    </w:p>
    <w:p w14:paraId="1544F181">
      <w:pPr>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招标服务费承诺书</w:t>
      </w:r>
    </w:p>
    <w:p w14:paraId="79833098">
      <w:pPr>
        <w:spacing w:line="360" w:lineRule="auto"/>
        <w:rPr>
          <w:rFonts w:hint="eastAsia" w:ascii="宋体" w:hAnsi="宋体" w:eastAsia="宋体" w:cs="宋体"/>
          <w:color w:val="auto"/>
          <w:sz w:val="24"/>
          <w:highlight w:val="none"/>
        </w:rPr>
      </w:pPr>
    </w:p>
    <w:p w14:paraId="09A3137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3F9BCC7">
      <w:pPr>
        <w:spacing w:line="360" w:lineRule="auto"/>
        <w:rPr>
          <w:rFonts w:hint="eastAsia" w:ascii="宋体" w:hAnsi="宋体" w:eastAsia="宋体" w:cs="宋体"/>
          <w:b/>
          <w:color w:val="auto"/>
          <w:sz w:val="24"/>
          <w:highlight w:val="none"/>
        </w:rPr>
      </w:pPr>
      <w:r>
        <w:rPr>
          <w:rFonts w:hint="eastAsia" w:ascii="宋体" w:hAnsi="宋体" w:eastAsia="宋体" w:cs="宋体"/>
          <w:color w:val="auto"/>
          <w:highlight w:val="none"/>
        </w:rPr>
        <w:t>致</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广东省机电设备招标有限公司</w:t>
      </w:r>
    </w:p>
    <w:p w14:paraId="2BD79F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4D99BFB">
      <w:pPr>
        <w:spacing w:line="360" w:lineRule="auto"/>
        <w:ind w:left="210" w:hanging="210" w:hangingChars="10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如果我方</w:t>
      </w:r>
      <w:r>
        <w:rPr>
          <w:rFonts w:hint="eastAsia" w:ascii="宋体" w:hAnsi="宋体" w:eastAsia="宋体" w:cs="宋体"/>
          <w:color w:val="auto"/>
          <w:highlight w:val="none"/>
          <w:u w:val="single"/>
        </w:rPr>
        <w:t>（投标人名称）</w:t>
      </w:r>
      <w:r>
        <w:rPr>
          <w:rFonts w:hint="eastAsia" w:ascii="宋体" w:hAnsi="宋体" w:eastAsia="宋体" w:cs="宋体"/>
          <w:color w:val="auto"/>
          <w:highlight w:val="none"/>
        </w:rPr>
        <w:t>在贵单位组织的（</w:t>
      </w:r>
      <w:r>
        <w:rPr>
          <w:rFonts w:hint="eastAsia" w:ascii="宋体" w:hAnsi="宋体" w:eastAsia="宋体" w:cs="宋体"/>
          <w:color w:val="auto"/>
          <w:highlight w:val="none"/>
          <w:u w:val="single"/>
        </w:rPr>
        <w:t>招标项目名称</w:t>
      </w:r>
      <w:r>
        <w:rPr>
          <w:rFonts w:hint="eastAsia" w:ascii="宋体" w:hAnsi="宋体" w:eastAsia="宋体" w:cs="宋体"/>
          <w:color w:val="auto"/>
          <w:highlight w:val="none"/>
        </w:rPr>
        <w:t>）项目编号为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的供货及相关服务的招标中获中标，我方</w:t>
      </w:r>
      <w:r>
        <w:rPr>
          <w:rFonts w:hint="eastAsia" w:ascii="宋体" w:hAnsi="宋体" w:eastAsia="宋体" w:cs="宋体"/>
          <w:color w:val="auto"/>
          <w:spacing w:val="-6"/>
          <w:highlight w:val="none"/>
        </w:rPr>
        <w:t>保证在收到《中标通知书》的当日，按招标文件要求，向贵单位</w:t>
      </w:r>
      <w:r>
        <w:rPr>
          <w:rFonts w:hint="eastAsia" w:ascii="宋体" w:hAnsi="宋体" w:eastAsia="宋体" w:cs="宋体"/>
          <w:color w:val="auto"/>
          <w:highlight w:val="none"/>
        </w:rPr>
        <w:t>交纳招标服务费（按投标人须知执行）。</w:t>
      </w:r>
    </w:p>
    <w:p w14:paraId="452FD1EF">
      <w:pPr>
        <w:spacing w:line="360" w:lineRule="auto"/>
        <w:jc w:val="left"/>
        <w:rPr>
          <w:rFonts w:hint="eastAsia" w:ascii="宋体" w:hAnsi="宋体" w:eastAsia="宋体" w:cs="宋体"/>
          <w:color w:val="auto"/>
          <w:highlight w:val="none"/>
        </w:rPr>
      </w:pPr>
    </w:p>
    <w:p w14:paraId="195DAFDC">
      <w:p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我方如违约，愿凭贵单位开出的违约通知，按上述承诺金额的200％在我方提交的投标保证金中扣付。</w:t>
      </w:r>
    </w:p>
    <w:p w14:paraId="7FE9480B">
      <w:pPr>
        <w:spacing w:line="360" w:lineRule="auto"/>
        <w:rPr>
          <w:rFonts w:hint="eastAsia" w:ascii="宋体" w:hAnsi="宋体" w:eastAsia="宋体" w:cs="宋体"/>
          <w:color w:val="auto"/>
          <w:highlight w:val="none"/>
        </w:rPr>
      </w:pPr>
    </w:p>
    <w:p w14:paraId="211B793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特此承诺！</w:t>
      </w:r>
    </w:p>
    <w:p w14:paraId="610EE28F">
      <w:pPr>
        <w:spacing w:line="480" w:lineRule="auto"/>
        <w:rPr>
          <w:rFonts w:hint="eastAsia" w:ascii="宋体" w:hAnsi="宋体" w:eastAsia="宋体" w:cs="宋体"/>
          <w:color w:val="auto"/>
          <w:szCs w:val="22"/>
          <w:highlight w:val="none"/>
        </w:rPr>
      </w:pPr>
    </w:p>
    <w:p w14:paraId="09978488">
      <w:pPr>
        <w:spacing w:line="360" w:lineRule="auto"/>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14:paraId="46D3F3FF">
      <w:pPr>
        <w:spacing w:line="360" w:lineRule="auto"/>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14:paraId="7006E6B0">
      <w:pPr>
        <w:spacing w:line="480" w:lineRule="auto"/>
        <w:rPr>
          <w:rFonts w:hint="eastAsia" w:ascii="宋体" w:hAnsi="宋体" w:eastAsia="宋体" w:cs="宋体"/>
          <w:color w:val="auto"/>
          <w:highlight w:val="none"/>
        </w:rPr>
      </w:pPr>
    </w:p>
    <w:p w14:paraId="7080B07A">
      <w:pPr>
        <w:spacing w:line="300" w:lineRule="auto"/>
        <w:rPr>
          <w:rFonts w:hint="eastAsia" w:ascii="宋体" w:hAnsi="宋体" w:eastAsia="宋体" w:cs="宋体"/>
          <w:b/>
          <w:color w:val="auto"/>
          <w:sz w:val="24"/>
          <w:highlight w:val="none"/>
        </w:rPr>
      </w:pPr>
      <w:r>
        <w:rPr>
          <w:rFonts w:hint="eastAsia" w:ascii="宋体" w:hAnsi="宋体" w:eastAsia="宋体" w:cs="宋体"/>
          <w:color w:val="auto"/>
          <w:highlight w:val="none"/>
        </w:rPr>
        <w:br w:type="page"/>
      </w:r>
      <w:bookmarkStart w:id="119" w:name="_Toc496161880"/>
      <w:r>
        <w:rPr>
          <w:rFonts w:hint="eastAsia" w:ascii="宋体" w:hAnsi="宋体" w:eastAsia="宋体" w:cs="宋体"/>
          <w:b/>
          <w:color w:val="auto"/>
          <w:sz w:val="24"/>
          <w:highlight w:val="none"/>
        </w:rPr>
        <w:t>7.2投标保证金退还格式</w:t>
      </w:r>
      <w:bookmarkStart w:id="120" w:name="_Hlt523221392"/>
      <w:bookmarkEnd w:id="120"/>
      <w:r>
        <w:rPr>
          <w:rFonts w:hint="eastAsia" w:ascii="宋体" w:hAnsi="宋体" w:eastAsia="宋体" w:cs="宋体"/>
          <w:b/>
          <w:color w:val="auto"/>
          <w:sz w:val="24"/>
          <w:highlight w:val="none"/>
        </w:rPr>
        <w:t>（样本）</w:t>
      </w:r>
    </w:p>
    <w:p w14:paraId="030B504F">
      <w:pPr>
        <w:snapToGrid w:val="0"/>
        <w:jc w:val="center"/>
        <w:rPr>
          <w:rStyle w:val="155"/>
          <w:rFonts w:hint="eastAsia" w:ascii="宋体" w:hAnsi="宋体" w:eastAsia="宋体" w:cs="宋体"/>
          <w:b/>
          <w:color w:val="auto"/>
          <w:spacing w:val="10"/>
          <w:sz w:val="21"/>
          <w:szCs w:val="21"/>
          <w:highlight w:val="none"/>
          <w:lang w:val="zh-CN"/>
        </w:rPr>
      </w:pPr>
      <w:r>
        <w:rPr>
          <w:rStyle w:val="155"/>
          <w:rFonts w:hint="eastAsia" w:ascii="宋体" w:hAnsi="宋体" w:eastAsia="宋体" w:cs="宋体"/>
          <w:b/>
          <w:color w:val="auto"/>
          <w:spacing w:val="10"/>
          <w:sz w:val="21"/>
          <w:szCs w:val="21"/>
          <w:highlight w:val="none"/>
          <w:lang w:val="zh-CN"/>
        </w:rPr>
        <w:t>退保证金说明</w:t>
      </w:r>
    </w:p>
    <w:p w14:paraId="00DC3782">
      <w:pPr>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p>
    <w:p w14:paraId="60E49D7F">
      <w:pPr>
        <w:spacing w:line="360" w:lineRule="auto"/>
        <w:ind w:leftChars="-250" w:hanging="525" w:hanging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项目的投标，项目编号为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所提交的保证金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元，请贵单位退还时划到以下账户：</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76"/>
        <w:gridCol w:w="1980"/>
        <w:gridCol w:w="1620"/>
        <w:gridCol w:w="2294"/>
      </w:tblGrid>
      <w:tr w14:paraId="04FB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2" w:type="dxa"/>
            <w:vMerge w:val="restart"/>
            <w:noWrap w:val="0"/>
            <w:vAlign w:val="center"/>
          </w:tcPr>
          <w:p w14:paraId="2337FBE2">
            <w:pPr>
              <w:spacing w:line="360" w:lineRule="auto"/>
              <w:ind w:right="206" w:rightChars="98"/>
              <w:jc w:val="center"/>
              <w:rPr>
                <w:rStyle w:val="155"/>
                <w:rFonts w:hint="eastAsia" w:ascii="宋体" w:hAnsi="宋体" w:eastAsia="宋体" w:cs="宋体"/>
                <w:color w:val="auto"/>
                <w:spacing w:val="10"/>
                <w:sz w:val="21"/>
                <w:szCs w:val="21"/>
                <w:highlight w:val="none"/>
                <w:lang w:val="zh-CN"/>
              </w:rPr>
            </w:pPr>
            <w:r>
              <w:rPr>
                <w:rStyle w:val="155"/>
                <w:rFonts w:hint="eastAsia" w:ascii="宋体" w:hAnsi="宋体" w:eastAsia="宋体" w:cs="宋体"/>
                <w:color w:val="auto"/>
                <w:spacing w:val="10"/>
                <w:sz w:val="21"/>
                <w:szCs w:val="21"/>
                <w:highlight w:val="none"/>
                <w:lang w:val="zh-CN"/>
              </w:rPr>
              <w:t>收款单位</w:t>
            </w:r>
          </w:p>
        </w:tc>
        <w:tc>
          <w:tcPr>
            <w:tcW w:w="1976" w:type="dxa"/>
            <w:noWrap w:val="0"/>
            <w:vAlign w:val="top"/>
          </w:tcPr>
          <w:p w14:paraId="681A407B">
            <w:pPr>
              <w:spacing w:line="360" w:lineRule="auto"/>
              <w:ind w:right="206" w:rightChars="98"/>
              <w:rPr>
                <w:rStyle w:val="155"/>
                <w:rFonts w:hint="eastAsia" w:ascii="宋体" w:hAnsi="宋体" w:eastAsia="宋体" w:cs="宋体"/>
                <w:color w:val="auto"/>
                <w:spacing w:val="10"/>
                <w:sz w:val="21"/>
                <w:szCs w:val="21"/>
                <w:highlight w:val="none"/>
                <w:lang w:val="zh-CN"/>
              </w:rPr>
            </w:pPr>
            <w:r>
              <w:rPr>
                <w:rStyle w:val="155"/>
                <w:rFonts w:hint="eastAsia" w:ascii="宋体" w:hAnsi="宋体" w:eastAsia="宋体" w:cs="宋体"/>
                <w:color w:val="auto"/>
                <w:spacing w:val="10"/>
                <w:sz w:val="21"/>
                <w:szCs w:val="21"/>
                <w:highlight w:val="none"/>
                <w:lang w:val="zh-CN"/>
              </w:rPr>
              <w:t xml:space="preserve"> 收款单位名称</w:t>
            </w:r>
          </w:p>
        </w:tc>
        <w:tc>
          <w:tcPr>
            <w:tcW w:w="5894" w:type="dxa"/>
            <w:gridSpan w:val="3"/>
            <w:noWrap w:val="0"/>
            <w:vAlign w:val="top"/>
          </w:tcPr>
          <w:p w14:paraId="612029C5">
            <w:pPr>
              <w:spacing w:line="360" w:lineRule="auto"/>
              <w:ind w:right="206" w:rightChars="98"/>
              <w:rPr>
                <w:rStyle w:val="155"/>
                <w:rFonts w:hint="eastAsia" w:ascii="宋体" w:hAnsi="宋体" w:eastAsia="宋体" w:cs="宋体"/>
                <w:color w:val="auto"/>
                <w:spacing w:val="10"/>
                <w:sz w:val="21"/>
                <w:szCs w:val="21"/>
                <w:highlight w:val="none"/>
                <w:lang w:val="zh-CN"/>
              </w:rPr>
            </w:pPr>
          </w:p>
        </w:tc>
      </w:tr>
      <w:tr w14:paraId="1D43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2" w:type="dxa"/>
            <w:vMerge w:val="continue"/>
            <w:noWrap w:val="0"/>
            <w:vAlign w:val="top"/>
          </w:tcPr>
          <w:p w14:paraId="5169C930">
            <w:pPr>
              <w:spacing w:line="360" w:lineRule="auto"/>
              <w:ind w:right="206" w:rightChars="98"/>
              <w:rPr>
                <w:rStyle w:val="155"/>
                <w:rFonts w:hint="eastAsia" w:ascii="宋体" w:hAnsi="宋体" w:eastAsia="宋体" w:cs="宋体"/>
                <w:color w:val="auto"/>
                <w:spacing w:val="10"/>
                <w:sz w:val="21"/>
                <w:szCs w:val="21"/>
                <w:highlight w:val="none"/>
                <w:lang w:val="zh-CN"/>
              </w:rPr>
            </w:pPr>
          </w:p>
        </w:tc>
        <w:tc>
          <w:tcPr>
            <w:tcW w:w="1976" w:type="dxa"/>
            <w:noWrap w:val="0"/>
            <w:vAlign w:val="top"/>
          </w:tcPr>
          <w:p w14:paraId="29F4D186">
            <w:pPr>
              <w:spacing w:line="360" w:lineRule="auto"/>
              <w:ind w:right="206" w:rightChars="98"/>
              <w:rPr>
                <w:rStyle w:val="155"/>
                <w:rFonts w:hint="eastAsia" w:ascii="宋体" w:hAnsi="宋体" w:eastAsia="宋体" w:cs="宋体"/>
                <w:color w:val="auto"/>
                <w:spacing w:val="10"/>
                <w:sz w:val="21"/>
                <w:szCs w:val="21"/>
                <w:highlight w:val="none"/>
                <w:lang w:val="zh-CN"/>
              </w:rPr>
            </w:pPr>
            <w:r>
              <w:rPr>
                <w:rStyle w:val="155"/>
                <w:rFonts w:hint="eastAsia" w:ascii="宋体" w:hAnsi="宋体" w:eastAsia="宋体" w:cs="宋体"/>
                <w:color w:val="auto"/>
                <w:spacing w:val="10"/>
                <w:sz w:val="21"/>
                <w:szCs w:val="21"/>
                <w:highlight w:val="none"/>
                <w:lang w:val="zh-CN"/>
              </w:rPr>
              <w:t xml:space="preserve"> 收款单位地址</w:t>
            </w:r>
          </w:p>
        </w:tc>
        <w:tc>
          <w:tcPr>
            <w:tcW w:w="5894" w:type="dxa"/>
            <w:gridSpan w:val="3"/>
            <w:noWrap w:val="0"/>
            <w:vAlign w:val="top"/>
          </w:tcPr>
          <w:p w14:paraId="56636729">
            <w:pPr>
              <w:spacing w:line="360" w:lineRule="auto"/>
              <w:ind w:right="206" w:rightChars="98"/>
              <w:rPr>
                <w:rStyle w:val="155"/>
                <w:rFonts w:hint="eastAsia" w:ascii="宋体" w:hAnsi="宋体" w:eastAsia="宋体" w:cs="宋体"/>
                <w:color w:val="auto"/>
                <w:spacing w:val="10"/>
                <w:sz w:val="21"/>
                <w:szCs w:val="21"/>
                <w:highlight w:val="none"/>
                <w:lang w:val="zh-CN"/>
              </w:rPr>
            </w:pPr>
          </w:p>
        </w:tc>
      </w:tr>
      <w:tr w14:paraId="4C8C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2" w:type="dxa"/>
            <w:vMerge w:val="continue"/>
            <w:noWrap w:val="0"/>
            <w:vAlign w:val="top"/>
          </w:tcPr>
          <w:p w14:paraId="0E796699">
            <w:pPr>
              <w:spacing w:line="360" w:lineRule="auto"/>
              <w:ind w:right="206" w:rightChars="98"/>
              <w:rPr>
                <w:rStyle w:val="155"/>
                <w:rFonts w:hint="eastAsia" w:ascii="宋体" w:hAnsi="宋体" w:eastAsia="宋体" w:cs="宋体"/>
                <w:color w:val="auto"/>
                <w:spacing w:val="10"/>
                <w:sz w:val="21"/>
                <w:szCs w:val="21"/>
                <w:highlight w:val="none"/>
                <w:lang w:val="zh-CN"/>
              </w:rPr>
            </w:pPr>
          </w:p>
        </w:tc>
        <w:tc>
          <w:tcPr>
            <w:tcW w:w="1976" w:type="dxa"/>
            <w:noWrap w:val="0"/>
            <w:vAlign w:val="top"/>
          </w:tcPr>
          <w:p w14:paraId="0AA4F728">
            <w:pPr>
              <w:ind w:right="206" w:rightChars="98"/>
              <w:rPr>
                <w:rStyle w:val="155"/>
                <w:rFonts w:hint="eastAsia" w:ascii="宋体" w:hAnsi="宋体" w:eastAsia="宋体" w:cs="宋体"/>
                <w:color w:val="auto"/>
                <w:spacing w:val="10"/>
                <w:sz w:val="21"/>
                <w:szCs w:val="21"/>
                <w:highlight w:val="none"/>
                <w:lang w:val="zh-CN"/>
              </w:rPr>
            </w:pPr>
            <w:r>
              <w:rPr>
                <w:rStyle w:val="155"/>
                <w:rFonts w:hint="eastAsia" w:ascii="宋体" w:hAnsi="宋体" w:eastAsia="宋体" w:cs="宋体"/>
                <w:color w:val="auto"/>
                <w:spacing w:val="10"/>
                <w:sz w:val="21"/>
                <w:szCs w:val="21"/>
                <w:highlight w:val="none"/>
                <w:lang w:val="zh-CN"/>
              </w:rPr>
              <w:t xml:space="preserve">   开户银行</w:t>
            </w:r>
          </w:p>
          <w:p w14:paraId="633DF2AC">
            <w:pPr>
              <w:ind w:right="206" w:rightChars="98"/>
              <w:rPr>
                <w:rStyle w:val="155"/>
                <w:rFonts w:hint="eastAsia" w:ascii="宋体" w:hAnsi="宋体" w:eastAsia="宋体" w:cs="宋体"/>
                <w:color w:val="auto"/>
                <w:spacing w:val="10"/>
                <w:sz w:val="21"/>
                <w:szCs w:val="21"/>
                <w:highlight w:val="none"/>
                <w:lang w:val="zh-CN"/>
              </w:rPr>
            </w:pPr>
            <w:r>
              <w:rPr>
                <w:rStyle w:val="155"/>
                <w:rFonts w:hint="eastAsia" w:ascii="宋体" w:hAnsi="宋体" w:eastAsia="宋体" w:cs="宋体"/>
                <w:color w:val="auto"/>
                <w:spacing w:val="10"/>
                <w:sz w:val="21"/>
                <w:szCs w:val="21"/>
                <w:highlight w:val="none"/>
                <w:lang w:val="zh-CN"/>
              </w:rPr>
              <w:t>（含汇入地点）</w:t>
            </w:r>
          </w:p>
        </w:tc>
        <w:tc>
          <w:tcPr>
            <w:tcW w:w="5894" w:type="dxa"/>
            <w:gridSpan w:val="3"/>
            <w:noWrap w:val="0"/>
            <w:vAlign w:val="center"/>
          </w:tcPr>
          <w:p w14:paraId="7848D634">
            <w:pPr>
              <w:spacing w:line="360" w:lineRule="auto"/>
              <w:ind w:right="206" w:rightChars="98" w:firstLine="460" w:firstLineChars="200"/>
              <w:rPr>
                <w:rStyle w:val="155"/>
                <w:rFonts w:hint="eastAsia" w:ascii="宋体" w:hAnsi="宋体" w:eastAsia="宋体" w:cs="宋体"/>
                <w:color w:val="auto"/>
                <w:spacing w:val="10"/>
                <w:sz w:val="21"/>
                <w:szCs w:val="21"/>
                <w:highlight w:val="none"/>
                <w:lang w:val="zh-CN"/>
              </w:rPr>
            </w:pPr>
            <w:r>
              <w:rPr>
                <w:rStyle w:val="155"/>
                <w:rFonts w:hint="eastAsia" w:ascii="宋体" w:hAnsi="宋体" w:eastAsia="宋体" w:cs="宋体"/>
                <w:color w:val="auto"/>
                <w:spacing w:val="10"/>
                <w:sz w:val="21"/>
                <w:szCs w:val="21"/>
                <w:highlight w:val="none"/>
                <w:lang w:val="zh-CN"/>
              </w:rPr>
              <w:t xml:space="preserve">省    市（县）      银行       支行（分理处）       </w:t>
            </w:r>
          </w:p>
        </w:tc>
      </w:tr>
      <w:tr w14:paraId="6666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2" w:type="dxa"/>
            <w:vMerge w:val="continue"/>
            <w:noWrap w:val="0"/>
            <w:vAlign w:val="top"/>
          </w:tcPr>
          <w:p w14:paraId="4137D4BB">
            <w:pPr>
              <w:spacing w:line="360" w:lineRule="auto"/>
              <w:ind w:right="206" w:rightChars="98"/>
              <w:rPr>
                <w:rStyle w:val="155"/>
                <w:rFonts w:hint="eastAsia" w:ascii="宋体" w:hAnsi="宋体" w:eastAsia="宋体" w:cs="宋体"/>
                <w:color w:val="auto"/>
                <w:spacing w:val="10"/>
                <w:sz w:val="21"/>
                <w:szCs w:val="21"/>
                <w:highlight w:val="none"/>
                <w:lang w:val="zh-CN"/>
              </w:rPr>
            </w:pPr>
          </w:p>
        </w:tc>
        <w:tc>
          <w:tcPr>
            <w:tcW w:w="1976" w:type="dxa"/>
            <w:noWrap w:val="0"/>
            <w:vAlign w:val="top"/>
          </w:tcPr>
          <w:p w14:paraId="21081281">
            <w:pPr>
              <w:spacing w:line="360" w:lineRule="auto"/>
              <w:ind w:right="206" w:rightChars="98"/>
              <w:jc w:val="center"/>
              <w:rPr>
                <w:rStyle w:val="155"/>
                <w:rFonts w:hint="eastAsia" w:ascii="宋体" w:hAnsi="宋体" w:eastAsia="宋体" w:cs="宋体"/>
                <w:color w:val="auto"/>
                <w:spacing w:val="10"/>
                <w:sz w:val="21"/>
                <w:szCs w:val="21"/>
                <w:highlight w:val="none"/>
                <w:lang w:val="zh-CN"/>
              </w:rPr>
            </w:pPr>
            <w:r>
              <w:rPr>
                <w:rStyle w:val="155"/>
                <w:rFonts w:hint="eastAsia" w:ascii="宋体" w:hAnsi="宋体" w:eastAsia="宋体" w:cs="宋体"/>
                <w:color w:val="auto"/>
                <w:spacing w:val="10"/>
                <w:sz w:val="21"/>
                <w:szCs w:val="21"/>
                <w:highlight w:val="none"/>
                <w:lang w:val="zh-CN"/>
              </w:rPr>
              <w:t>账  号</w:t>
            </w:r>
          </w:p>
        </w:tc>
        <w:tc>
          <w:tcPr>
            <w:tcW w:w="5894" w:type="dxa"/>
            <w:gridSpan w:val="3"/>
            <w:noWrap w:val="0"/>
            <w:vAlign w:val="top"/>
          </w:tcPr>
          <w:p w14:paraId="37BDF54C">
            <w:pPr>
              <w:spacing w:line="360" w:lineRule="auto"/>
              <w:ind w:right="206" w:rightChars="98"/>
              <w:rPr>
                <w:rStyle w:val="155"/>
                <w:rFonts w:hint="eastAsia" w:ascii="宋体" w:hAnsi="宋体" w:eastAsia="宋体" w:cs="宋体"/>
                <w:color w:val="auto"/>
                <w:spacing w:val="10"/>
                <w:sz w:val="21"/>
                <w:szCs w:val="21"/>
                <w:highlight w:val="none"/>
                <w:lang w:val="zh-CN"/>
              </w:rPr>
            </w:pPr>
          </w:p>
        </w:tc>
      </w:tr>
      <w:tr w14:paraId="4C6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2" w:type="dxa"/>
            <w:vMerge w:val="continue"/>
            <w:noWrap w:val="0"/>
            <w:vAlign w:val="top"/>
          </w:tcPr>
          <w:p w14:paraId="58AA1D9C">
            <w:pPr>
              <w:spacing w:line="360" w:lineRule="auto"/>
              <w:ind w:right="206" w:rightChars="98"/>
              <w:rPr>
                <w:rStyle w:val="155"/>
                <w:rFonts w:hint="eastAsia" w:ascii="宋体" w:hAnsi="宋体" w:eastAsia="宋体" w:cs="宋体"/>
                <w:color w:val="auto"/>
                <w:spacing w:val="10"/>
                <w:sz w:val="21"/>
                <w:szCs w:val="21"/>
                <w:highlight w:val="none"/>
                <w:lang w:val="zh-CN"/>
              </w:rPr>
            </w:pPr>
          </w:p>
        </w:tc>
        <w:tc>
          <w:tcPr>
            <w:tcW w:w="1976" w:type="dxa"/>
            <w:noWrap w:val="0"/>
            <w:vAlign w:val="top"/>
          </w:tcPr>
          <w:p w14:paraId="4D40C8A1">
            <w:pPr>
              <w:spacing w:line="360" w:lineRule="auto"/>
              <w:ind w:right="206" w:rightChars="98" w:firstLine="460" w:firstLineChars="200"/>
              <w:rPr>
                <w:rStyle w:val="155"/>
                <w:rFonts w:hint="eastAsia" w:ascii="宋体" w:hAnsi="宋体" w:eastAsia="宋体" w:cs="宋体"/>
                <w:color w:val="auto"/>
                <w:spacing w:val="10"/>
                <w:sz w:val="21"/>
                <w:szCs w:val="21"/>
                <w:highlight w:val="none"/>
                <w:lang w:val="zh-CN"/>
              </w:rPr>
            </w:pPr>
            <w:r>
              <w:rPr>
                <w:rStyle w:val="155"/>
                <w:rFonts w:hint="eastAsia" w:ascii="宋体" w:hAnsi="宋体" w:eastAsia="宋体" w:cs="宋体"/>
                <w:color w:val="auto"/>
                <w:spacing w:val="10"/>
                <w:sz w:val="21"/>
                <w:szCs w:val="21"/>
                <w:highlight w:val="none"/>
                <w:lang w:val="zh-CN"/>
              </w:rPr>
              <w:t>联系人</w:t>
            </w:r>
          </w:p>
        </w:tc>
        <w:tc>
          <w:tcPr>
            <w:tcW w:w="1980" w:type="dxa"/>
            <w:noWrap w:val="0"/>
            <w:vAlign w:val="top"/>
          </w:tcPr>
          <w:p w14:paraId="6E740B35">
            <w:pPr>
              <w:spacing w:line="360" w:lineRule="auto"/>
              <w:ind w:right="206" w:rightChars="98"/>
              <w:rPr>
                <w:rStyle w:val="155"/>
                <w:rFonts w:hint="eastAsia" w:ascii="宋体" w:hAnsi="宋体" w:eastAsia="宋体" w:cs="宋体"/>
                <w:color w:val="auto"/>
                <w:spacing w:val="10"/>
                <w:sz w:val="21"/>
                <w:szCs w:val="21"/>
                <w:highlight w:val="none"/>
                <w:lang w:val="zh-CN"/>
              </w:rPr>
            </w:pPr>
          </w:p>
        </w:tc>
        <w:tc>
          <w:tcPr>
            <w:tcW w:w="1620" w:type="dxa"/>
            <w:noWrap w:val="0"/>
            <w:vAlign w:val="top"/>
          </w:tcPr>
          <w:p w14:paraId="4C4F70E8">
            <w:pPr>
              <w:spacing w:line="360" w:lineRule="auto"/>
              <w:ind w:right="206" w:rightChars="98" w:firstLine="230" w:firstLineChars="100"/>
              <w:rPr>
                <w:rStyle w:val="155"/>
                <w:rFonts w:hint="eastAsia" w:ascii="宋体" w:hAnsi="宋体" w:eastAsia="宋体" w:cs="宋体"/>
                <w:color w:val="auto"/>
                <w:spacing w:val="10"/>
                <w:sz w:val="21"/>
                <w:szCs w:val="21"/>
                <w:highlight w:val="none"/>
                <w:lang w:val="zh-CN"/>
              </w:rPr>
            </w:pPr>
            <w:r>
              <w:rPr>
                <w:rStyle w:val="155"/>
                <w:rFonts w:hint="eastAsia" w:ascii="宋体" w:hAnsi="宋体" w:eastAsia="宋体" w:cs="宋体"/>
                <w:color w:val="auto"/>
                <w:spacing w:val="10"/>
                <w:sz w:val="21"/>
                <w:szCs w:val="21"/>
                <w:highlight w:val="none"/>
                <w:lang w:val="zh-CN"/>
              </w:rPr>
              <w:t>手机号码</w:t>
            </w:r>
          </w:p>
        </w:tc>
        <w:tc>
          <w:tcPr>
            <w:tcW w:w="2294" w:type="dxa"/>
            <w:noWrap w:val="0"/>
            <w:vAlign w:val="top"/>
          </w:tcPr>
          <w:p w14:paraId="13B68607">
            <w:pPr>
              <w:spacing w:line="360" w:lineRule="auto"/>
              <w:ind w:right="206" w:rightChars="98"/>
              <w:rPr>
                <w:rStyle w:val="155"/>
                <w:rFonts w:hint="eastAsia" w:ascii="宋体" w:hAnsi="宋体" w:eastAsia="宋体" w:cs="宋体"/>
                <w:color w:val="auto"/>
                <w:spacing w:val="10"/>
                <w:sz w:val="21"/>
                <w:szCs w:val="21"/>
                <w:highlight w:val="none"/>
                <w:lang w:val="zh-CN"/>
              </w:rPr>
            </w:pPr>
          </w:p>
        </w:tc>
      </w:tr>
    </w:tbl>
    <w:p w14:paraId="11611515">
      <w:pPr>
        <w:rPr>
          <w:rFonts w:hint="eastAsia" w:ascii="宋体" w:hAnsi="宋体" w:eastAsia="宋体" w:cs="宋体"/>
          <w:color w:val="auto"/>
          <w:szCs w:val="21"/>
          <w:highlight w:val="none"/>
        </w:rPr>
      </w:pPr>
    </w:p>
    <w:p w14:paraId="40F977A7">
      <w:pPr>
        <w:rPr>
          <w:rFonts w:hint="eastAsia" w:ascii="宋体" w:hAnsi="宋体" w:eastAsia="宋体" w:cs="宋体"/>
          <w:b/>
          <w:bCs/>
          <w:color w:val="auto"/>
          <w:szCs w:val="21"/>
          <w:highlight w:val="none"/>
        </w:rPr>
      </w:pPr>
    </w:p>
    <w:p w14:paraId="6815D8CF">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投标人(公章)：                                  </w:t>
      </w:r>
    </w:p>
    <w:p w14:paraId="24E3A4CD">
      <w:pPr>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 xml:space="preserve">日        期：  </w:t>
      </w:r>
      <w:r>
        <w:rPr>
          <w:rFonts w:hint="eastAsia" w:ascii="宋体" w:hAnsi="宋体" w:eastAsia="宋体" w:cs="宋体"/>
          <w:b/>
          <w:color w:val="auto"/>
          <w:szCs w:val="21"/>
          <w:highlight w:val="none"/>
        </w:rPr>
        <w:t xml:space="preserve">                                </w:t>
      </w:r>
    </w:p>
    <w:p w14:paraId="133A9C17">
      <w:pPr>
        <w:spacing w:line="360" w:lineRule="auto"/>
        <w:ind w:left="692" w:leftChars="220" w:right="206" w:rightChars="98" w:hanging="230" w:hangingChars="100"/>
        <w:rPr>
          <w:rStyle w:val="155"/>
          <w:rFonts w:hint="eastAsia" w:ascii="宋体" w:hAnsi="宋体" w:eastAsia="宋体" w:cs="宋体"/>
          <w:color w:val="auto"/>
          <w:spacing w:val="10"/>
          <w:sz w:val="21"/>
          <w:szCs w:val="21"/>
          <w:highlight w:val="none"/>
          <w:lang w:val="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14:paraId="6EBA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8219" w:type="dxa"/>
            <w:noWrap w:val="0"/>
            <w:vAlign w:val="center"/>
          </w:tcPr>
          <w:p w14:paraId="78E11FAD">
            <w:pPr>
              <w:spacing w:line="360" w:lineRule="auto"/>
              <w:ind w:right="206" w:rightChars="98"/>
              <w:jc w:val="center"/>
              <w:rPr>
                <w:rStyle w:val="155"/>
                <w:rFonts w:hint="eastAsia" w:ascii="宋体" w:hAnsi="宋体" w:eastAsia="宋体" w:cs="宋体"/>
                <w:color w:val="auto"/>
                <w:spacing w:val="10"/>
                <w:sz w:val="21"/>
                <w:szCs w:val="21"/>
                <w:highlight w:val="none"/>
                <w:lang w:val="zh-CN"/>
              </w:rPr>
            </w:pPr>
          </w:p>
          <w:p w14:paraId="0B6DDA4A">
            <w:pPr>
              <w:ind w:right="206" w:rightChars="98"/>
              <w:jc w:val="center"/>
              <w:rPr>
                <w:rStyle w:val="155"/>
                <w:rFonts w:hint="eastAsia" w:ascii="宋体" w:hAnsi="宋体" w:eastAsia="宋体" w:cs="宋体"/>
                <w:color w:val="auto"/>
                <w:spacing w:val="10"/>
                <w:sz w:val="21"/>
                <w:szCs w:val="21"/>
                <w:highlight w:val="none"/>
                <w:lang w:val="zh-CN"/>
              </w:rPr>
            </w:pPr>
          </w:p>
          <w:p w14:paraId="1E25B949">
            <w:pPr>
              <w:ind w:right="206" w:rightChars="98"/>
              <w:jc w:val="center"/>
              <w:rPr>
                <w:rStyle w:val="155"/>
                <w:rFonts w:hint="eastAsia" w:ascii="宋体" w:hAnsi="宋体" w:eastAsia="宋体" w:cs="宋体"/>
                <w:color w:val="auto"/>
                <w:spacing w:val="10"/>
                <w:sz w:val="21"/>
                <w:szCs w:val="21"/>
                <w:highlight w:val="none"/>
                <w:lang w:val="zh-CN"/>
              </w:rPr>
            </w:pPr>
            <w:r>
              <w:rPr>
                <w:rStyle w:val="155"/>
                <w:rFonts w:hint="eastAsia" w:ascii="宋体" w:hAnsi="宋体" w:eastAsia="宋体" w:cs="宋体"/>
                <w:color w:val="auto"/>
                <w:spacing w:val="10"/>
                <w:sz w:val="21"/>
                <w:szCs w:val="21"/>
                <w:highlight w:val="none"/>
                <w:lang w:val="zh-CN"/>
              </w:rPr>
              <w:t>汇款凭证粘贴处</w:t>
            </w:r>
          </w:p>
          <w:p w14:paraId="453C64D9">
            <w:pPr>
              <w:spacing w:line="360" w:lineRule="auto"/>
              <w:ind w:right="206" w:rightChars="98"/>
              <w:jc w:val="center"/>
              <w:rPr>
                <w:rStyle w:val="155"/>
                <w:rFonts w:hint="eastAsia" w:ascii="宋体" w:hAnsi="宋体" w:eastAsia="宋体" w:cs="宋体"/>
                <w:color w:val="auto"/>
                <w:spacing w:val="10"/>
                <w:sz w:val="21"/>
                <w:szCs w:val="21"/>
                <w:highlight w:val="none"/>
                <w:lang w:val="zh-CN"/>
              </w:rPr>
            </w:pPr>
          </w:p>
          <w:p w14:paraId="160F7B26">
            <w:pPr>
              <w:spacing w:line="360" w:lineRule="auto"/>
              <w:ind w:right="206" w:rightChars="98"/>
              <w:jc w:val="center"/>
              <w:rPr>
                <w:rStyle w:val="155"/>
                <w:rFonts w:hint="eastAsia" w:ascii="宋体" w:hAnsi="宋体" w:eastAsia="宋体" w:cs="宋体"/>
                <w:color w:val="auto"/>
                <w:spacing w:val="10"/>
                <w:sz w:val="21"/>
                <w:szCs w:val="21"/>
                <w:highlight w:val="none"/>
                <w:lang w:val="zh-CN"/>
              </w:rPr>
            </w:pPr>
          </w:p>
          <w:p w14:paraId="7A8D29A8">
            <w:pPr>
              <w:spacing w:line="360" w:lineRule="auto"/>
              <w:ind w:right="206" w:rightChars="98"/>
              <w:jc w:val="center"/>
              <w:rPr>
                <w:rStyle w:val="155"/>
                <w:rFonts w:hint="eastAsia" w:ascii="宋体" w:hAnsi="宋体" w:eastAsia="宋体" w:cs="宋体"/>
                <w:color w:val="auto"/>
                <w:spacing w:val="10"/>
                <w:sz w:val="21"/>
                <w:szCs w:val="21"/>
                <w:highlight w:val="none"/>
                <w:lang w:val="zh-CN"/>
              </w:rPr>
            </w:pPr>
          </w:p>
        </w:tc>
      </w:tr>
    </w:tbl>
    <w:p w14:paraId="40618F32">
      <w:pPr>
        <w:spacing w:line="360" w:lineRule="auto"/>
        <w:ind w:right="206" w:rightChars="98"/>
        <w:rPr>
          <w:rStyle w:val="155"/>
          <w:rFonts w:hint="eastAsia" w:ascii="宋体" w:hAnsi="宋体" w:eastAsia="宋体" w:cs="宋体"/>
          <w:color w:val="auto"/>
          <w:spacing w:val="10"/>
          <w:szCs w:val="21"/>
          <w:highlight w:val="none"/>
          <w:lang w:val="zh-CN"/>
        </w:rPr>
      </w:pPr>
    </w:p>
    <w:p w14:paraId="56CEE072">
      <w:pPr>
        <w:tabs>
          <w:tab w:val="left" w:pos="720"/>
        </w:tabs>
        <w:spacing w:line="300" w:lineRule="auto"/>
        <w:ind w:left="1021" w:hanging="1021"/>
        <w:jc w:val="center"/>
        <w:rPr>
          <w:rFonts w:hint="eastAsia" w:ascii="宋体" w:hAnsi="宋体" w:eastAsia="宋体" w:cs="宋体"/>
          <w:b/>
          <w:color w:val="auto"/>
          <w:sz w:val="28"/>
          <w:szCs w:val="28"/>
          <w:highlight w:val="none"/>
        </w:rPr>
      </w:pPr>
      <w:r>
        <w:rPr>
          <w:rFonts w:hint="eastAsia" w:ascii="宋体" w:hAnsi="宋体" w:eastAsia="宋体" w:cs="宋体"/>
          <w:b/>
          <w:bCs/>
          <w:color w:val="auto"/>
          <w:highlight w:val="none"/>
        </w:rPr>
        <w:br w:type="page"/>
      </w:r>
      <w:bookmarkEnd w:id="119"/>
    </w:p>
    <w:p w14:paraId="4C7D5A50">
      <w:pPr>
        <w:tabs>
          <w:tab w:val="left" w:pos="720"/>
        </w:tabs>
        <w:spacing w:line="300" w:lineRule="auto"/>
        <w:ind w:left="1021" w:hanging="1021"/>
        <w:jc w:val="center"/>
        <w:rPr>
          <w:rFonts w:hint="eastAsia" w:ascii="宋体" w:hAnsi="宋体" w:eastAsia="宋体" w:cs="宋体"/>
          <w:b/>
          <w:color w:val="auto"/>
          <w:sz w:val="28"/>
          <w:szCs w:val="28"/>
          <w:highlight w:val="none"/>
        </w:rPr>
      </w:pPr>
    </w:p>
    <w:p w14:paraId="5F22C8B8">
      <w:pPr>
        <w:tabs>
          <w:tab w:val="left" w:pos="720"/>
          <w:tab w:val="left" w:pos="7679"/>
        </w:tabs>
        <w:spacing w:line="300" w:lineRule="auto"/>
        <w:ind w:left="1021" w:hanging="1021"/>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ab/>
      </w:r>
      <w:r>
        <w:rPr>
          <w:rFonts w:hint="eastAsia" w:ascii="宋体" w:hAnsi="宋体" w:eastAsia="宋体" w:cs="宋体"/>
          <w:b/>
          <w:color w:val="auto"/>
          <w:sz w:val="28"/>
          <w:szCs w:val="28"/>
          <w:highlight w:val="none"/>
        </w:rPr>
        <w:tab/>
      </w:r>
    </w:p>
    <w:p w14:paraId="64E535A2">
      <w:pPr>
        <w:tabs>
          <w:tab w:val="left" w:pos="720"/>
        </w:tabs>
        <w:spacing w:line="300" w:lineRule="auto"/>
        <w:ind w:left="1021" w:hanging="1021"/>
        <w:jc w:val="center"/>
        <w:rPr>
          <w:rFonts w:hint="eastAsia" w:ascii="宋体" w:hAnsi="宋体" w:eastAsia="宋体" w:cs="宋体"/>
          <w:b/>
          <w:color w:val="auto"/>
          <w:sz w:val="28"/>
          <w:szCs w:val="28"/>
          <w:highlight w:val="none"/>
        </w:rPr>
      </w:pPr>
    </w:p>
    <w:p w14:paraId="3B5CF8DF">
      <w:pPr>
        <w:tabs>
          <w:tab w:val="left" w:pos="720"/>
        </w:tabs>
        <w:spacing w:line="300" w:lineRule="auto"/>
        <w:ind w:left="1021" w:hanging="1021"/>
        <w:jc w:val="center"/>
        <w:rPr>
          <w:rFonts w:hint="eastAsia" w:ascii="宋体" w:hAnsi="宋体" w:eastAsia="宋体" w:cs="宋体"/>
          <w:b/>
          <w:color w:val="auto"/>
          <w:sz w:val="28"/>
          <w:szCs w:val="28"/>
          <w:highlight w:val="none"/>
        </w:rPr>
      </w:pPr>
    </w:p>
    <w:p w14:paraId="7C331B43">
      <w:pPr>
        <w:tabs>
          <w:tab w:val="left" w:pos="720"/>
        </w:tabs>
        <w:spacing w:line="300" w:lineRule="auto"/>
        <w:ind w:left="1021" w:hanging="1021"/>
        <w:jc w:val="center"/>
        <w:rPr>
          <w:rFonts w:hint="eastAsia" w:ascii="宋体" w:hAnsi="宋体" w:eastAsia="宋体" w:cs="宋体"/>
          <w:b/>
          <w:color w:val="auto"/>
          <w:sz w:val="28"/>
          <w:szCs w:val="28"/>
          <w:highlight w:val="none"/>
        </w:rPr>
      </w:pPr>
    </w:p>
    <w:p w14:paraId="00D3DDD8">
      <w:pPr>
        <w:spacing w:line="360" w:lineRule="auto"/>
        <w:jc w:val="center"/>
        <w:rPr>
          <w:rFonts w:hint="eastAsia" w:ascii="宋体" w:hAnsi="宋体" w:eastAsia="宋体" w:cs="宋体"/>
          <w:b/>
          <w:color w:val="auto"/>
          <w:sz w:val="44"/>
          <w:highlight w:val="none"/>
        </w:rPr>
      </w:pPr>
    </w:p>
    <w:p w14:paraId="7F5D02DD">
      <w:pPr>
        <w:jc w:val="center"/>
        <w:outlineLvl w:val="0"/>
        <w:rPr>
          <w:rFonts w:hint="eastAsia" w:ascii="宋体" w:hAnsi="宋体" w:eastAsia="宋体" w:cs="宋体"/>
          <w:b/>
          <w:color w:val="auto"/>
          <w:sz w:val="44"/>
          <w:szCs w:val="44"/>
          <w:highlight w:val="none"/>
        </w:rPr>
      </w:pPr>
      <w:bookmarkStart w:id="121" w:name="_Toc5715"/>
      <w:r>
        <w:rPr>
          <w:rFonts w:hint="eastAsia" w:ascii="宋体" w:hAnsi="宋体" w:eastAsia="宋体" w:cs="宋体"/>
          <w:b/>
          <w:color w:val="auto"/>
          <w:sz w:val="44"/>
          <w:szCs w:val="44"/>
          <w:highlight w:val="none"/>
        </w:rPr>
        <w:t>第六章</w:t>
      </w:r>
      <w:bookmarkStart w:id="122" w:name="_Toc477186335"/>
      <w:r>
        <w:rPr>
          <w:rFonts w:hint="eastAsia" w:ascii="宋体" w:hAnsi="宋体" w:eastAsia="宋体" w:cs="宋体"/>
          <w:b/>
          <w:color w:val="auto"/>
          <w:sz w:val="44"/>
          <w:szCs w:val="44"/>
          <w:highlight w:val="none"/>
        </w:rPr>
        <w:t xml:space="preserve">  评标办法</w:t>
      </w:r>
      <w:bookmarkEnd w:id="121"/>
      <w:bookmarkEnd w:id="122"/>
    </w:p>
    <w:p w14:paraId="7A3B2D55">
      <w:pPr>
        <w:tabs>
          <w:tab w:val="left" w:pos="720"/>
        </w:tabs>
        <w:spacing w:line="300" w:lineRule="auto"/>
        <w:ind w:left="1021" w:hanging="1021"/>
        <w:jc w:val="center"/>
        <w:rPr>
          <w:rFonts w:hint="eastAsia" w:ascii="宋体" w:hAnsi="宋体" w:eastAsia="宋体" w:cs="宋体"/>
          <w:b/>
          <w:color w:val="auto"/>
          <w:sz w:val="28"/>
          <w:szCs w:val="28"/>
          <w:highlight w:val="none"/>
        </w:rPr>
      </w:pPr>
    </w:p>
    <w:p w14:paraId="28F3D0BF">
      <w:pPr>
        <w:tabs>
          <w:tab w:val="left" w:pos="720"/>
        </w:tabs>
        <w:spacing w:line="300" w:lineRule="auto"/>
        <w:ind w:left="1021" w:hanging="1021"/>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 xml:space="preserve"> </w:t>
      </w:r>
    </w:p>
    <w:p w14:paraId="6C835BF9">
      <w:pPr>
        <w:tabs>
          <w:tab w:val="left" w:pos="720"/>
        </w:tabs>
        <w:spacing w:line="300" w:lineRule="auto"/>
        <w:ind w:left="1021" w:hanging="1021"/>
        <w:jc w:val="center"/>
        <w:rPr>
          <w:rFonts w:hint="eastAsia" w:ascii="宋体" w:hAnsi="宋体" w:eastAsia="宋体" w:cs="宋体"/>
          <w:b/>
          <w:color w:val="auto"/>
          <w:spacing w:val="10"/>
          <w:sz w:val="28"/>
          <w:szCs w:val="28"/>
          <w:highlight w:val="none"/>
        </w:rPr>
      </w:pPr>
      <w:bookmarkStart w:id="123" w:name="_Toc9981_WPSOffice_Level1"/>
      <w:bookmarkStart w:id="124" w:name="_Toc10591_WPSOffice_Level1"/>
      <w:bookmarkStart w:id="125" w:name="_Toc31126_WPSOffice_Level1"/>
      <w:r>
        <w:rPr>
          <w:rFonts w:hint="eastAsia" w:ascii="宋体" w:hAnsi="宋体" w:eastAsia="宋体" w:cs="宋体"/>
          <w:b/>
          <w:color w:val="auto"/>
          <w:sz w:val="28"/>
          <w:szCs w:val="28"/>
          <w:highlight w:val="none"/>
        </w:rPr>
        <w:t>评  标  办  法</w:t>
      </w:r>
      <w:bookmarkEnd w:id="123"/>
      <w:bookmarkEnd w:id="124"/>
      <w:bookmarkEnd w:id="125"/>
    </w:p>
    <w:p w14:paraId="3B929FAE">
      <w:pPr>
        <w:pStyle w:val="2"/>
        <w:numPr>
          <w:ilvl w:val="0"/>
          <w:numId w:val="15"/>
        </w:numPr>
        <w:spacing w:before="120" w:after="120" w:line="360" w:lineRule="auto"/>
        <w:rPr>
          <w:rFonts w:hint="eastAsia" w:ascii="宋体" w:hAnsi="宋体" w:eastAsia="宋体" w:cs="宋体"/>
          <w:color w:val="auto"/>
          <w:sz w:val="28"/>
          <w:szCs w:val="28"/>
          <w:highlight w:val="none"/>
        </w:rPr>
      </w:pPr>
      <w:bookmarkStart w:id="126" w:name="_Toc95306105"/>
      <w:bookmarkStart w:id="127" w:name="_Toc99012603"/>
      <w:bookmarkStart w:id="128" w:name="_Toc477185975"/>
      <w:bookmarkStart w:id="129" w:name="_Toc11635_WPSOffice_Level1"/>
      <w:bookmarkStart w:id="130" w:name="_Toc476177438"/>
      <w:bookmarkStart w:id="131" w:name="_Toc95305931"/>
      <w:bookmarkStart w:id="132" w:name="_Toc2177_WPSOffice_Level1"/>
      <w:bookmarkStart w:id="133" w:name="_Toc8854"/>
      <w:bookmarkStart w:id="134" w:name="_Toc95306153"/>
      <w:bookmarkStart w:id="135" w:name="_Toc477186336"/>
      <w:bookmarkStart w:id="136" w:name="_Toc4692_WPSOffice_Level1"/>
      <w:bookmarkStart w:id="137" w:name="_Toc95298716"/>
      <w:bookmarkStart w:id="138" w:name="_Toc476177998"/>
      <w:bookmarkStart w:id="139" w:name="_Toc95306013"/>
      <w:r>
        <w:rPr>
          <w:rFonts w:hint="eastAsia" w:ascii="宋体" w:hAnsi="宋体" w:eastAsia="宋体" w:cs="宋体"/>
          <w:color w:val="auto"/>
          <w:sz w:val="28"/>
          <w:szCs w:val="28"/>
          <w:highlight w:val="none"/>
        </w:rPr>
        <w:t>说明</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322A5E7">
      <w:pPr>
        <w:tabs>
          <w:tab w:val="left" w:pos="840"/>
          <w:tab w:val="left" w:pos="1680"/>
          <w:tab w:val="left" w:pos="189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招标投标法》、《中华人民共和国招标投标法实施条例》、《评标委员会和评标方法暂行规定》和国家及地方有关文件精神，在保证本项目招标公开、公平、公正的基础上，结合本项目的需求，制定本评标办法。内容包括本次评标的评审过程和方法。</w:t>
      </w:r>
    </w:p>
    <w:p w14:paraId="68BE5AD3">
      <w:pPr>
        <w:tabs>
          <w:tab w:val="left" w:pos="840"/>
        </w:tabs>
        <w:spacing w:line="360" w:lineRule="auto"/>
        <w:rPr>
          <w:rFonts w:hint="eastAsia" w:ascii="宋体" w:hAnsi="宋体" w:eastAsia="宋体" w:cs="宋体"/>
          <w:b/>
          <w:color w:val="auto"/>
          <w:spacing w:val="10"/>
          <w:sz w:val="24"/>
          <w:highlight w:val="none"/>
        </w:rPr>
      </w:pPr>
    </w:p>
    <w:p w14:paraId="4E790EC5">
      <w:pPr>
        <w:pStyle w:val="2"/>
        <w:numPr>
          <w:ilvl w:val="0"/>
          <w:numId w:val="15"/>
        </w:numPr>
        <w:spacing w:before="120" w:after="120" w:line="360" w:lineRule="auto"/>
        <w:rPr>
          <w:rFonts w:hint="eastAsia" w:ascii="宋体" w:hAnsi="宋体" w:eastAsia="宋体" w:cs="宋体"/>
          <w:color w:val="auto"/>
          <w:sz w:val="28"/>
          <w:szCs w:val="28"/>
          <w:highlight w:val="none"/>
        </w:rPr>
      </w:pPr>
      <w:bookmarkStart w:id="140" w:name="_Toc99012604"/>
      <w:bookmarkStart w:id="141" w:name="_Toc21029_WPSOffice_Level1"/>
      <w:bookmarkStart w:id="142" w:name="_Toc476177439"/>
      <w:bookmarkStart w:id="143" w:name="_Toc4898_WPSOffice_Level1"/>
      <w:bookmarkStart w:id="144" w:name="_Toc25791_WPSOffice_Level1"/>
      <w:bookmarkStart w:id="145" w:name="_Toc15972"/>
      <w:bookmarkStart w:id="146" w:name="_Toc477186337"/>
      <w:bookmarkStart w:id="147" w:name="_Toc477185976"/>
      <w:bookmarkStart w:id="148" w:name="_Toc476177999"/>
      <w:r>
        <w:rPr>
          <w:rFonts w:hint="eastAsia" w:ascii="宋体" w:hAnsi="宋体" w:eastAsia="宋体" w:cs="宋体"/>
          <w:color w:val="auto"/>
          <w:sz w:val="28"/>
          <w:szCs w:val="28"/>
          <w:highlight w:val="none"/>
        </w:rPr>
        <w:t>评标须知</w:t>
      </w:r>
      <w:bookmarkEnd w:id="140"/>
      <w:bookmarkEnd w:id="141"/>
      <w:bookmarkEnd w:id="142"/>
      <w:bookmarkEnd w:id="143"/>
      <w:bookmarkEnd w:id="144"/>
      <w:bookmarkEnd w:id="145"/>
      <w:bookmarkEnd w:id="146"/>
      <w:bookmarkEnd w:id="147"/>
      <w:bookmarkEnd w:id="148"/>
    </w:p>
    <w:p w14:paraId="39C9988D">
      <w:pPr>
        <w:numPr>
          <w:ilvl w:val="1"/>
          <w:numId w:val="15"/>
        </w:numPr>
        <w:tabs>
          <w:tab w:val="left" w:pos="0"/>
          <w:tab w:val="left" w:pos="84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关于评标方案</w:t>
      </w:r>
    </w:p>
    <w:p w14:paraId="1FA1C064">
      <w:pPr>
        <w:tabs>
          <w:tab w:val="left" w:pos="0"/>
        </w:tabs>
        <w:spacing w:line="360" w:lineRule="auto"/>
        <w:ind w:left="420"/>
        <w:rPr>
          <w:rFonts w:hint="eastAsia" w:ascii="宋体" w:hAnsi="宋体" w:eastAsia="宋体" w:cs="宋体"/>
          <w:color w:val="auto"/>
          <w:highlight w:val="none"/>
        </w:rPr>
      </w:pPr>
      <w:r>
        <w:rPr>
          <w:rFonts w:hint="eastAsia" w:ascii="宋体" w:hAnsi="宋体" w:eastAsia="宋体" w:cs="宋体"/>
          <w:color w:val="auto"/>
          <w:highlight w:val="none"/>
        </w:rPr>
        <w:t>2.1.2评标委员会的每位成员（简称评委）应认真地阅读并确认已经正确理解了评标方案。</w:t>
      </w:r>
    </w:p>
    <w:p w14:paraId="3A12364E">
      <w:pPr>
        <w:numPr>
          <w:ilvl w:val="1"/>
          <w:numId w:val="15"/>
        </w:numPr>
        <w:tabs>
          <w:tab w:val="left" w:pos="0"/>
          <w:tab w:val="left" w:pos="84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关于评标纪律</w:t>
      </w:r>
    </w:p>
    <w:p w14:paraId="31D64A87">
      <w:pPr>
        <w:tabs>
          <w:tab w:val="left" w:pos="0"/>
        </w:tabs>
        <w:spacing w:line="360" w:lineRule="auto"/>
        <w:ind w:left="420"/>
        <w:rPr>
          <w:rFonts w:hint="eastAsia" w:ascii="宋体" w:hAnsi="宋体" w:eastAsia="宋体" w:cs="宋体"/>
          <w:color w:val="auto"/>
          <w:szCs w:val="22"/>
          <w:highlight w:val="none"/>
        </w:rPr>
      </w:pPr>
      <w:r>
        <w:rPr>
          <w:rFonts w:hint="eastAsia" w:ascii="宋体" w:hAnsi="宋体" w:eastAsia="宋体" w:cs="宋体"/>
          <w:color w:val="auto"/>
          <w:szCs w:val="22"/>
          <w:highlight w:val="none"/>
        </w:rPr>
        <w:t>2.2.1评标委员会成员不得与任何投标人或者与招标结果有利害关系的人进行私下接触，不得收受投标人、中介人、其他利害关系人的财物或者其他好处；</w:t>
      </w:r>
    </w:p>
    <w:p w14:paraId="3519268A">
      <w:pPr>
        <w:tabs>
          <w:tab w:val="left" w:pos="0"/>
        </w:tabs>
        <w:spacing w:line="360" w:lineRule="auto"/>
        <w:ind w:left="420"/>
        <w:rPr>
          <w:rFonts w:hint="eastAsia" w:ascii="宋体" w:hAnsi="宋体" w:eastAsia="宋体" w:cs="宋体"/>
          <w:color w:val="auto"/>
          <w:szCs w:val="22"/>
          <w:highlight w:val="none"/>
        </w:rPr>
      </w:pPr>
      <w:r>
        <w:rPr>
          <w:rFonts w:hint="eastAsia" w:ascii="宋体" w:hAnsi="宋体" w:eastAsia="宋体" w:cs="宋体"/>
          <w:color w:val="auto"/>
          <w:szCs w:val="22"/>
          <w:highlight w:val="none"/>
        </w:rPr>
        <w:t>2.2.2评委应本着客观、公正的原则独立给出评价意见；</w:t>
      </w:r>
    </w:p>
    <w:p w14:paraId="38EC8531">
      <w:pPr>
        <w:tabs>
          <w:tab w:val="left" w:pos="0"/>
        </w:tabs>
        <w:spacing w:line="360" w:lineRule="auto"/>
        <w:ind w:left="420"/>
        <w:rPr>
          <w:rFonts w:hint="eastAsia" w:ascii="宋体" w:hAnsi="宋体" w:eastAsia="宋体" w:cs="宋体"/>
          <w:color w:val="auto"/>
          <w:szCs w:val="22"/>
          <w:highlight w:val="none"/>
        </w:rPr>
      </w:pPr>
      <w:r>
        <w:rPr>
          <w:rFonts w:hint="eastAsia" w:ascii="宋体" w:hAnsi="宋体" w:eastAsia="宋体" w:cs="宋体"/>
          <w:color w:val="auto"/>
          <w:szCs w:val="22"/>
          <w:highlight w:val="none"/>
        </w:rPr>
        <w:t>2.2.3评委之间不得相互串通进行评分；</w:t>
      </w:r>
    </w:p>
    <w:p w14:paraId="68B63D63">
      <w:pPr>
        <w:tabs>
          <w:tab w:val="left" w:pos="0"/>
        </w:tabs>
        <w:spacing w:line="360" w:lineRule="auto"/>
        <w:ind w:left="420"/>
        <w:rPr>
          <w:rFonts w:hint="eastAsia" w:ascii="宋体" w:hAnsi="宋体" w:eastAsia="宋体" w:cs="宋体"/>
          <w:color w:val="auto"/>
          <w:szCs w:val="22"/>
          <w:highlight w:val="none"/>
        </w:rPr>
      </w:pPr>
      <w:r>
        <w:rPr>
          <w:rFonts w:hint="eastAsia" w:ascii="宋体" w:hAnsi="宋体" w:eastAsia="宋体" w:cs="宋体"/>
          <w:color w:val="auto"/>
          <w:szCs w:val="22"/>
          <w:highlight w:val="none"/>
        </w:rPr>
        <w:t>2.2.4评委不得试图影响其他评委的评价意见。</w:t>
      </w:r>
    </w:p>
    <w:p w14:paraId="714F4AF7">
      <w:pPr>
        <w:numPr>
          <w:ilvl w:val="1"/>
          <w:numId w:val="15"/>
        </w:numPr>
        <w:tabs>
          <w:tab w:val="left" w:pos="0"/>
          <w:tab w:val="left" w:pos="84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关于评标责任</w:t>
      </w:r>
    </w:p>
    <w:p w14:paraId="4CB8DEF4">
      <w:pPr>
        <w:tabs>
          <w:tab w:val="left" w:pos="0"/>
        </w:tabs>
        <w:spacing w:line="360" w:lineRule="auto"/>
        <w:ind w:left="420"/>
        <w:rPr>
          <w:rFonts w:hint="eastAsia" w:ascii="宋体" w:hAnsi="宋体" w:eastAsia="宋体" w:cs="宋体"/>
          <w:color w:val="auto"/>
          <w:szCs w:val="22"/>
          <w:highlight w:val="none"/>
        </w:rPr>
      </w:pPr>
      <w:r>
        <w:rPr>
          <w:rFonts w:hint="eastAsia" w:ascii="宋体" w:hAnsi="宋体" w:eastAsia="宋体" w:cs="宋体"/>
          <w:color w:val="auto"/>
          <w:szCs w:val="22"/>
          <w:highlight w:val="none"/>
        </w:rPr>
        <w:t>2.3.1评委应在其书面评审意见上签字确认；</w:t>
      </w:r>
    </w:p>
    <w:p w14:paraId="32172C34">
      <w:pPr>
        <w:tabs>
          <w:tab w:val="left" w:pos="0"/>
        </w:tabs>
        <w:spacing w:line="360" w:lineRule="auto"/>
        <w:ind w:left="420"/>
        <w:rPr>
          <w:rFonts w:hint="eastAsia" w:ascii="宋体" w:hAnsi="宋体" w:eastAsia="宋体" w:cs="宋体"/>
          <w:color w:val="auto"/>
          <w:szCs w:val="22"/>
          <w:highlight w:val="none"/>
        </w:rPr>
      </w:pPr>
      <w:r>
        <w:rPr>
          <w:rFonts w:hint="eastAsia" w:ascii="宋体" w:hAnsi="宋体" w:eastAsia="宋体" w:cs="宋体"/>
          <w:color w:val="auto"/>
          <w:szCs w:val="22"/>
          <w:highlight w:val="none"/>
        </w:rPr>
        <w:t>2.3.2评委对其所提出的评审意见承担个人责任。</w:t>
      </w:r>
    </w:p>
    <w:p w14:paraId="12991625">
      <w:pPr>
        <w:numPr>
          <w:ilvl w:val="1"/>
          <w:numId w:val="15"/>
        </w:numPr>
        <w:tabs>
          <w:tab w:val="left" w:pos="0"/>
          <w:tab w:val="left" w:pos="945"/>
          <w:tab w:val="left" w:pos="168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关于回避</w:t>
      </w:r>
    </w:p>
    <w:p w14:paraId="0C8F1E40">
      <w:pPr>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有下列情形之一的，不得担任评标委员会成员，如事先不知情的，应在宣读投标人名单及评标纪律后主动提出回避：</w:t>
      </w:r>
    </w:p>
    <w:p w14:paraId="0502A406">
      <w:pPr>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（1）是投标人或者投标人主要负责人的近亲属；</w:t>
      </w:r>
    </w:p>
    <w:p w14:paraId="235A7F77">
      <w:pPr>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（2）是该投标人的项目主管部门或是该投标人的行政监督部门的人员；</w:t>
      </w:r>
    </w:p>
    <w:p w14:paraId="3A1D1C96">
      <w:pPr>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（3）与投标人有经济利益关系，可能影响对投标公正评审的；</w:t>
      </w:r>
    </w:p>
    <w:p w14:paraId="19A0B2D4">
      <w:pPr>
        <w:numPr>
          <w:ilvl w:val="1"/>
          <w:numId w:val="15"/>
        </w:numPr>
        <w:tabs>
          <w:tab w:val="left" w:pos="0"/>
          <w:tab w:val="left" w:pos="840"/>
          <w:tab w:val="left" w:pos="1260"/>
          <w:tab w:val="left" w:pos="147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关于保密</w:t>
      </w:r>
    </w:p>
    <w:p w14:paraId="295A31E6">
      <w:pPr>
        <w:numPr>
          <w:ilvl w:val="0"/>
          <w:numId w:val="16"/>
        </w:numPr>
        <w:tabs>
          <w:tab w:val="left" w:pos="0"/>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评标委员会成员和与评标活动有关的工作人员不得透露对投标文件的评审和比较、中标候选人的推荐情况以及评标有关的其他情况。</w:t>
      </w:r>
    </w:p>
    <w:p w14:paraId="322C6D92">
      <w:pPr>
        <w:numPr>
          <w:ilvl w:val="0"/>
          <w:numId w:val="16"/>
        </w:numPr>
        <w:tabs>
          <w:tab w:val="left" w:pos="0"/>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前款所称与评标活动有关的工作人员，是指评标委员会成员以外的因参与评标监督工作或者事务性工作而知悉有关评标情况的所有人员。</w:t>
      </w:r>
    </w:p>
    <w:p w14:paraId="043CCD6C">
      <w:pPr>
        <w:numPr>
          <w:ilvl w:val="1"/>
          <w:numId w:val="15"/>
        </w:numPr>
        <w:tabs>
          <w:tab w:val="left" w:pos="630"/>
          <w:tab w:val="left" w:pos="840"/>
          <w:tab w:val="clear" w:pos="567"/>
        </w:tabs>
        <w:spacing w:line="360" w:lineRule="auto"/>
        <w:ind w:left="105" w:firstLine="315"/>
        <w:rPr>
          <w:rFonts w:hint="eastAsia" w:ascii="宋体" w:hAnsi="宋体" w:eastAsia="宋体" w:cs="宋体"/>
          <w:color w:val="auto"/>
          <w:highlight w:val="none"/>
        </w:rPr>
      </w:pPr>
      <w:r>
        <w:rPr>
          <w:rFonts w:hint="eastAsia" w:ascii="宋体" w:hAnsi="宋体" w:eastAsia="宋体" w:cs="宋体"/>
          <w:color w:val="auto"/>
          <w:highlight w:val="none"/>
        </w:rPr>
        <w:t>罚则</w:t>
      </w:r>
    </w:p>
    <w:p w14:paraId="04F0486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（1）评标委员会成员在评标过程中擅离职守，影响评标程序正常进行，或者在评标过程中不能客观公正地履行职责的，一经核实，取消担任评标委员会成员的资格，并报有关部门经予法律追究和查处。</w:t>
      </w:r>
    </w:p>
    <w:p w14:paraId="7FBAE1B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2</w:t>
      </w:r>
      <w:r>
        <w:rPr>
          <w:rFonts w:hint="eastAsia" w:ascii="宋体" w:hAnsi="宋体" w:eastAsia="宋体" w:cs="宋体"/>
          <w:color w:val="auto"/>
          <w:szCs w:val="22"/>
          <w:highlight w:val="none"/>
        </w:rPr>
        <w:t>）评标委员会成员收受投标人、其他利害关系人的财物或者其他好处的，评标委员会成员或者与评标活动有关的工作人员向他人透露对投标文件的评审和比较、中标候选人的推荐以及与评标有关的其他情况的，一经核实，报有关部门经予法律追究和查处。</w:t>
      </w:r>
    </w:p>
    <w:p w14:paraId="00D7584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2"/>
          <w:highlight w:val="none"/>
        </w:rPr>
      </w:pPr>
    </w:p>
    <w:p w14:paraId="1953D5BB">
      <w:pPr>
        <w:pStyle w:val="2"/>
        <w:numPr>
          <w:ilvl w:val="0"/>
          <w:numId w:val="15"/>
        </w:numPr>
        <w:spacing w:before="120" w:after="120" w:line="360" w:lineRule="auto"/>
        <w:rPr>
          <w:rFonts w:hint="eastAsia" w:ascii="宋体" w:hAnsi="宋体" w:eastAsia="宋体" w:cs="宋体"/>
          <w:color w:val="auto"/>
          <w:sz w:val="28"/>
          <w:szCs w:val="28"/>
          <w:highlight w:val="none"/>
        </w:rPr>
      </w:pPr>
      <w:bookmarkStart w:id="149" w:name="_Toc477186338"/>
      <w:bookmarkStart w:id="150" w:name="_Toc16705_WPSOffice_Level1"/>
      <w:bookmarkStart w:id="151" w:name="_Toc477185977"/>
      <w:bookmarkStart w:id="152" w:name="_Toc22791_WPSOffice_Level1"/>
      <w:bookmarkStart w:id="153" w:name="_Toc29737"/>
      <w:bookmarkStart w:id="154" w:name="_Toc476177440"/>
      <w:bookmarkStart w:id="155" w:name="_Toc4691_WPSOffice_Level1"/>
      <w:bookmarkStart w:id="156" w:name="_Toc476178000"/>
      <w:r>
        <w:rPr>
          <w:rFonts w:hint="eastAsia" w:ascii="宋体" w:hAnsi="宋体" w:eastAsia="宋体" w:cs="宋体"/>
          <w:color w:val="auto"/>
          <w:sz w:val="28"/>
          <w:szCs w:val="28"/>
          <w:highlight w:val="none"/>
        </w:rPr>
        <w:t>评标委员会</w:t>
      </w:r>
      <w:bookmarkEnd w:id="149"/>
      <w:bookmarkEnd w:id="150"/>
      <w:bookmarkEnd w:id="151"/>
      <w:bookmarkEnd w:id="152"/>
      <w:bookmarkEnd w:id="153"/>
      <w:bookmarkEnd w:id="154"/>
      <w:bookmarkEnd w:id="155"/>
      <w:bookmarkEnd w:id="156"/>
    </w:p>
    <w:p w14:paraId="2BA43CE8">
      <w:pPr>
        <w:numPr>
          <w:ilvl w:val="1"/>
          <w:numId w:val="15"/>
        </w:numPr>
        <w:tabs>
          <w:tab w:val="left" w:pos="0"/>
          <w:tab w:val="left" w:pos="84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招标人和招标代理依照《中华人民共和国招投标法》、《中华人民共和国招标投标法实施条例》组建本项目评标委员会。评标委员会成员由技术、经济等方面的专家共5人组成。评标委员会成员享有同等的表决权。</w:t>
      </w:r>
    </w:p>
    <w:p w14:paraId="6A076146">
      <w:pPr>
        <w:numPr>
          <w:ilvl w:val="1"/>
          <w:numId w:val="15"/>
        </w:numPr>
        <w:tabs>
          <w:tab w:val="left" w:pos="0"/>
          <w:tab w:val="left" w:pos="84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评标委员会依据招标文件的规定对各投标文件进行评审，得出评标结果，提交评标报告。</w:t>
      </w:r>
    </w:p>
    <w:p w14:paraId="02AD67F8">
      <w:pPr>
        <w:numPr>
          <w:ilvl w:val="1"/>
          <w:numId w:val="15"/>
        </w:numPr>
        <w:tabs>
          <w:tab w:val="left" w:pos="0"/>
          <w:tab w:val="left" w:pos="84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评标委员会经评审，认为所有投标都不符合招标文件要求的，可以否决所有投标。</w:t>
      </w:r>
    </w:p>
    <w:p w14:paraId="53D32478">
      <w:pPr>
        <w:spacing w:line="360" w:lineRule="auto"/>
        <w:rPr>
          <w:rFonts w:hint="eastAsia" w:ascii="宋体" w:hAnsi="宋体" w:eastAsia="宋体" w:cs="宋体"/>
          <w:color w:val="auto"/>
          <w:highlight w:val="none"/>
        </w:rPr>
      </w:pPr>
    </w:p>
    <w:p w14:paraId="13BC1F5F">
      <w:pPr>
        <w:pStyle w:val="2"/>
        <w:numPr>
          <w:ilvl w:val="0"/>
          <w:numId w:val="15"/>
        </w:numPr>
        <w:spacing w:before="120" w:after="120" w:line="360" w:lineRule="auto"/>
        <w:rPr>
          <w:rFonts w:hint="eastAsia" w:ascii="宋体" w:hAnsi="宋体" w:eastAsia="宋体" w:cs="宋体"/>
          <w:color w:val="auto"/>
          <w:sz w:val="28"/>
          <w:szCs w:val="28"/>
          <w:highlight w:val="none"/>
        </w:rPr>
      </w:pPr>
      <w:bookmarkStart w:id="157" w:name="_Toc477186339"/>
      <w:bookmarkStart w:id="158" w:name="_Toc99012606"/>
      <w:bookmarkStart w:id="159" w:name="_Toc476178001"/>
      <w:bookmarkStart w:id="160" w:name="_Toc16217_WPSOffice_Level1"/>
      <w:bookmarkStart w:id="161" w:name="_Toc477185978"/>
      <w:bookmarkStart w:id="162" w:name="_Toc476177441"/>
      <w:bookmarkStart w:id="163" w:name="_Toc16947_WPSOffice_Level1"/>
      <w:bookmarkStart w:id="164" w:name="_Toc29107_WPSOffice_Level1"/>
      <w:bookmarkStart w:id="165" w:name="_Toc5758"/>
      <w:r>
        <w:rPr>
          <w:rFonts w:hint="eastAsia" w:ascii="宋体" w:hAnsi="宋体" w:eastAsia="宋体" w:cs="宋体"/>
          <w:color w:val="auto"/>
          <w:sz w:val="28"/>
          <w:szCs w:val="28"/>
          <w:highlight w:val="none"/>
        </w:rPr>
        <w:t>投标文件的澄清</w:t>
      </w:r>
      <w:bookmarkEnd w:id="157"/>
      <w:bookmarkEnd w:id="158"/>
      <w:bookmarkEnd w:id="159"/>
      <w:bookmarkEnd w:id="160"/>
      <w:bookmarkEnd w:id="161"/>
      <w:bookmarkEnd w:id="162"/>
      <w:bookmarkEnd w:id="163"/>
      <w:bookmarkEnd w:id="164"/>
      <w:bookmarkEnd w:id="165"/>
    </w:p>
    <w:p w14:paraId="20843950">
      <w:pPr>
        <w:numPr>
          <w:ilvl w:val="1"/>
          <w:numId w:val="15"/>
        </w:numPr>
        <w:tabs>
          <w:tab w:val="left" w:pos="0"/>
          <w:tab w:val="left" w:pos="420"/>
          <w:tab w:val="left" w:pos="630"/>
          <w:tab w:val="left" w:pos="84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除评标委员会主动要求澄清外，从开标后至授予合同期间，任何投标人均不得就与其投标相关的任何问题与评标委员会联系。</w:t>
      </w:r>
    </w:p>
    <w:p w14:paraId="320218DC">
      <w:pPr>
        <w:numPr>
          <w:ilvl w:val="1"/>
          <w:numId w:val="15"/>
        </w:numPr>
        <w:tabs>
          <w:tab w:val="left" w:pos="0"/>
          <w:tab w:val="left" w:pos="420"/>
          <w:tab w:val="left" w:pos="630"/>
          <w:tab w:val="left" w:pos="84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为有利评标，在开标后，可随时请投标人就投标文件中某点加以澄清，澄清的内容不得对投标文件作实质性修改。以书面形式表达并加盖公章的答复经评标委员会认可后，可作为投标文件的一部分参与评标。</w:t>
      </w:r>
    </w:p>
    <w:p w14:paraId="45EE0FA6">
      <w:pPr>
        <w:spacing w:line="360" w:lineRule="auto"/>
        <w:rPr>
          <w:rFonts w:hint="eastAsia" w:ascii="宋体" w:hAnsi="宋体" w:eastAsia="宋体" w:cs="宋体"/>
          <w:color w:val="auto"/>
          <w:highlight w:val="none"/>
        </w:rPr>
      </w:pPr>
    </w:p>
    <w:p w14:paraId="593A7E7D">
      <w:pPr>
        <w:pStyle w:val="2"/>
        <w:numPr>
          <w:ilvl w:val="0"/>
          <w:numId w:val="15"/>
        </w:numPr>
        <w:spacing w:before="120" w:after="120" w:line="360" w:lineRule="auto"/>
        <w:rPr>
          <w:rFonts w:hint="eastAsia" w:ascii="宋体" w:hAnsi="宋体" w:eastAsia="宋体" w:cs="宋体"/>
          <w:color w:val="auto"/>
          <w:sz w:val="28"/>
          <w:szCs w:val="28"/>
          <w:highlight w:val="none"/>
        </w:rPr>
      </w:pPr>
      <w:bookmarkStart w:id="166" w:name="_Toc13231_WPSOffice_Level1"/>
      <w:bookmarkStart w:id="167" w:name="_Toc477186340"/>
      <w:bookmarkStart w:id="168" w:name="_Toc476177442"/>
      <w:bookmarkStart w:id="169" w:name="_Toc477185979"/>
      <w:bookmarkStart w:id="170" w:name="_Toc99012607"/>
      <w:bookmarkStart w:id="171" w:name="_Toc26707_WPSOffice_Level1"/>
      <w:bookmarkStart w:id="172" w:name="_Toc1722_WPSOffice_Level1"/>
      <w:bookmarkStart w:id="173" w:name="_Toc1790"/>
      <w:bookmarkStart w:id="174" w:name="_Toc476178002"/>
      <w:r>
        <w:rPr>
          <w:rFonts w:hint="eastAsia" w:ascii="宋体" w:hAnsi="宋体" w:eastAsia="宋体" w:cs="宋体"/>
          <w:color w:val="auto"/>
          <w:sz w:val="28"/>
          <w:szCs w:val="28"/>
          <w:highlight w:val="none"/>
        </w:rPr>
        <w:t>评标原则和评标办法</w:t>
      </w:r>
      <w:bookmarkEnd w:id="166"/>
      <w:bookmarkEnd w:id="167"/>
      <w:bookmarkEnd w:id="168"/>
      <w:bookmarkEnd w:id="169"/>
      <w:bookmarkEnd w:id="170"/>
      <w:bookmarkEnd w:id="171"/>
      <w:bookmarkEnd w:id="172"/>
      <w:bookmarkEnd w:id="173"/>
      <w:bookmarkEnd w:id="174"/>
    </w:p>
    <w:p w14:paraId="77D6B4F1">
      <w:pPr>
        <w:numPr>
          <w:ilvl w:val="1"/>
          <w:numId w:val="15"/>
        </w:numPr>
        <w:tabs>
          <w:tab w:val="left" w:pos="0"/>
          <w:tab w:val="left" w:pos="420"/>
          <w:tab w:val="left" w:pos="630"/>
          <w:tab w:val="left" w:pos="84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评标工作应依据《中华人民共和国招标投标法》《中华人民共和国招标投标法实施条例》以及《评标委员会和评标方法暂行规定》以及国家和地方政府有关招标投标法规、实施办法的有关规定，遵循“公平、公正、科学、择优”的原则进行评标。</w:t>
      </w:r>
    </w:p>
    <w:p w14:paraId="78436DF1">
      <w:pPr>
        <w:numPr>
          <w:ilvl w:val="1"/>
          <w:numId w:val="15"/>
        </w:numPr>
        <w:tabs>
          <w:tab w:val="left" w:pos="0"/>
          <w:tab w:val="left" w:pos="420"/>
          <w:tab w:val="left" w:pos="630"/>
          <w:tab w:val="left" w:pos="840"/>
          <w:tab w:val="clear" w:pos="567"/>
        </w:tabs>
        <w:spacing w:line="360" w:lineRule="auto"/>
        <w:ind w:left="0" w:firstLine="420"/>
        <w:rPr>
          <w:rFonts w:hint="eastAsia" w:ascii="宋体" w:hAnsi="宋体" w:eastAsia="宋体" w:cs="宋体"/>
          <w:color w:val="auto"/>
          <w:highlight w:val="none"/>
        </w:rPr>
      </w:pPr>
      <w:r>
        <w:rPr>
          <w:rFonts w:hint="eastAsia" w:ascii="宋体" w:hAnsi="宋体" w:eastAsia="宋体" w:cs="宋体"/>
          <w:color w:val="auto"/>
          <w:highlight w:val="none"/>
        </w:rPr>
        <w:t>本次招标采用综合评分法，即评标委员会对各投标进行综合评价，根据评标细则的规定分别进行打分，统计得出评标结果，将评标结果写出评标报告。所有的评审资料及评分结果统计均须经评标委员会核实并签名确认。</w:t>
      </w:r>
    </w:p>
    <w:p w14:paraId="4F5626BA">
      <w:pPr>
        <w:numPr>
          <w:ilvl w:val="1"/>
          <w:numId w:val="15"/>
        </w:numPr>
        <w:tabs>
          <w:tab w:val="left" w:pos="945"/>
        </w:tabs>
        <w:spacing w:line="360" w:lineRule="auto"/>
        <w:ind w:left="0"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评标委员会将按照规定只对通过初步评审的投标文件进行评价和比较。评标委员会有权根据有关规定否决所有投标。评标委员会不直接向落标方解释落标原因，不退回投标文件。</w:t>
      </w:r>
    </w:p>
    <w:p w14:paraId="2430847C">
      <w:pPr>
        <w:numPr>
          <w:ilvl w:val="1"/>
          <w:numId w:val="15"/>
        </w:numPr>
        <w:tabs>
          <w:tab w:val="left" w:pos="945"/>
        </w:tabs>
        <w:spacing w:line="360" w:lineRule="auto"/>
        <w:ind w:left="0"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评标方法</w:t>
      </w:r>
    </w:p>
    <w:p w14:paraId="0B7DEFC1">
      <w:pPr>
        <w:tabs>
          <w:tab w:val="left" w:pos="945"/>
        </w:tabs>
        <w:spacing w:line="360" w:lineRule="auto"/>
        <w:ind w:firstLine="525" w:firstLineChars="250"/>
        <w:rPr>
          <w:rFonts w:hint="eastAsia" w:ascii="宋体" w:hAnsi="宋体" w:eastAsia="宋体" w:cs="宋体"/>
          <w:b/>
          <w:color w:val="auto"/>
          <w:highlight w:val="none"/>
        </w:rPr>
      </w:pPr>
      <w:r>
        <w:rPr>
          <w:rFonts w:hint="eastAsia" w:ascii="宋体" w:hAnsi="宋体" w:eastAsia="宋体" w:cs="宋体"/>
          <w:color w:val="auto"/>
          <w:highlight w:val="none"/>
        </w:rPr>
        <w:t>5.4.1  本评标办法采用综合评分法。</w:t>
      </w:r>
    </w:p>
    <w:p w14:paraId="3D5FFC0B">
      <w:pPr>
        <w:tabs>
          <w:tab w:val="left" w:pos="945"/>
        </w:tabs>
        <w:spacing w:line="360" w:lineRule="auto"/>
        <w:ind w:left="-23" w:leftChars="-11" w:firstLine="527" w:firstLineChars="250"/>
        <w:rPr>
          <w:rFonts w:hint="eastAsia" w:ascii="宋体" w:hAnsi="宋体"/>
          <w:color w:val="auto"/>
          <w:highlight w:val="none"/>
        </w:rPr>
      </w:pPr>
      <w:r>
        <w:rPr>
          <w:rFonts w:ascii="宋体" w:hAnsi="宋体"/>
          <w:b/>
          <w:bCs/>
          <w:color w:val="auto"/>
          <w:highlight w:val="none"/>
        </w:rPr>
        <w:t>5.4.2  评标步骤：先进行</w:t>
      </w:r>
      <w:r>
        <w:rPr>
          <w:rFonts w:hint="eastAsia" w:ascii="宋体" w:hAnsi="宋体"/>
          <w:b/>
          <w:bCs/>
          <w:color w:val="auto"/>
          <w:highlight w:val="none"/>
          <w:lang w:val="en-US" w:eastAsia="zh-CN"/>
        </w:rPr>
        <w:t>资格审查及商务技术符合性审查（阶段一）</w:t>
      </w:r>
      <w:r>
        <w:rPr>
          <w:rFonts w:ascii="宋体" w:hAnsi="宋体"/>
          <w:b/>
          <w:bCs/>
          <w:color w:val="auto"/>
          <w:highlight w:val="none"/>
        </w:rPr>
        <w:t>评审(见附表1)，再进行技术商务的详细评审。只有通过</w:t>
      </w:r>
      <w:r>
        <w:rPr>
          <w:rFonts w:hint="eastAsia" w:ascii="宋体" w:hAnsi="宋体"/>
          <w:b/>
          <w:bCs/>
          <w:color w:val="auto"/>
          <w:highlight w:val="none"/>
          <w:lang w:val="en-US" w:eastAsia="zh-CN"/>
        </w:rPr>
        <w:t>资格审查及商务技术符合性审查</w:t>
      </w:r>
      <w:r>
        <w:rPr>
          <w:rFonts w:ascii="宋体" w:hAnsi="宋体"/>
          <w:b/>
          <w:bCs/>
          <w:color w:val="auto"/>
          <w:highlight w:val="none"/>
        </w:rPr>
        <w:t>的投标才能进入</w:t>
      </w:r>
      <w:r>
        <w:rPr>
          <w:rFonts w:hint="eastAsia" w:ascii="宋体" w:hAnsi="宋体"/>
          <w:b/>
          <w:bCs/>
          <w:color w:val="auto"/>
          <w:highlight w:val="none"/>
          <w:lang w:val="en-US" w:eastAsia="zh-CN"/>
        </w:rPr>
        <w:t>商务和技术的</w:t>
      </w:r>
      <w:r>
        <w:rPr>
          <w:rFonts w:ascii="宋体" w:hAnsi="宋体"/>
          <w:b/>
          <w:bCs/>
          <w:color w:val="auto"/>
          <w:highlight w:val="none"/>
        </w:rPr>
        <w:t>详细评审。</w:t>
      </w:r>
    </w:p>
    <w:p w14:paraId="489E8845">
      <w:pPr>
        <w:tabs>
          <w:tab w:val="left" w:pos="945"/>
        </w:tabs>
        <w:spacing w:line="360" w:lineRule="auto"/>
        <w:ind w:left="-23" w:leftChars="-11" w:firstLine="527" w:firstLineChars="250"/>
        <w:rPr>
          <w:rFonts w:hint="default" w:ascii="宋体" w:hAnsi="宋体" w:eastAsia="宋体"/>
          <w:color w:val="auto"/>
          <w:highlight w:val="none"/>
          <w:lang w:val="en-US" w:eastAsia="zh-CN"/>
        </w:rPr>
      </w:pPr>
      <w:r>
        <w:rPr>
          <w:rFonts w:ascii="宋体" w:hAnsi="宋体"/>
          <w:b/>
          <w:bCs/>
          <w:color w:val="auto"/>
          <w:highlight w:val="none"/>
        </w:rPr>
        <w:t xml:space="preserve">5.4.3  </w:t>
      </w:r>
      <w:r>
        <w:rPr>
          <w:rFonts w:hint="eastAsia" w:ascii="宋体" w:hAnsi="宋体"/>
          <w:b/>
          <w:bCs/>
          <w:color w:val="auto"/>
          <w:highlight w:val="none"/>
          <w:lang w:val="en-US" w:eastAsia="zh-CN"/>
        </w:rPr>
        <w:t>若通过资格审查及商务技术符合性审查（阶段一）的投标人不足三家，则本项目招标失败。</w:t>
      </w:r>
    </w:p>
    <w:p w14:paraId="01AD8F65">
      <w:pPr>
        <w:tabs>
          <w:tab w:val="left" w:pos="945"/>
        </w:tabs>
        <w:spacing w:line="360" w:lineRule="auto"/>
        <w:ind w:left="-23" w:leftChars="-11" w:firstLine="525" w:firstLineChars="250"/>
        <w:rPr>
          <w:rFonts w:hint="eastAsia" w:ascii="宋体" w:hAnsi="宋体"/>
          <w:color w:val="auto"/>
          <w:highlight w:val="none"/>
        </w:rPr>
      </w:pPr>
      <w:r>
        <w:rPr>
          <w:rFonts w:hint="eastAsia" w:ascii="宋体" w:hAnsi="宋体"/>
          <w:color w:val="auto"/>
          <w:highlight w:val="none"/>
          <w:lang w:val="en-US" w:eastAsia="zh-CN"/>
        </w:rPr>
        <w:t>5.4.4  商务和技术的</w:t>
      </w:r>
      <w:r>
        <w:rPr>
          <w:rFonts w:ascii="宋体" w:hAnsi="宋体"/>
          <w:color w:val="auto"/>
          <w:highlight w:val="none"/>
        </w:rPr>
        <w:t>评分及其统计：按照评标程序、评分标准以及权重分配的规定，评标委员会各成员分别首先就各个投标人的技术</w:t>
      </w:r>
      <w:r>
        <w:rPr>
          <w:rFonts w:hint="eastAsia" w:ascii="宋体" w:hAnsi="宋体"/>
          <w:color w:val="auto"/>
          <w:highlight w:val="none"/>
        </w:rPr>
        <w:t>、</w:t>
      </w:r>
      <w:r>
        <w:rPr>
          <w:rFonts w:ascii="宋体" w:hAnsi="宋体"/>
          <w:color w:val="auto"/>
          <w:highlight w:val="none"/>
        </w:rPr>
        <w:t>商务状况及其对招标文件要求的响应情况进行评议和比较，评出其技术评分和商务评分</w:t>
      </w:r>
      <w:r>
        <w:rPr>
          <w:rFonts w:hint="eastAsia" w:ascii="宋体" w:hAnsi="宋体"/>
          <w:color w:val="auto"/>
          <w:highlight w:val="none"/>
        </w:rPr>
        <w:t>。</w:t>
      </w:r>
    </w:p>
    <w:p w14:paraId="4485820F">
      <w:pPr>
        <w:tabs>
          <w:tab w:val="left" w:pos="945"/>
        </w:tabs>
        <w:spacing w:line="360" w:lineRule="auto"/>
        <w:ind w:left="-23" w:leftChars="-11" w:firstLine="525" w:firstLineChars="250"/>
        <w:rPr>
          <w:rFonts w:hint="eastAsia" w:ascii="宋体" w:hAnsi="宋体"/>
          <w:color w:val="auto"/>
          <w:highlight w:val="none"/>
        </w:rPr>
      </w:pPr>
      <w:r>
        <w:rPr>
          <w:rFonts w:ascii="宋体" w:hAnsi="宋体"/>
          <w:color w:val="auto"/>
          <w:highlight w:val="none"/>
        </w:rPr>
        <w:t>5.4.</w:t>
      </w:r>
      <w:r>
        <w:rPr>
          <w:rFonts w:hint="eastAsia" w:ascii="宋体" w:hAnsi="宋体"/>
          <w:color w:val="auto"/>
          <w:highlight w:val="none"/>
          <w:lang w:val="en-US" w:eastAsia="zh-CN"/>
        </w:rPr>
        <w:t>5</w:t>
      </w:r>
      <w:r>
        <w:rPr>
          <w:rFonts w:ascii="宋体" w:hAnsi="宋体"/>
          <w:color w:val="auto"/>
          <w:highlight w:val="none"/>
        </w:rPr>
        <w:t xml:space="preserve">  技术评分</w:t>
      </w:r>
      <w:r>
        <w:rPr>
          <w:rFonts w:hint="eastAsia" w:ascii="宋体" w:hAnsi="宋体"/>
          <w:color w:val="auto"/>
          <w:highlight w:val="none"/>
        </w:rPr>
        <w:t>：</w:t>
      </w:r>
      <w:r>
        <w:rPr>
          <w:rFonts w:ascii="宋体" w:hAnsi="宋体"/>
          <w:color w:val="auto"/>
          <w:highlight w:val="none"/>
        </w:rPr>
        <w:t>汇集每一位评委的评分，进行算术平均，得出该投标人的</w:t>
      </w:r>
      <w:r>
        <w:rPr>
          <w:rFonts w:hint="eastAsia" w:ascii="宋体" w:hAnsi="宋体"/>
          <w:color w:val="auto"/>
          <w:highlight w:val="none"/>
        </w:rPr>
        <w:t>技术</w:t>
      </w:r>
      <w:r>
        <w:rPr>
          <w:rFonts w:ascii="宋体" w:hAnsi="宋体"/>
          <w:color w:val="auto"/>
          <w:highlight w:val="none"/>
        </w:rPr>
        <w:t>得分</w:t>
      </w:r>
      <w:r>
        <w:rPr>
          <w:rFonts w:hint="eastAsia" w:ascii="宋体" w:hAnsi="宋体"/>
          <w:color w:val="auto"/>
          <w:highlight w:val="none"/>
        </w:rPr>
        <w:t>（四舍五入，取小数点后两位）。</w:t>
      </w:r>
    </w:p>
    <w:p w14:paraId="1C43F9E1">
      <w:pPr>
        <w:tabs>
          <w:tab w:val="left" w:pos="945"/>
        </w:tabs>
        <w:spacing w:line="360" w:lineRule="auto"/>
        <w:ind w:left="-23" w:leftChars="-11" w:firstLine="525" w:firstLineChars="250"/>
        <w:rPr>
          <w:rFonts w:hint="eastAsia" w:ascii="宋体" w:hAnsi="宋体"/>
          <w:color w:val="auto"/>
          <w:highlight w:val="none"/>
        </w:rPr>
      </w:pPr>
      <w:r>
        <w:rPr>
          <w:rFonts w:ascii="宋体" w:hAnsi="宋体"/>
          <w:color w:val="auto"/>
          <w:highlight w:val="none"/>
        </w:rPr>
        <w:t>5.4.</w:t>
      </w:r>
      <w:r>
        <w:rPr>
          <w:rFonts w:hint="eastAsia" w:ascii="宋体" w:hAnsi="宋体"/>
          <w:color w:val="auto"/>
          <w:highlight w:val="none"/>
          <w:lang w:val="en-US" w:eastAsia="zh-CN"/>
        </w:rPr>
        <w:t>6</w:t>
      </w:r>
      <w:r>
        <w:rPr>
          <w:rFonts w:ascii="宋体" w:hAnsi="宋体"/>
          <w:color w:val="auto"/>
          <w:highlight w:val="none"/>
        </w:rPr>
        <w:t xml:space="preserve">  商务评分</w:t>
      </w:r>
      <w:r>
        <w:rPr>
          <w:rFonts w:hint="eastAsia" w:ascii="宋体" w:hAnsi="宋体"/>
          <w:color w:val="auto"/>
          <w:highlight w:val="none"/>
        </w:rPr>
        <w:t>：</w:t>
      </w:r>
      <w:r>
        <w:rPr>
          <w:rFonts w:ascii="宋体" w:hAnsi="宋体"/>
          <w:color w:val="auto"/>
          <w:highlight w:val="none"/>
        </w:rPr>
        <w:t>汇集每一位评委的评分，进行算术平均，得出该投标人的</w:t>
      </w:r>
      <w:r>
        <w:rPr>
          <w:rFonts w:hint="eastAsia" w:ascii="宋体" w:hAnsi="宋体"/>
          <w:color w:val="auto"/>
          <w:highlight w:val="none"/>
        </w:rPr>
        <w:t>商务</w:t>
      </w:r>
      <w:r>
        <w:rPr>
          <w:rFonts w:ascii="宋体" w:hAnsi="宋体"/>
          <w:color w:val="auto"/>
          <w:highlight w:val="none"/>
        </w:rPr>
        <w:t>得分</w:t>
      </w:r>
      <w:r>
        <w:rPr>
          <w:rFonts w:hint="eastAsia" w:ascii="宋体" w:hAnsi="宋体"/>
          <w:color w:val="auto"/>
          <w:highlight w:val="none"/>
        </w:rPr>
        <w:t>（四舍五入，取小数点后两位）</w:t>
      </w:r>
    </w:p>
    <w:p w14:paraId="728FA05E">
      <w:pPr>
        <w:tabs>
          <w:tab w:val="left" w:pos="945"/>
        </w:tabs>
        <w:spacing w:line="360" w:lineRule="auto"/>
        <w:ind w:left="-23" w:leftChars="-11" w:firstLine="527" w:firstLineChars="250"/>
        <w:rPr>
          <w:rFonts w:hint="eastAsia" w:ascii="宋体" w:hAnsi="宋体"/>
          <w:b/>
          <w:bCs/>
          <w:color w:val="auto"/>
          <w:highlight w:val="none"/>
          <w:lang w:val="en-US" w:eastAsia="zh-CN"/>
        </w:rPr>
      </w:pPr>
      <w:r>
        <w:rPr>
          <w:rFonts w:ascii="宋体" w:hAnsi="宋体"/>
          <w:b/>
          <w:bCs/>
          <w:color w:val="auto"/>
          <w:highlight w:val="none"/>
        </w:rPr>
        <w:t>5.4.</w:t>
      </w:r>
      <w:r>
        <w:rPr>
          <w:rFonts w:hint="eastAsia" w:ascii="宋体" w:hAnsi="宋体"/>
          <w:b/>
          <w:bCs/>
          <w:color w:val="auto"/>
          <w:highlight w:val="none"/>
          <w:lang w:val="en-US" w:eastAsia="zh-CN"/>
        </w:rPr>
        <w:t>7</w:t>
      </w:r>
      <w:r>
        <w:rPr>
          <w:rFonts w:ascii="宋体" w:hAnsi="宋体"/>
          <w:b/>
          <w:bCs/>
          <w:color w:val="auto"/>
          <w:highlight w:val="none"/>
        </w:rPr>
        <w:t xml:space="preserve">  </w:t>
      </w:r>
      <w:r>
        <w:rPr>
          <w:rFonts w:hint="eastAsia" w:ascii="宋体" w:hAnsi="宋体"/>
          <w:b/>
          <w:bCs/>
          <w:color w:val="auto"/>
          <w:highlight w:val="none"/>
          <w:lang w:val="en-US" w:eastAsia="zh-CN"/>
        </w:rPr>
        <w:t>评标委员会汇总整理所有投标人的商务得分及技术得分后，然后对投标人进行价格符合性审查（阶段二）</w:t>
      </w:r>
      <w:r>
        <w:rPr>
          <w:rFonts w:ascii="宋体" w:hAnsi="宋体"/>
          <w:b/>
          <w:bCs/>
          <w:color w:val="auto"/>
          <w:highlight w:val="none"/>
        </w:rPr>
        <w:t>(见附表</w:t>
      </w:r>
      <w:r>
        <w:rPr>
          <w:rFonts w:hint="eastAsia" w:ascii="宋体" w:hAnsi="宋体"/>
          <w:b/>
          <w:bCs/>
          <w:color w:val="auto"/>
          <w:highlight w:val="none"/>
          <w:lang w:val="en-US" w:eastAsia="zh-CN"/>
        </w:rPr>
        <w:t>4），</w:t>
      </w:r>
      <w:r>
        <w:rPr>
          <w:rFonts w:ascii="宋体" w:hAnsi="宋体"/>
          <w:b/>
          <w:bCs/>
          <w:color w:val="auto"/>
          <w:highlight w:val="none"/>
        </w:rPr>
        <w:t>再进行</w:t>
      </w:r>
      <w:r>
        <w:rPr>
          <w:rFonts w:hint="eastAsia" w:ascii="宋体" w:hAnsi="宋体"/>
          <w:b/>
          <w:bCs/>
          <w:color w:val="auto"/>
          <w:highlight w:val="none"/>
          <w:lang w:val="en-US" w:eastAsia="zh-CN"/>
        </w:rPr>
        <w:t>价格</w:t>
      </w:r>
      <w:r>
        <w:rPr>
          <w:rFonts w:ascii="宋体" w:hAnsi="宋体"/>
          <w:b/>
          <w:bCs/>
          <w:color w:val="auto"/>
          <w:highlight w:val="none"/>
        </w:rPr>
        <w:t>的详细评审。只有通过</w:t>
      </w:r>
      <w:r>
        <w:rPr>
          <w:rFonts w:hint="eastAsia" w:ascii="宋体" w:hAnsi="宋体"/>
          <w:b/>
          <w:bCs/>
          <w:color w:val="auto"/>
          <w:highlight w:val="none"/>
          <w:lang w:val="en-US" w:eastAsia="zh-CN"/>
        </w:rPr>
        <w:t>价格符合性审查</w:t>
      </w:r>
      <w:r>
        <w:rPr>
          <w:rFonts w:ascii="宋体" w:hAnsi="宋体"/>
          <w:b/>
          <w:bCs/>
          <w:color w:val="auto"/>
          <w:highlight w:val="none"/>
        </w:rPr>
        <w:t>的投标才能进入</w:t>
      </w:r>
      <w:r>
        <w:rPr>
          <w:rFonts w:hint="eastAsia" w:ascii="宋体" w:hAnsi="宋体"/>
          <w:b/>
          <w:bCs/>
          <w:color w:val="auto"/>
          <w:highlight w:val="none"/>
          <w:lang w:val="en-US" w:eastAsia="zh-CN"/>
        </w:rPr>
        <w:t>价格的</w:t>
      </w:r>
      <w:r>
        <w:rPr>
          <w:rFonts w:ascii="宋体" w:hAnsi="宋体"/>
          <w:b/>
          <w:bCs/>
          <w:color w:val="auto"/>
          <w:highlight w:val="none"/>
        </w:rPr>
        <w:t>详细评审</w:t>
      </w:r>
      <w:r>
        <w:rPr>
          <w:rFonts w:hint="eastAsia" w:ascii="宋体" w:hAnsi="宋体"/>
          <w:b/>
          <w:bCs/>
          <w:color w:val="auto"/>
          <w:highlight w:val="none"/>
          <w:lang w:val="en-US" w:eastAsia="zh-CN"/>
        </w:rPr>
        <w:t>。</w:t>
      </w:r>
    </w:p>
    <w:p w14:paraId="2600F706">
      <w:pPr>
        <w:tabs>
          <w:tab w:val="left" w:pos="945"/>
        </w:tabs>
        <w:spacing w:line="360" w:lineRule="auto"/>
        <w:ind w:left="-23" w:leftChars="-11" w:firstLine="527" w:firstLineChars="250"/>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5.4.8  若投标人出现商务评分低于商务得分的60%，评标委员会将否决该投标人的所有投标文件，该投标人也不再进入价格详细评审环节。</w:t>
      </w:r>
    </w:p>
    <w:p w14:paraId="355D91AA">
      <w:pPr>
        <w:tabs>
          <w:tab w:val="left" w:pos="945"/>
        </w:tabs>
        <w:spacing w:line="360" w:lineRule="auto"/>
        <w:ind w:left="-23" w:leftChars="-11" w:firstLine="527" w:firstLineChars="250"/>
        <w:rPr>
          <w:rFonts w:hint="default" w:ascii="宋体" w:hAnsi="宋体" w:eastAsia="宋体"/>
          <w:b/>
          <w:bCs/>
          <w:color w:val="auto"/>
          <w:highlight w:val="none"/>
          <w:lang w:val="en-US" w:eastAsia="zh-CN"/>
        </w:rPr>
      </w:pPr>
      <w:r>
        <w:rPr>
          <w:rFonts w:hint="eastAsia" w:ascii="宋体" w:hAnsi="宋体"/>
          <w:b/>
          <w:bCs/>
          <w:color w:val="auto"/>
          <w:highlight w:val="none"/>
          <w:lang w:val="en-US" w:eastAsia="zh-CN"/>
        </w:rPr>
        <w:t>5.4.9  若通过价格符合性审查（阶段二）的投标人不足三家，则本项目招标失败。</w:t>
      </w:r>
    </w:p>
    <w:p w14:paraId="5E99C8D7">
      <w:pPr>
        <w:tabs>
          <w:tab w:val="left" w:pos="945"/>
        </w:tabs>
        <w:spacing w:line="360" w:lineRule="auto"/>
        <w:ind w:left="-23" w:leftChars="-11" w:firstLine="525" w:firstLineChars="250"/>
        <w:rPr>
          <w:rFonts w:hint="eastAsia" w:ascii="宋体" w:hAnsi="宋体"/>
          <w:color w:val="auto"/>
          <w:highlight w:val="none"/>
        </w:rPr>
      </w:pPr>
      <w:r>
        <w:rPr>
          <w:rFonts w:hint="eastAsia" w:ascii="宋体" w:hAnsi="宋体"/>
          <w:color w:val="auto"/>
          <w:highlight w:val="none"/>
          <w:lang w:val="en-US" w:eastAsia="zh-CN"/>
        </w:rPr>
        <w:t xml:space="preserve">5.4.10  </w:t>
      </w:r>
      <w:r>
        <w:rPr>
          <w:rFonts w:hint="eastAsia" w:ascii="宋体" w:hAnsi="宋体"/>
          <w:color w:val="auto"/>
          <w:highlight w:val="none"/>
        </w:rPr>
        <w:t>价格</w:t>
      </w:r>
      <w:r>
        <w:rPr>
          <w:rFonts w:ascii="宋体" w:hAnsi="宋体"/>
          <w:color w:val="auto"/>
          <w:highlight w:val="none"/>
        </w:rPr>
        <w:t>评分</w:t>
      </w:r>
      <w:r>
        <w:rPr>
          <w:rFonts w:hint="eastAsia" w:ascii="宋体" w:hAnsi="宋体"/>
          <w:color w:val="auto"/>
          <w:highlight w:val="none"/>
          <w:lang w:val="en-US" w:eastAsia="zh-CN"/>
        </w:rPr>
        <w:t>的评分及统计</w:t>
      </w:r>
      <w:r>
        <w:rPr>
          <w:rFonts w:hint="eastAsia" w:ascii="宋体" w:hAnsi="宋体"/>
          <w:color w:val="auto"/>
          <w:highlight w:val="none"/>
        </w:rPr>
        <w:t>：</w:t>
      </w:r>
      <w:r>
        <w:rPr>
          <w:rFonts w:ascii="宋体" w:hAnsi="宋体"/>
          <w:color w:val="auto"/>
          <w:highlight w:val="none"/>
        </w:rPr>
        <w:t>按照评标程序、评分标准以及权重分配的规定，评标委员就各个投标人的</w:t>
      </w:r>
      <w:r>
        <w:rPr>
          <w:rFonts w:hint="eastAsia" w:ascii="宋体" w:hAnsi="宋体"/>
          <w:color w:val="auto"/>
          <w:highlight w:val="none"/>
          <w:lang w:val="en-US" w:eastAsia="zh-CN"/>
        </w:rPr>
        <w:t>价格</w:t>
      </w:r>
      <w:r>
        <w:rPr>
          <w:rFonts w:ascii="宋体" w:hAnsi="宋体"/>
          <w:color w:val="auto"/>
          <w:highlight w:val="none"/>
        </w:rPr>
        <w:t>状况及其对招标文件要求的响应情况进行评议和比较，评出其</w:t>
      </w:r>
      <w:r>
        <w:rPr>
          <w:rFonts w:hint="eastAsia" w:ascii="宋体" w:hAnsi="宋体"/>
          <w:color w:val="auto"/>
          <w:highlight w:val="none"/>
          <w:lang w:val="en-US" w:eastAsia="zh-CN"/>
        </w:rPr>
        <w:t>价格</w:t>
      </w:r>
      <w:r>
        <w:rPr>
          <w:rFonts w:ascii="宋体" w:hAnsi="宋体"/>
          <w:color w:val="auto"/>
          <w:highlight w:val="none"/>
        </w:rPr>
        <w:t>评分</w:t>
      </w:r>
      <w:r>
        <w:rPr>
          <w:rFonts w:hint="eastAsia" w:ascii="宋体" w:hAnsi="宋体"/>
          <w:bCs/>
          <w:color w:val="auto"/>
          <w:highlight w:val="none"/>
        </w:rPr>
        <w:t>。</w:t>
      </w:r>
    </w:p>
    <w:p w14:paraId="40DF8988">
      <w:pPr>
        <w:tabs>
          <w:tab w:val="left" w:pos="945"/>
        </w:tabs>
        <w:spacing w:line="360" w:lineRule="auto"/>
        <w:ind w:left="-23" w:leftChars="-11" w:firstLine="525" w:firstLineChars="250"/>
        <w:rPr>
          <w:rFonts w:hint="eastAsia" w:ascii="宋体" w:hAnsi="宋体" w:eastAsia="宋体" w:cs="宋体"/>
          <w:color w:val="auto"/>
          <w:highlight w:val="none"/>
        </w:rPr>
      </w:pPr>
      <w:r>
        <w:rPr>
          <w:rFonts w:ascii="宋体" w:hAnsi="宋体"/>
          <w:color w:val="auto"/>
          <w:highlight w:val="none"/>
        </w:rPr>
        <w:t>5.4.</w:t>
      </w:r>
      <w:r>
        <w:rPr>
          <w:rFonts w:hint="eastAsia" w:ascii="宋体" w:hAnsi="宋体"/>
          <w:color w:val="auto"/>
          <w:highlight w:val="none"/>
          <w:lang w:val="en-US" w:eastAsia="zh-CN"/>
        </w:rPr>
        <w:t>11</w:t>
      </w:r>
      <w:r>
        <w:rPr>
          <w:rFonts w:ascii="宋体" w:hAnsi="宋体"/>
          <w:color w:val="auto"/>
          <w:highlight w:val="none"/>
        </w:rPr>
        <w:t xml:space="preserve">  </w:t>
      </w:r>
      <w:r>
        <w:rPr>
          <w:rFonts w:hint="eastAsia" w:ascii="宋体" w:hAnsi="宋体"/>
          <w:color w:val="auto"/>
          <w:highlight w:val="none"/>
          <w:lang w:val="en-US" w:eastAsia="zh-CN"/>
        </w:rPr>
        <w:t>评标委员会</w:t>
      </w:r>
      <w:r>
        <w:rPr>
          <w:rFonts w:ascii="宋体" w:hAnsi="宋体"/>
          <w:color w:val="auto"/>
          <w:highlight w:val="none"/>
        </w:rPr>
        <w:t>将各投标人的技术评分</w:t>
      </w:r>
      <w:r>
        <w:rPr>
          <w:rFonts w:hint="eastAsia" w:ascii="宋体" w:hAnsi="宋体"/>
          <w:color w:val="auto"/>
          <w:highlight w:val="none"/>
        </w:rPr>
        <w:t>、</w:t>
      </w:r>
      <w:r>
        <w:rPr>
          <w:rFonts w:ascii="宋体" w:hAnsi="宋体"/>
          <w:color w:val="auto"/>
          <w:highlight w:val="none"/>
        </w:rPr>
        <w:t>商务评分和价格评分相加得出其综合得分。将各综合得分由高到低顺序排列，</w:t>
      </w:r>
      <w:r>
        <w:rPr>
          <w:rFonts w:hint="eastAsia" w:ascii="宋体" w:hAnsi="宋体"/>
          <w:color w:val="auto"/>
          <w:highlight w:val="none"/>
          <w:lang w:val="en-US" w:eastAsia="zh-CN"/>
        </w:rPr>
        <w:t>推荐中标候选人</w:t>
      </w:r>
      <w:r>
        <w:rPr>
          <w:rFonts w:hint="eastAsia" w:ascii="宋体" w:hAnsi="宋体" w:eastAsia="宋体" w:cs="宋体"/>
          <w:color w:val="auto"/>
          <w:highlight w:val="none"/>
        </w:rPr>
        <w:t>。</w:t>
      </w:r>
    </w:p>
    <w:p w14:paraId="7515582C">
      <w:pPr>
        <w:tabs>
          <w:tab w:val="left" w:pos="945"/>
        </w:tabs>
        <w:spacing w:before="124" w:beforeLines="40" w:after="124" w:afterLines="40"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5.5.</w:t>
      </w:r>
      <w:bookmarkStart w:id="175" w:name="_Toc99012608"/>
      <w:r>
        <w:rPr>
          <w:rFonts w:hint="eastAsia" w:ascii="宋体" w:hAnsi="宋体" w:eastAsia="宋体" w:cs="宋体"/>
          <w:color w:val="auto"/>
          <w:szCs w:val="28"/>
          <w:highlight w:val="none"/>
        </w:rPr>
        <w:t xml:space="preserve"> 评标流程</w:t>
      </w:r>
      <w:bookmarkEnd w:id="175"/>
    </w:p>
    <w:p w14:paraId="65A1939B">
      <w:pPr>
        <w:tabs>
          <w:tab w:val="left" w:pos="945"/>
        </w:tabs>
        <w:spacing w:before="120" w:after="120" w:line="360" w:lineRule="auto"/>
        <w:ind w:firstLine="525" w:firstLineChars="250"/>
        <w:rPr>
          <w:rFonts w:hint="eastAsia" w:ascii="宋体" w:hAnsi="宋体" w:eastAsia="宋体" w:cs="宋体"/>
          <w:color w:val="auto"/>
          <w:highlight w:val="none"/>
        </w:rPr>
      </w:pPr>
      <w:bookmarkStart w:id="176" w:name="_Toc10564_WPSOffice_Level1"/>
      <w:bookmarkStart w:id="177" w:name="_Toc10388_WPSOffice_Level1"/>
      <w:bookmarkStart w:id="178" w:name="_Toc3202_WPSOffice_Level1"/>
      <w:r>
        <w:rPr>
          <w:rFonts w:hint="eastAsia" w:ascii="宋体" w:hAnsi="宋体" w:eastAsia="宋体" w:cs="宋体"/>
          <w:color w:val="auto"/>
          <w:highlight w:val="none"/>
        </w:rPr>
        <w:t>5.5.1初步评审</w:t>
      </w:r>
      <w:bookmarkEnd w:id="176"/>
      <w:bookmarkEnd w:id="177"/>
      <w:bookmarkEnd w:id="178"/>
    </w:p>
    <w:p w14:paraId="1F480412">
      <w:pPr>
        <w:tabs>
          <w:tab w:val="left" w:pos="945"/>
        </w:tabs>
        <w:spacing w:line="360" w:lineRule="auto"/>
        <w:ind w:firstLine="527" w:firstLineChars="250"/>
        <w:rPr>
          <w:rFonts w:hint="eastAsia" w:ascii="宋体" w:hAnsi="宋体" w:eastAsia="宋体" w:cs="宋体"/>
          <w:color w:val="auto"/>
          <w:szCs w:val="21"/>
          <w:highlight w:val="none"/>
        </w:rPr>
      </w:pPr>
      <w:r>
        <w:rPr>
          <w:rFonts w:ascii="宋体" w:hAnsi="宋体"/>
          <w:b/>
          <w:bCs/>
          <w:color w:val="auto"/>
          <w:highlight w:val="none"/>
        </w:rPr>
        <w:t>a.评标委员会按照</w:t>
      </w:r>
      <w:r>
        <w:rPr>
          <w:rFonts w:hint="eastAsia" w:ascii="宋体" w:hAnsi="宋体"/>
          <w:b/>
          <w:bCs/>
          <w:color w:val="auto"/>
          <w:highlight w:val="none"/>
          <w:lang w:val="en-US" w:eastAsia="zh-CN"/>
        </w:rPr>
        <w:t>资格审查及商务技术符合性审查（阶段一）及价格符合性审查（阶段二）的</w:t>
      </w:r>
      <w:r>
        <w:rPr>
          <w:rFonts w:ascii="宋体" w:hAnsi="宋体"/>
          <w:b/>
          <w:bCs/>
          <w:color w:val="auto"/>
          <w:highlight w:val="none"/>
        </w:rPr>
        <w:t>内容</w:t>
      </w:r>
      <w:r>
        <w:rPr>
          <w:rFonts w:hint="eastAsia" w:ascii="宋体" w:hAnsi="宋体"/>
          <w:b/>
          <w:bCs/>
          <w:color w:val="auto"/>
          <w:highlight w:val="none"/>
          <w:lang w:val="en-US" w:eastAsia="zh-CN"/>
        </w:rPr>
        <w:t>按评标方法</w:t>
      </w:r>
      <w:r>
        <w:rPr>
          <w:rFonts w:ascii="宋体" w:hAnsi="宋体"/>
          <w:b/>
          <w:bCs/>
          <w:color w:val="auto"/>
          <w:highlight w:val="none"/>
        </w:rPr>
        <w:t>对投标文件进行检查，</w:t>
      </w:r>
      <w:r>
        <w:rPr>
          <w:rFonts w:hint="eastAsia" w:ascii="宋体" w:hAnsi="宋体"/>
          <w:b/>
          <w:bCs/>
          <w:color w:val="auto"/>
          <w:highlight w:val="none"/>
          <w:lang w:val="en-US" w:eastAsia="zh-CN"/>
        </w:rPr>
        <w:t>通过资格审查及商务技术符合性审查（阶段一）</w:t>
      </w:r>
      <w:r>
        <w:rPr>
          <w:rFonts w:ascii="宋体" w:hAnsi="宋体"/>
          <w:b/>
          <w:bCs/>
          <w:color w:val="auto"/>
          <w:highlight w:val="none"/>
        </w:rPr>
        <w:t>所列各项作出实</w:t>
      </w:r>
      <w:r>
        <w:rPr>
          <w:rFonts w:ascii="宋体" w:hAnsi="宋体" w:eastAsia="宋体" w:cs="Times New Roman"/>
          <w:b/>
          <w:bCs/>
          <w:color w:val="auto"/>
          <w:highlight w:val="none"/>
        </w:rPr>
        <w:t>质性响应的投标文件才能</w:t>
      </w:r>
      <w:r>
        <w:rPr>
          <w:rFonts w:hint="eastAsia" w:ascii="宋体" w:hAnsi="宋体" w:eastAsia="宋体" w:cs="Times New Roman"/>
          <w:b/>
          <w:bCs/>
          <w:color w:val="auto"/>
          <w:highlight w:val="none"/>
          <w:lang w:val="en-US" w:eastAsia="zh-CN"/>
        </w:rPr>
        <w:t>进入到商务、技术的详细评审当中</w:t>
      </w:r>
      <w:r>
        <w:rPr>
          <w:rFonts w:hint="eastAsia" w:ascii="宋体" w:hAnsi="宋体" w:eastAsia="宋体" w:cs="Times New Roman"/>
          <w:b/>
          <w:bCs/>
          <w:color w:val="auto"/>
          <w:highlight w:val="none"/>
          <w:lang w:eastAsia="zh-CN"/>
        </w:rPr>
        <w:t>；</w:t>
      </w:r>
      <w:r>
        <w:rPr>
          <w:rFonts w:hint="eastAsia" w:ascii="宋体" w:hAnsi="宋体" w:eastAsia="宋体" w:cs="Times New Roman"/>
          <w:b/>
          <w:bCs/>
          <w:color w:val="auto"/>
          <w:highlight w:val="none"/>
          <w:lang w:val="en-US" w:eastAsia="zh-CN"/>
        </w:rPr>
        <w:t>通过价格符合性审查（阶段二）</w:t>
      </w:r>
      <w:r>
        <w:rPr>
          <w:rFonts w:ascii="宋体" w:hAnsi="宋体" w:eastAsia="宋体" w:cs="Times New Roman"/>
          <w:b/>
          <w:bCs/>
          <w:color w:val="auto"/>
          <w:highlight w:val="none"/>
        </w:rPr>
        <w:t>所列各项作出实质性响应的投标文件才能</w:t>
      </w:r>
      <w:r>
        <w:rPr>
          <w:rFonts w:hint="eastAsia" w:ascii="宋体" w:hAnsi="宋体" w:eastAsia="宋体" w:cs="Times New Roman"/>
          <w:b/>
          <w:bCs/>
          <w:color w:val="auto"/>
          <w:highlight w:val="none"/>
          <w:lang w:val="en-US" w:eastAsia="zh-CN"/>
        </w:rPr>
        <w:t>进入到价格的详细评审当中</w:t>
      </w:r>
      <w:r>
        <w:rPr>
          <w:rFonts w:ascii="宋体" w:hAnsi="宋体" w:eastAsia="宋体" w:cs="Times New Roman"/>
          <w:b/>
          <w:bCs/>
          <w:color w:val="auto"/>
          <w:highlight w:val="none"/>
        </w:rPr>
        <w:t>。</w:t>
      </w:r>
    </w:p>
    <w:p w14:paraId="134E4CF3">
      <w:pPr>
        <w:tabs>
          <w:tab w:val="left" w:pos="945"/>
        </w:tabs>
        <w:spacing w:line="360" w:lineRule="auto"/>
        <w:ind w:firstLine="525" w:firstLineChars="250"/>
        <w:rPr>
          <w:rFonts w:ascii="宋体" w:hAnsi="宋体"/>
          <w:color w:val="auto"/>
          <w:szCs w:val="21"/>
          <w:highlight w:val="none"/>
        </w:rPr>
      </w:pPr>
      <w:r>
        <w:rPr>
          <w:rFonts w:ascii="宋体" w:hAnsi="宋体"/>
          <w:color w:val="auto"/>
          <w:highlight w:val="none"/>
        </w:rPr>
        <w:t>注：如出现无效投标的争议时，各评委</w:t>
      </w:r>
      <w:r>
        <w:rPr>
          <w:rFonts w:hint="eastAsia" w:ascii="宋体" w:hAnsi="宋体"/>
          <w:color w:val="auto"/>
          <w:highlight w:val="none"/>
          <w:lang w:val="en-US" w:eastAsia="zh-CN"/>
        </w:rPr>
        <w:t>按规定</w:t>
      </w:r>
      <w:r>
        <w:rPr>
          <w:rFonts w:ascii="宋体" w:hAnsi="宋体"/>
          <w:color w:val="auto"/>
          <w:highlight w:val="none"/>
        </w:rPr>
        <w:t>以少数服从多数的原则通过记名投票书面确认是否为无效投标。</w:t>
      </w:r>
    </w:p>
    <w:p w14:paraId="52BE1135">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b.评标委员会将审查投标文件是否完整、有关资格证明文件是否有效、是否提交投标保证金、文件签署是否合格、投标有效期是否满足要求、投标文件的总体编排是否基本有序等</w:t>
      </w:r>
      <w:r>
        <w:rPr>
          <w:rFonts w:hint="eastAsia" w:ascii="宋体" w:hAnsi="宋体"/>
          <w:color w:val="auto"/>
          <w:highlight w:val="none"/>
          <w:lang w:val="en-US" w:eastAsia="zh-CN"/>
        </w:rPr>
        <w:t>相关要求</w:t>
      </w:r>
      <w:r>
        <w:rPr>
          <w:rFonts w:ascii="宋体" w:hAnsi="宋体"/>
          <w:color w:val="auto"/>
          <w:highlight w:val="none"/>
        </w:rPr>
        <w:t>。</w:t>
      </w:r>
    </w:p>
    <w:p w14:paraId="3326DBED">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c.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供货</w:t>
      </w:r>
      <w:r>
        <w:rPr>
          <w:rFonts w:hint="eastAsia" w:ascii="宋体" w:hAnsi="宋体"/>
          <w:color w:val="auto"/>
          <w:highlight w:val="none"/>
          <w:lang w:eastAsia="zh-CN"/>
        </w:rPr>
        <w:t>（</w:t>
      </w:r>
      <w:r>
        <w:rPr>
          <w:rFonts w:hint="eastAsia" w:ascii="宋体" w:hAnsi="宋体"/>
          <w:color w:val="auto"/>
          <w:highlight w:val="none"/>
          <w:lang w:val="en-US" w:eastAsia="zh-CN"/>
        </w:rPr>
        <w:t>或服务</w:t>
      </w:r>
      <w:r>
        <w:rPr>
          <w:rFonts w:hint="eastAsia" w:ascii="宋体" w:hAnsi="宋体"/>
          <w:color w:val="auto"/>
          <w:highlight w:val="none"/>
          <w:lang w:eastAsia="zh-CN"/>
        </w:rPr>
        <w:t>）</w:t>
      </w:r>
      <w:r>
        <w:rPr>
          <w:rFonts w:ascii="宋体" w:hAnsi="宋体"/>
          <w:color w:val="auto"/>
          <w:highlight w:val="none"/>
        </w:rPr>
        <w:t>范围、质量和性能；或者实质上与招标文件不一致，而且限制了合同中招标人的权利或投标人的义务；纠正这些偏离或保留将会对其它实质上响应要求的投标人的竞争地位产生不公正的影响。评标委员会决定投标文件的响应性只根据投标文件本身的内容，而不寻找外部的证据。</w:t>
      </w:r>
    </w:p>
    <w:p w14:paraId="5C40E782">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d.无效投标的认定</w:t>
      </w:r>
    </w:p>
    <w:p w14:paraId="7EF7BB42">
      <w:pPr>
        <w:tabs>
          <w:tab w:val="left" w:pos="1030"/>
        </w:tabs>
        <w:spacing w:line="360" w:lineRule="auto"/>
        <w:ind w:firstLine="527" w:firstLineChars="250"/>
        <w:rPr>
          <w:rFonts w:hint="eastAsia" w:ascii="宋体" w:hAnsi="宋体" w:eastAsia="宋体" w:cs="宋体"/>
          <w:color w:val="auto"/>
          <w:highlight w:val="none"/>
        </w:rPr>
      </w:pPr>
      <w:r>
        <w:rPr>
          <w:rFonts w:ascii="宋体" w:hAnsi="宋体"/>
          <w:b/>
          <w:bCs/>
          <w:color w:val="auto"/>
          <w:highlight w:val="none"/>
        </w:rPr>
        <w:t>按</w:t>
      </w:r>
      <w:r>
        <w:rPr>
          <w:rFonts w:hint="eastAsia" w:ascii="宋体" w:hAnsi="宋体"/>
          <w:b/>
          <w:bCs/>
          <w:color w:val="auto"/>
          <w:highlight w:val="none"/>
          <w:lang w:val="en-US" w:eastAsia="zh-CN"/>
        </w:rPr>
        <w:t>资格审查及商务技术符合性审查（阶段一）及价格符合性审查（阶段二）</w:t>
      </w:r>
      <w:r>
        <w:rPr>
          <w:rFonts w:ascii="宋体" w:hAnsi="宋体"/>
          <w:b/>
          <w:bCs/>
          <w:color w:val="auto"/>
          <w:highlight w:val="none"/>
        </w:rPr>
        <w:t>（见附表1</w:t>
      </w:r>
      <w:r>
        <w:rPr>
          <w:rFonts w:hint="eastAsia" w:ascii="宋体" w:hAnsi="宋体"/>
          <w:b/>
          <w:bCs/>
          <w:color w:val="auto"/>
          <w:highlight w:val="none"/>
          <w:lang w:eastAsia="zh-CN"/>
        </w:rPr>
        <w:t>、</w:t>
      </w:r>
      <w:r>
        <w:rPr>
          <w:rFonts w:hint="eastAsia" w:ascii="宋体" w:hAnsi="宋体"/>
          <w:b/>
          <w:bCs/>
          <w:color w:val="auto"/>
          <w:highlight w:val="none"/>
          <w:lang w:val="en-US" w:eastAsia="zh-CN"/>
        </w:rPr>
        <w:t>见附表4</w:t>
      </w:r>
      <w:r>
        <w:rPr>
          <w:rFonts w:ascii="宋体" w:hAnsi="宋体"/>
          <w:b/>
          <w:bCs/>
          <w:color w:val="auto"/>
          <w:highlight w:val="none"/>
        </w:rPr>
        <w:t>）所列各项，评标委员会认为投标文件不满足招标文件要求的，将被认定为无效投标</w:t>
      </w:r>
      <w:r>
        <w:rPr>
          <w:rFonts w:hint="eastAsia" w:ascii="宋体" w:hAnsi="宋体" w:eastAsia="宋体" w:cs="宋体"/>
          <w:color w:val="auto"/>
          <w:highlight w:val="none"/>
        </w:rPr>
        <w:t>。</w:t>
      </w:r>
    </w:p>
    <w:p w14:paraId="659ADA07">
      <w:pPr>
        <w:spacing w:before="120" w:after="120" w:line="360" w:lineRule="auto"/>
        <w:ind w:firstLine="525" w:firstLineChars="250"/>
        <w:rPr>
          <w:rFonts w:hint="eastAsia" w:ascii="宋体" w:hAnsi="宋体" w:eastAsia="宋体" w:cs="宋体"/>
          <w:bCs/>
          <w:color w:val="auto"/>
          <w:highlight w:val="none"/>
        </w:rPr>
      </w:pPr>
      <w:bookmarkStart w:id="179" w:name="_Toc18377_WPSOffice_Level1"/>
      <w:bookmarkStart w:id="180" w:name="_Toc962_WPSOffice_Level1"/>
      <w:bookmarkStart w:id="181" w:name="_Toc17602_WPSOffice_Level1"/>
      <w:r>
        <w:rPr>
          <w:rFonts w:hint="eastAsia" w:ascii="宋体" w:hAnsi="宋体" w:eastAsia="宋体" w:cs="宋体"/>
          <w:bCs/>
          <w:color w:val="auto"/>
          <w:highlight w:val="none"/>
        </w:rPr>
        <w:t>5.5.2详细评审</w:t>
      </w:r>
      <w:bookmarkEnd w:id="179"/>
      <w:bookmarkEnd w:id="180"/>
      <w:bookmarkEnd w:id="181"/>
    </w:p>
    <w:p w14:paraId="2A5077FD">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a.详细评审是对通过</w:t>
      </w:r>
      <w:r>
        <w:rPr>
          <w:rFonts w:hint="eastAsia" w:ascii="宋体" w:hAnsi="宋体"/>
          <w:color w:val="auto"/>
          <w:highlight w:val="none"/>
          <w:lang w:val="en-US" w:eastAsia="zh-CN"/>
        </w:rPr>
        <w:t>资格审查及商务技术符合性审查（阶段一）</w:t>
      </w:r>
      <w:r>
        <w:rPr>
          <w:rFonts w:ascii="宋体" w:hAnsi="宋体"/>
          <w:color w:val="auto"/>
          <w:highlight w:val="none"/>
        </w:rPr>
        <w:t>的投标进行技术</w:t>
      </w:r>
      <w:r>
        <w:rPr>
          <w:rFonts w:hint="eastAsia" w:ascii="宋体" w:hAnsi="宋体"/>
          <w:color w:val="auto"/>
          <w:highlight w:val="none"/>
          <w:lang w:val="en-US" w:eastAsia="zh-CN"/>
        </w:rPr>
        <w:t>评审、</w:t>
      </w:r>
      <w:r>
        <w:rPr>
          <w:rFonts w:ascii="宋体" w:hAnsi="宋体"/>
          <w:color w:val="auto"/>
          <w:highlight w:val="none"/>
        </w:rPr>
        <w:t>商务</w:t>
      </w:r>
      <w:r>
        <w:rPr>
          <w:rFonts w:hint="eastAsia" w:ascii="宋体" w:hAnsi="宋体"/>
          <w:color w:val="auto"/>
          <w:highlight w:val="none"/>
          <w:lang w:val="en-US" w:eastAsia="zh-CN"/>
        </w:rPr>
        <w:t>评审以及对通过价格符合性审查（阶段二）</w:t>
      </w:r>
      <w:r>
        <w:rPr>
          <w:rFonts w:ascii="宋体" w:hAnsi="宋体"/>
          <w:color w:val="auto"/>
          <w:highlight w:val="none"/>
        </w:rPr>
        <w:t>的投标进行价格评审。</w:t>
      </w:r>
    </w:p>
    <w:p w14:paraId="63093972">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b.技术、商务评分：评标委员会就</w:t>
      </w:r>
      <w:r>
        <w:rPr>
          <w:rFonts w:hint="eastAsia" w:ascii="宋体" w:hAnsi="宋体"/>
          <w:color w:val="auto"/>
          <w:highlight w:val="none"/>
        </w:rPr>
        <w:t>技术评分表、商务评分表的评审</w:t>
      </w:r>
      <w:r>
        <w:rPr>
          <w:rFonts w:ascii="宋体" w:hAnsi="宋体"/>
          <w:color w:val="auto"/>
          <w:highlight w:val="none"/>
        </w:rPr>
        <w:t>因素进行评分，各因素所占权重比例见《技术</w:t>
      </w:r>
      <w:r>
        <w:rPr>
          <w:rFonts w:hint="eastAsia" w:ascii="宋体" w:hAnsi="宋体"/>
          <w:color w:val="auto"/>
          <w:highlight w:val="none"/>
        </w:rPr>
        <w:t>评分</w:t>
      </w:r>
      <w:r>
        <w:rPr>
          <w:rFonts w:ascii="宋体" w:hAnsi="宋体"/>
          <w:color w:val="auto"/>
          <w:highlight w:val="none"/>
        </w:rPr>
        <w:t>表》（附表2）及《商务评</w:t>
      </w:r>
      <w:r>
        <w:rPr>
          <w:rFonts w:hint="eastAsia" w:ascii="宋体" w:hAnsi="宋体"/>
          <w:color w:val="auto"/>
          <w:highlight w:val="none"/>
        </w:rPr>
        <w:t>分</w:t>
      </w:r>
      <w:r>
        <w:rPr>
          <w:rFonts w:ascii="宋体" w:hAnsi="宋体"/>
          <w:color w:val="auto"/>
          <w:highlight w:val="none"/>
        </w:rPr>
        <w:t>表》（附表3），评分统计按本评标方法</w:t>
      </w:r>
      <w:r>
        <w:rPr>
          <w:rFonts w:hint="eastAsia" w:ascii="宋体" w:hAnsi="宋体"/>
          <w:color w:val="auto"/>
          <w:highlight w:val="none"/>
          <w:lang w:val="en-US" w:eastAsia="zh-CN"/>
        </w:rPr>
        <w:t>的</w:t>
      </w:r>
      <w:r>
        <w:rPr>
          <w:rFonts w:ascii="宋体" w:hAnsi="宋体"/>
          <w:color w:val="auto"/>
          <w:highlight w:val="none"/>
        </w:rPr>
        <w:t>规定进行。</w:t>
      </w:r>
    </w:p>
    <w:p w14:paraId="7A53AC3A">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c.价格的核准和评分</w:t>
      </w:r>
    </w:p>
    <w:p w14:paraId="44A915AE">
      <w:pPr>
        <w:tabs>
          <w:tab w:val="left" w:pos="0"/>
        </w:tabs>
        <w:spacing w:line="360" w:lineRule="auto"/>
        <w:ind w:firstLine="420" w:firstLineChars="200"/>
        <w:rPr>
          <w:rFonts w:ascii="宋体" w:hAnsi="宋体"/>
          <w:color w:val="auto"/>
          <w:highlight w:val="none"/>
        </w:rPr>
      </w:pPr>
      <w:r>
        <w:rPr>
          <w:rFonts w:ascii="宋体" w:hAnsi="宋体"/>
          <w:color w:val="auto"/>
          <w:highlight w:val="none"/>
        </w:rPr>
        <w:t>a)</w:t>
      </w:r>
      <w:r>
        <w:rPr>
          <w:rFonts w:hint="eastAsia" w:ascii="宋体" w:hAnsi="宋体"/>
          <w:color w:val="auto"/>
          <w:highlight w:val="none"/>
          <w:lang w:val="en-US" w:eastAsia="zh-CN"/>
        </w:rPr>
        <w:t xml:space="preserve"> </w:t>
      </w:r>
      <w:r>
        <w:rPr>
          <w:rFonts w:ascii="宋体" w:hAnsi="宋体"/>
          <w:color w:val="auto"/>
          <w:highlight w:val="none"/>
        </w:rPr>
        <w:t>评标委员会详细分析、核准价格表，看其是否有计算上或累加上的算术错误，修正错误的原则如下：</w:t>
      </w:r>
    </w:p>
    <w:p w14:paraId="52C7F6A3">
      <w:pPr>
        <w:spacing w:line="360" w:lineRule="auto"/>
        <w:ind w:firstLine="420" w:firstLineChars="200"/>
        <w:rPr>
          <w:rFonts w:ascii="宋体" w:hAnsi="宋体"/>
          <w:color w:val="auto"/>
          <w:highlight w:val="none"/>
        </w:rPr>
      </w:pPr>
      <w:r>
        <w:rPr>
          <w:rFonts w:ascii="宋体" w:hAnsi="宋体"/>
          <w:color w:val="auto"/>
          <w:highlight w:val="none"/>
        </w:rPr>
        <w:t>（1）如果用大写表示的金额和用小写表示的金额不一致，应以大写表示的金额为准；</w:t>
      </w:r>
    </w:p>
    <w:p w14:paraId="182173B7">
      <w:pPr>
        <w:spacing w:line="360" w:lineRule="auto"/>
        <w:ind w:firstLine="420" w:firstLineChars="200"/>
        <w:rPr>
          <w:rFonts w:ascii="宋体" w:hAnsi="宋体"/>
          <w:color w:val="auto"/>
          <w:highlight w:val="none"/>
        </w:rPr>
      </w:pPr>
      <w:r>
        <w:rPr>
          <w:rFonts w:ascii="宋体" w:hAnsi="宋体"/>
          <w:color w:val="auto"/>
          <w:highlight w:val="none"/>
        </w:rPr>
        <w:t>（2）当单价和数量的乘积与总价金额不一致时，以单价为准（除单价金额小数点明显错误的除外），并修正总价；</w:t>
      </w:r>
    </w:p>
    <w:p w14:paraId="795BCFF2">
      <w:pPr>
        <w:tabs>
          <w:tab w:val="left" w:pos="0"/>
        </w:tabs>
        <w:spacing w:line="360" w:lineRule="auto"/>
        <w:ind w:firstLine="420" w:firstLineChars="200"/>
        <w:rPr>
          <w:rFonts w:hint="eastAsia" w:ascii="宋体" w:hAnsi="宋体"/>
          <w:color w:val="auto"/>
          <w:highlight w:val="none"/>
        </w:rPr>
      </w:pPr>
      <w:r>
        <w:rPr>
          <w:rFonts w:ascii="宋体" w:hAnsi="宋体"/>
          <w:color w:val="auto"/>
          <w:highlight w:val="none"/>
        </w:rPr>
        <w:t>（3）漏项的调整方式：</w:t>
      </w:r>
      <w:r>
        <w:rPr>
          <w:rFonts w:hint="eastAsia" w:ascii="宋体" w:hAnsi="宋体"/>
          <w:color w:val="auto"/>
          <w:highlight w:val="none"/>
        </w:rPr>
        <w:t>如评标委员会认为投标人报价存在重大缺漏项或标准不符事项，评标委员会有权按本次招标其它投标人相应项目的最高报价或最新相同或类似项目合同价格或估价折算,调整评标价格（仅在评标时进行调整，</w:t>
      </w:r>
      <w:r>
        <w:rPr>
          <w:rFonts w:ascii="宋体" w:hAnsi="宋体"/>
          <w:bCs/>
          <w:color w:val="auto"/>
          <w:highlight w:val="none"/>
        </w:rPr>
        <w:t>如该投标人中标，</w:t>
      </w:r>
      <w:r>
        <w:rPr>
          <w:rFonts w:hint="eastAsia" w:ascii="宋体" w:hAnsi="宋体"/>
          <w:bCs/>
          <w:color w:val="auto"/>
          <w:highlight w:val="none"/>
        </w:rPr>
        <w:t>所有漏项应包含在供货范围内，且</w:t>
      </w:r>
      <w:r>
        <w:rPr>
          <w:rFonts w:ascii="宋体" w:hAnsi="宋体"/>
          <w:bCs/>
          <w:color w:val="auto"/>
          <w:highlight w:val="none"/>
        </w:rPr>
        <w:t>中标价仍按其投标报价计</w:t>
      </w:r>
      <w:r>
        <w:rPr>
          <w:rFonts w:hint="eastAsia" w:ascii="宋体" w:hAnsi="宋体"/>
          <w:color w:val="auto"/>
          <w:highlight w:val="none"/>
        </w:rPr>
        <w:t>）</w:t>
      </w:r>
      <w:r>
        <w:rPr>
          <w:rFonts w:ascii="宋体" w:hAnsi="宋体"/>
          <w:color w:val="auto"/>
          <w:highlight w:val="none"/>
        </w:rPr>
        <w:t>。</w:t>
      </w:r>
    </w:p>
    <w:p w14:paraId="2E51D207">
      <w:pPr>
        <w:tabs>
          <w:tab w:val="left" w:pos="-618"/>
          <w:tab w:val="left" w:pos="-412"/>
        </w:tabs>
        <w:spacing w:line="360" w:lineRule="auto"/>
        <w:ind w:firstLine="420" w:firstLineChars="200"/>
        <w:rPr>
          <w:rFonts w:hint="eastAsia" w:ascii="宋体" w:hAnsi="宋体"/>
          <w:color w:val="auto"/>
          <w:highlight w:val="none"/>
        </w:rPr>
      </w:pPr>
      <w:r>
        <w:rPr>
          <w:rFonts w:hint="eastAsia" w:ascii="宋体" w:hAnsi="宋体"/>
          <w:color w:val="auto"/>
          <w:highlight w:val="none"/>
        </w:rPr>
        <w:t>（4）因投标人的投标报价增值税税率报错导致合同含税金额或不含税金额出现错误，经评标委员会复核得出正确税率并计算出评标价计算投标人的价格得分。若评标委员会复核后的评标价高于投标人的错误报价，招标人有权在投标人获得中标后取两者中相对低的价格作为合同价格。</w:t>
      </w:r>
    </w:p>
    <w:p w14:paraId="06455C36">
      <w:pPr>
        <w:tabs>
          <w:tab w:val="left" w:pos="-618"/>
          <w:tab w:val="left" w:pos="-412"/>
        </w:tabs>
        <w:spacing w:line="360" w:lineRule="auto"/>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需要投标人提供的专用工具、备品、配件以及相关服务所需的费用，如果是另外单独报价的话，评分时应计入投标报价。</w:t>
      </w:r>
    </w:p>
    <w:p w14:paraId="11E4A12A">
      <w:pPr>
        <w:tabs>
          <w:tab w:val="left" w:pos="0"/>
        </w:tabs>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）评标委员会依据招标文件认为应该调整的价格。</w:t>
      </w:r>
    </w:p>
    <w:p w14:paraId="617E30D2">
      <w:pPr>
        <w:tabs>
          <w:tab w:val="left" w:pos="0"/>
        </w:tabs>
        <w:spacing w:line="360" w:lineRule="auto"/>
        <w:ind w:firstLine="420" w:firstLineChars="200"/>
        <w:rPr>
          <w:rFonts w:hint="eastAsia" w:ascii="宋体" w:hAnsi="宋体" w:eastAsia="宋体" w:cs="宋体"/>
          <w:color w:val="auto"/>
          <w:highlight w:val="none"/>
        </w:rPr>
      </w:pPr>
      <w:r>
        <w:rPr>
          <w:rFonts w:ascii="宋体" w:hAnsi="宋体" w:eastAsia="宋体" w:cs="Times New Roman"/>
          <w:color w:val="auto"/>
          <w:highlight w:val="none"/>
        </w:rPr>
        <w:t>b)</w:t>
      </w:r>
      <w:r>
        <w:rPr>
          <w:rFonts w:hint="default" w:ascii="宋体" w:hAnsi="宋体" w:eastAsia="宋体" w:cs="Times New Roman"/>
          <w:color w:val="auto"/>
          <w:highlight w:val="none"/>
          <w:lang w:val="en-US" w:eastAsia="zh-CN"/>
        </w:rPr>
        <w:t xml:space="preserve"> </w:t>
      </w:r>
      <w:r>
        <w:rPr>
          <w:rFonts w:ascii="宋体" w:hAnsi="宋体" w:eastAsia="宋体" w:cs="Times New Roman"/>
          <w:color w:val="auto"/>
          <w:highlight w:val="none"/>
        </w:rPr>
        <w:t>评标委员会将按上述修正错误的方法调整投标文件中的投标报价，调整后的价格对投标人具有约束力。如果投标人不接受修正后的价格，则其投标将被拒绝</w:t>
      </w:r>
      <w:r>
        <w:rPr>
          <w:rFonts w:hint="eastAsia" w:ascii="宋体" w:hAnsi="宋体" w:eastAsia="宋体" w:cs="宋体"/>
          <w:color w:val="auto"/>
          <w:highlight w:val="none"/>
        </w:rPr>
        <w:t>。</w:t>
      </w:r>
    </w:p>
    <w:p w14:paraId="52BBA36D">
      <w:pPr>
        <w:tabs>
          <w:tab w:val="left" w:pos="945"/>
        </w:tabs>
        <w:spacing w:line="360" w:lineRule="auto"/>
        <w:ind w:left="-23" w:leftChars="-11" w:firstLine="525" w:firstLineChars="250"/>
        <w:jc w:val="left"/>
        <w:rPr>
          <w:rFonts w:hint="eastAsia" w:ascii="宋体" w:hAnsi="宋体" w:eastAsia="宋体" w:cs="宋体"/>
          <w:color w:val="auto"/>
          <w:highlight w:val="none"/>
        </w:rPr>
      </w:pPr>
      <w:r>
        <w:rPr>
          <w:rFonts w:hint="eastAsia" w:ascii="宋体" w:hAnsi="宋体" w:eastAsia="宋体" w:cs="宋体"/>
          <w:color w:val="auto"/>
          <w:highlight w:val="none"/>
        </w:rPr>
        <w:t>c) 价格评分：</w:t>
      </w:r>
    </w:p>
    <w:p w14:paraId="79FC28CF">
      <w:pPr>
        <w:spacing w:line="360" w:lineRule="auto"/>
        <w:ind w:left="420" w:leftChars="200" w:firstLine="426"/>
        <w:rPr>
          <w:rFonts w:hint="eastAsia" w:ascii="宋体" w:hAnsi="宋体" w:eastAsia="宋体" w:cs="宋体"/>
          <w:color w:val="auto"/>
          <w:szCs w:val="21"/>
          <w:highlight w:val="none"/>
        </w:rPr>
      </w:pPr>
      <w:bookmarkStart w:id="182" w:name="_Toc173256012"/>
      <w:bookmarkStart w:id="183" w:name="_Toc173140973"/>
      <w:bookmarkStart w:id="184" w:name="_Toc173262603"/>
      <w:r>
        <w:rPr>
          <w:rFonts w:hint="eastAsia" w:ascii="宋体" w:hAnsi="宋体" w:eastAsia="宋体" w:cs="宋体"/>
          <w:color w:val="auto"/>
          <w:szCs w:val="21"/>
          <w:highlight w:val="none"/>
        </w:rPr>
        <w:t>各有效投标供应商的评标价（含税的投标报价）中各有效投标供应商的价格评分统一按照下列公式计算：</w:t>
      </w:r>
    </w:p>
    <w:p w14:paraId="345EAB2E">
      <w:pPr>
        <w:numPr>
          <w:ilvl w:val="0"/>
          <w:numId w:val="17"/>
        </w:numPr>
        <w:spacing w:line="360" w:lineRule="auto"/>
        <w:ind w:left="420" w:leftChars="20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价格不能超过预算，否则就视为自动放弃本次投标权利</w:t>
      </w:r>
    </w:p>
    <w:p w14:paraId="4ADE99C5">
      <w:pPr>
        <w:numPr>
          <w:ilvl w:val="0"/>
          <w:numId w:val="17"/>
        </w:numPr>
        <w:snapToGrid w:val="0"/>
        <w:spacing w:line="360" w:lineRule="auto"/>
        <w:ind w:left="420" w:leftChars="20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投标人评标价及评标基准价的确认：</w:t>
      </w:r>
    </w:p>
    <w:p w14:paraId="79A969B6">
      <w:pPr>
        <w:snapToGrid w:val="0"/>
        <w:spacing w:line="360" w:lineRule="auto"/>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通过初审的有效投标人进入价格评分。评标委员会对通过初审的投标文件的投标报价进行复核及算术修正，修正后的价格为投标人的评标价。</w:t>
      </w:r>
    </w:p>
    <w:bookmarkEnd w:id="182"/>
    <w:bookmarkEnd w:id="183"/>
    <w:bookmarkEnd w:id="184"/>
    <w:p w14:paraId="0745C0AF">
      <w:pPr>
        <w:snapToGrid w:val="0"/>
        <w:spacing w:line="360" w:lineRule="auto"/>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评标基准价的计算</w:t>
      </w:r>
    </w:p>
    <w:p w14:paraId="617CEBE6">
      <w:pPr>
        <w:snapToGrid w:val="0"/>
        <w:spacing w:line="360" w:lineRule="auto"/>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满足招标文件要求的供应商投标报价求平均值为评标基准价</w:t>
      </w:r>
    </w:p>
    <w:p w14:paraId="06DE7421">
      <w:pPr>
        <w:snapToGrid w:val="0"/>
        <w:spacing w:line="360" w:lineRule="auto"/>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2）价格评分</w:t>
      </w:r>
    </w:p>
    <w:p w14:paraId="558B8DC4">
      <w:pPr>
        <w:snapToGrid w:val="0"/>
        <w:spacing w:line="360" w:lineRule="auto"/>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 当评标总价等于评标基准价，投标人的价格评分为</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p w14:paraId="188345BA">
      <w:pPr>
        <w:snapToGrid w:val="0"/>
        <w:spacing w:line="360" w:lineRule="auto"/>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 当评标总价高于评标基准价，投标人的价格评分按下式计算（每高1％，扣0.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分，扣完为止）：</w:t>
      </w:r>
    </w:p>
    <w:p w14:paraId="22440058">
      <w:pPr>
        <w:snapToGrid w:val="0"/>
        <w:spacing w:line="360" w:lineRule="auto"/>
        <w:ind w:left="420" w:firstLine="420" w:firstLineChars="200"/>
        <w:rPr>
          <w:rFonts w:hint="eastAsia" w:ascii="宋体" w:hAnsi="宋体" w:eastAsia="宋体" w:cs="宋体"/>
          <w:color w:val="auto"/>
          <w:szCs w:val="21"/>
          <w:highlight w:val="none"/>
        </w:rPr>
      </w:pPr>
      <w:r>
        <w:rPr>
          <w:rFonts w:hint="eastAsia" w:ascii="宋体" w:hAnsi="宋体"/>
          <w:color w:val="auto"/>
          <w:szCs w:val="21"/>
          <w:highlight w:val="none"/>
        </w:rPr>
        <w:t>投标人的价格评分=</w:t>
      </w:r>
      <w:r>
        <w:rPr>
          <w:rFonts w:hint="eastAsia" w:ascii="宋体" w:hAnsi="宋体"/>
          <w:color w:val="auto"/>
          <w:szCs w:val="21"/>
          <w:highlight w:val="none"/>
          <w:lang w:val="en-US" w:eastAsia="zh-CN"/>
        </w:rPr>
        <w:t>30-[（投标人的评标总价-评标基准价）/评标基准价]×100×0.3</w:t>
      </w:r>
      <w:r>
        <w:rPr>
          <w:rFonts w:hint="eastAsia" w:ascii="宋体" w:hAnsi="宋体"/>
          <w:color w:val="auto"/>
          <w:szCs w:val="21"/>
          <w:highlight w:val="none"/>
        </w:rPr>
        <w:t>（四舍五入，小数点后保留两位有效数字）</w:t>
      </w:r>
    </w:p>
    <w:p w14:paraId="58DD3A18">
      <w:pPr>
        <w:snapToGrid w:val="0"/>
        <w:spacing w:line="360" w:lineRule="auto"/>
        <w:ind w:left="4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 当评标总价低于评标基准价，投标人的价格评分按下式计算（每低1％，扣0.2分，扣完为止）：</w:t>
      </w:r>
    </w:p>
    <w:p w14:paraId="368BDA10">
      <w:pPr>
        <w:snapToGrid w:val="0"/>
        <w:spacing w:line="360" w:lineRule="auto"/>
        <w:ind w:left="420" w:firstLine="420" w:firstLineChars="200"/>
        <w:rPr>
          <w:rFonts w:hint="eastAsia" w:ascii="宋体" w:hAnsi="宋体" w:eastAsia="宋体" w:cs="宋体"/>
          <w:color w:val="auto"/>
          <w:szCs w:val="21"/>
          <w:highlight w:val="none"/>
        </w:rPr>
      </w:pPr>
      <w:r>
        <w:rPr>
          <w:rFonts w:hint="eastAsia" w:ascii="宋体" w:hAnsi="宋体"/>
          <w:color w:val="auto"/>
          <w:szCs w:val="21"/>
          <w:highlight w:val="none"/>
        </w:rPr>
        <w:t>投标人的价格评分=</w:t>
      </w:r>
      <w:r>
        <w:rPr>
          <w:rFonts w:hint="eastAsia" w:ascii="宋体" w:hAnsi="宋体"/>
          <w:color w:val="auto"/>
          <w:szCs w:val="21"/>
          <w:highlight w:val="none"/>
          <w:lang w:val="en-US" w:eastAsia="zh-CN"/>
        </w:rPr>
        <w:t>30-[（评标基准价-投标人的评标总价）/评标基准价]×100×0.2</w:t>
      </w:r>
      <w:r>
        <w:rPr>
          <w:rFonts w:hint="eastAsia" w:ascii="宋体" w:hAnsi="宋体"/>
          <w:color w:val="auto"/>
          <w:szCs w:val="21"/>
          <w:highlight w:val="none"/>
        </w:rPr>
        <w:t>（四舍五入，小数点后保留两位有效数字）</w:t>
      </w:r>
    </w:p>
    <w:p w14:paraId="3DF80EB9">
      <w:pPr>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d）技术、商务及价格权重分配：</w:t>
      </w:r>
    </w:p>
    <w:tbl>
      <w:tblPr>
        <w:tblStyle w:val="5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24"/>
        <w:gridCol w:w="1808"/>
        <w:gridCol w:w="1808"/>
        <w:gridCol w:w="1806"/>
        <w:gridCol w:w="1806"/>
      </w:tblGrid>
      <w:tr w14:paraId="180A0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24" w:type="dxa"/>
            <w:noWrap w:val="0"/>
            <w:vAlign w:val="center"/>
          </w:tcPr>
          <w:p w14:paraId="3EF8DC11">
            <w:pPr>
              <w:jc w:val="center"/>
              <w:rPr>
                <w:rFonts w:hint="eastAsia" w:ascii="宋体" w:hAnsi="宋体" w:eastAsia="宋体" w:cs="宋体"/>
                <w:color w:val="auto"/>
                <w:highlight w:val="none"/>
              </w:rPr>
            </w:pPr>
            <w:r>
              <w:rPr>
                <w:rFonts w:hint="eastAsia" w:ascii="宋体" w:hAnsi="宋体" w:eastAsia="宋体" w:cs="宋体"/>
                <w:color w:val="auto"/>
                <w:highlight w:val="none"/>
              </w:rPr>
              <w:t>评分项目</w:t>
            </w:r>
          </w:p>
        </w:tc>
        <w:tc>
          <w:tcPr>
            <w:tcW w:w="1808" w:type="dxa"/>
            <w:noWrap w:val="0"/>
            <w:vAlign w:val="center"/>
          </w:tcPr>
          <w:p w14:paraId="56F3BE54">
            <w:pPr>
              <w:jc w:val="center"/>
              <w:rPr>
                <w:rFonts w:hint="eastAsia" w:ascii="宋体" w:hAnsi="宋体" w:eastAsia="宋体" w:cs="宋体"/>
                <w:color w:val="auto"/>
                <w:highlight w:val="none"/>
              </w:rPr>
            </w:pPr>
            <w:r>
              <w:rPr>
                <w:rFonts w:hint="eastAsia" w:ascii="宋体" w:hAnsi="宋体" w:eastAsia="宋体" w:cs="宋体"/>
                <w:color w:val="auto"/>
                <w:highlight w:val="none"/>
              </w:rPr>
              <w:t>技术评分</w:t>
            </w:r>
          </w:p>
        </w:tc>
        <w:tc>
          <w:tcPr>
            <w:tcW w:w="1808" w:type="dxa"/>
            <w:noWrap w:val="0"/>
            <w:vAlign w:val="center"/>
          </w:tcPr>
          <w:p w14:paraId="65BB7969">
            <w:pPr>
              <w:jc w:val="center"/>
              <w:rPr>
                <w:rFonts w:hint="eastAsia" w:ascii="宋体" w:hAnsi="宋体" w:eastAsia="宋体" w:cs="宋体"/>
                <w:color w:val="auto"/>
                <w:highlight w:val="none"/>
              </w:rPr>
            </w:pPr>
            <w:r>
              <w:rPr>
                <w:rFonts w:hint="eastAsia" w:ascii="宋体" w:hAnsi="宋体" w:eastAsia="宋体" w:cs="宋体"/>
                <w:color w:val="auto"/>
                <w:highlight w:val="none"/>
              </w:rPr>
              <w:t>商务评分</w:t>
            </w:r>
          </w:p>
        </w:tc>
        <w:tc>
          <w:tcPr>
            <w:tcW w:w="1806" w:type="dxa"/>
            <w:noWrap w:val="0"/>
            <w:vAlign w:val="center"/>
          </w:tcPr>
          <w:p w14:paraId="279589FC">
            <w:pPr>
              <w:jc w:val="center"/>
              <w:rPr>
                <w:rFonts w:hint="eastAsia" w:ascii="宋体" w:hAnsi="宋体" w:eastAsia="宋体" w:cs="宋体"/>
                <w:color w:val="auto"/>
                <w:highlight w:val="none"/>
              </w:rPr>
            </w:pPr>
            <w:r>
              <w:rPr>
                <w:rFonts w:hint="eastAsia" w:ascii="宋体" w:hAnsi="宋体" w:eastAsia="宋体" w:cs="宋体"/>
                <w:color w:val="auto"/>
                <w:highlight w:val="none"/>
              </w:rPr>
              <w:t>价格评分</w:t>
            </w:r>
          </w:p>
        </w:tc>
        <w:tc>
          <w:tcPr>
            <w:tcW w:w="1806" w:type="dxa"/>
            <w:noWrap w:val="0"/>
            <w:vAlign w:val="center"/>
          </w:tcPr>
          <w:p w14:paraId="4A6D4887">
            <w:pPr>
              <w:jc w:val="center"/>
              <w:rPr>
                <w:rFonts w:hint="eastAsia" w:ascii="宋体" w:hAnsi="宋体" w:eastAsia="宋体" w:cs="宋体"/>
                <w:color w:val="auto"/>
                <w:highlight w:val="none"/>
              </w:rPr>
            </w:pPr>
            <w:r>
              <w:rPr>
                <w:rFonts w:hint="eastAsia" w:ascii="宋体" w:hAnsi="宋体" w:eastAsia="宋体" w:cs="宋体"/>
                <w:color w:val="auto"/>
                <w:highlight w:val="none"/>
              </w:rPr>
              <w:t>总分</w:t>
            </w:r>
          </w:p>
        </w:tc>
      </w:tr>
      <w:tr w14:paraId="03655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24" w:type="dxa"/>
            <w:noWrap w:val="0"/>
            <w:vAlign w:val="center"/>
          </w:tcPr>
          <w:p w14:paraId="6B5BC672">
            <w:pPr>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1808" w:type="dxa"/>
            <w:noWrap w:val="0"/>
            <w:vAlign w:val="center"/>
          </w:tcPr>
          <w:p w14:paraId="31B05F9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50</w:t>
            </w:r>
          </w:p>
        </w:tc>
        <w:tc>
          <w:tcPr>
            <w:tcW w:w="1808" w:type="dxa"/>
            <w:noWrap w:val="0"/>
            <w:vAlign w:val="center"/>
          </w:tcPr>
          <w:p w14:paraId="4B3748F3">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1806" w:type="dxa"/>
            <w:noWrap w:val="0"/>
            <w:vAlign w:val="center"/>
          </w:tcPr>
          <w:p w14:paraId="1E634753">
            <w:pPr>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30</w:t>
            </w:r>
          </w:p>
        </w:tc>
        <w:tc>
          <w:tcPr>
            <w:tcW w:w="1806" w:type="dxa"/>
            <w:noWrap w:val="0"/>
            <w:vAlign w:val="center"/>
          </w:tcPr>
          <w:p w14:paraId="53C00336">
            <w:pPr>
              <w:jc w:val="center"/>
              <w:rPr>
                <w:rFonts w:hint="eastAsia" w:ascii="宋体" w:hAnsi="宋体" w:eastAsia="宋体" w:cs="宋体"/>
                <w:color w:val="auto"/>
                <w:highlight w:val="none"/>
              </w:rPr>
            </w:pPr>
            <w:r>
              <w:rPr>
                <w:rFonts w:hint="eastAsia" w:ascii="宋体" w:hAnsi="宋体" w:eastAsia="宋体" w:cs="宋体"/>
                <w:color w:val="auto"/>
                <w:highlight w:val="none"/>
              </w:rPr>
              <w:t>100</w:t>
            </w:r>
          </w:p>
        </w:tc>
      </w:tr>
    </w:tbl>
    <w:p w14:paraId="3E1A672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e）根据上述技术、商务及价格的综合评分及其权重分配，代入下列公式计算各投标人的总得分。得分统计保留小数点后两位，第三位四舍五入。进入详细评审的各投标人的综合得分，按得分从高到低排名（综合得分相同时，投标总价低者优先；综合得分且投标总价相同的，技术商务得分高者优先）。</w:t>
      </w:r>
    </w:p>
    <w:p w14:paraId="569871D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评标总得分=F1+ F2 +F3</w:t>
      </w:r>
    </w:p>
    <w:p w14:paraId="6BFD89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其中，F1、F2、F3别为技术、商务及价格评分的汇总得分。</w:t>
      </w:r>
    </w:p>
    <w:p w14:paraId="5A716A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f）评分统计验算：评分统计的结果数据须经评标委员会验算并确认。</w:t>
      </w:r>
    </w:p>
    <w:p w14:paraId="100EB3E6">
      <w:pPr>
        <w:spacing w:before="120" w:after="120" w:line="360" w:lineRule="auto"/>
        <w:ind w:firstLine="525" w:firstLineChars="250"/>
        <w:rPr>
          <w:rFonts w:hint="eastAsia" w:ascii="宋体" w:hAnsi="宋体" w:eastAsia="宋体" w:cs="宋体"/>
          <w:bCs/>
          <w:color w:val="auto"/>
          <w:highlight w:val="none"/>
        </w:rPr>
      </w:pPr>
      <w:bookmarkStart w:id="185" w:name="_Toc9514_WPSOffice_Level1"/>
      <w:bookmarkStart w:id="186" w:name="_Toc27012_WPSOffice_Level1"/>
      <w:bookmarkStart w:id="187" w:name="_Toc13353_WPSOffice_Level1"/>
      <w:r>
        <w:rPr>
          <w:rFonts w:hint="eastAsia" w:ascii="宋体" w:hAnsi="宋体" w:eastAsia="宋体" w:cs="宋体"/>
          <w:bCs/>
          <w:color w:val="auto"/>
          <w:highlight w:val="none"/>
        </w:rPr>
        <w:t>5.5.3中标候选人</w:t>
      </w:r>
      <w:bookmarkEnd w:id="185"/>
      <w:bookmarkEnd w:id="186"/>
      <w:bookmarkEnd w:id="187"/>
    </w:p>
    <w:p w14:paraId="2B5AD6EB">
      <w:pPr>
        <w:spacing w:line="360" w:lineRule="auto"/>
        <w:ind w:left="300" w:leftChars="143"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评标委员会按对各投标人的评标总得分由高到低顺序排列，推荐前3名为中标候选人。排名第一的投标人为第一中标候选人，排名第二的投标人为第二中标候选人，排名第三的投标人为第三中标候选人。评标总得分相同的，名次按技术分较高者排名靠前；评标总得分相同，且技术得分相同的，名次按商务分较高者排名靠前；评标总得分相同、商务评分和技术评分均相同的，名次由评标委员会投票决定；最后，评标委员会写出评标报告，将推荐的中标候选人报招标人核准。</w:t>
      </w:r>
    </w:p>
    <w:p w14:paraId="14D8E33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4D456FC7">
      <w:pPr>
        <w:tabs>
          <w:tab w:val="left" w:pos="824"/>
        </w:tabs>
        <w:spacing w:line="360" w:lineRule="auto"/>
        <w:ind w:firstLine="525" w:firstLineChars="250"/>
        <w:rPr>
          <w:rFonts w:hint="default" w:ascii="宋体" w:hAnsi="宋体" w:eastAsia="宋体"/>
          <w:color w:val="auto"/>
          <w:highlight w:val="none"/>
          <w:lang w:val="en-US" w:eastAsia="zh-CN"/>
        </w:rPr>
      </w:pPr>
      <w:bookmarkStart w:id="188" w:name="_Toc32432_WPSOffice_Level1"/>
      <w:bookmarkStart w:id="189" w:name="_Toc12541_WPSOffice_Level1"/>
      <w:bookmarkStart w:id="190" w:name="_Toc32248_WPSOffice_Level1"/>
      <w:r>
        <w:rPr>
          <w:rFonts w:ascii="宋体" w:hAnsi="宋体"/>
          <w:color w:val="auto"/>
          <w:highlight w:val="none"/>
        </w:rPr>
        <w:t xml:space="preserve">附表1    </w:t>
      </w:r>
      <w:r>
        <w:rPr>
          <w:rFonts w:hint="eastAsia" w:ascii="宋体" w:hAnsi="宋体"/>
          <w:color w:val="auto"/>
          <w:highlight w:val="none"/>
          <w:lang w:val="en-US" w:eastAsia="zh-CN"/>
        </w:rPr>
        <w:t>符合性审查表（阶段一）</w:t>
      </w:r>
    </w:p>
    <w:p w14:paraId="65294095">
      <w:pPr>
        <w:tabs>
          <w:tab w:val="left" w:pos="824"/>
        </w:tabs>
        <w:spacing w:line="360" w:lineRule="auto"/>
        <w:ind w:firstLine="525" w:firstLineChars="250"/>
        <w:rPr>
          <w:rFonts w:hint="eastAsia" w:ascii="宋体" w:hAnsi="宋体"/>
          <w:color w:val="auto"/>
          <w:highlight w:val="none"/>
        </w:rPr>
      </w:pPr>
      <w:r>
        <w:rPr>
          <w:rFonts w:ascii="宋体" w:hAnsi="宋体"/>
          <w:color w:val="auto"/>
          <w:highlight w:val="none"/>
        </w:rPr>
        <w:t xml:space="preserve">附表2    </w:t>
      </w:r>
      <w:r>
        <w:rPr>
          <w:rFonts w:hint="eastAsia" w:ascii="宋体" w:hAnsi="宋体"/>
          <w:color w:val="auto"/>
          <w:highlight w:val="none"/>
        </w:rPr>
        <w:t>技术评分表</w:t>
      </w:r>
    </w:p>
    <w:p w14:paraId="209C3C35">
      <w:pPr>
        <w:tabs>
          <w:tab w:val="left" w:pos="824"/>
        </w:tabs>
        <w:spacing w:line="360" w:lineRule="auto"/>
        <w:ind w:firstLine="525" w:firstLineChars="250"/>
        <w:rPr>
          <w:rFonts w:ascii="宋体" w:hAnsi="宋体"/>
          <w:color w:val="auto"/>
          <w:highlight w:val="none"/>
        </w:rPr>
      </w:pPr>
      <w:r>
        <w:rPr>
          <w:rFonts w:ascii="宋体" w:hAnsi="宋体"/>
          <w:color w:val="auto"/>
          <w:highlight w:val="none"/>
        </w:rPr>
        <w:t>附表3    商务</w:t>
      </w:r>
      <w:r>
        <w:rPr>
          <w:rFonts w:hint="eastAsia" w:ascii="宋体" w:hAnsi="宋体"/>
          <w:color w:val="auto"/>
          <w:highlight w:val="none"/>
        </w:rPr>
        <w:t>评分表</w:t>
      </w:r>
    </w:p>
    <w:p w14:paraId="7E95D498">
      <w:pPr>
        <w:tabs>
          <w:tab w:val="left" w:pos="824"/>
        </w:tabs>
        <w:spacing w:line="360" w:lineRule="auto"/>
        <w:ind w:firstLine="525" w:firstLineChars="250"/>
        <w:rPr>
          <w:rFonts w:hint="eastAsia" w:ascii="宋体" w:hAnsi="宋体" w:eastAsia="宋体" w:cs="宋体"/>
          <w:color w:val="auto"/>
          <w:highlight w:val="none"/>
        </w:rPr>
      </w:pPr>
      <w:r>
        <w:rPr>
          <w:rFonts w:ascii="宋体" w:hAnsi="宋体"/>
          <w:color w:val="auto"/>
          <w:highlight w:val="none"/>
        </w:rPr>
        <w:t>附表</w:t>
      </w:r>
      <w:r>
        <w:rPr>
          <w:rFonts w:hint="eastAsia" w:ascii="宋体" w:hAnsi="宋体"/>
          <w:color w:val="auto"/>
          <w:highlight w:val="none"/>
          <w:lang w:val="en-US" w:eastAsia="zh-CN"/>
        </w:rPr>
        <w:t>4</w:t>
      </w:r>
      <w:r>
        <w:rPr>
          <w:rFonts w:ascii="宋体" w:hAnsi="宋体"/>
          <w:color w:val="auto"/>
          <w:highlight w:val="none"/>
        </w:rPr>
        <w:t xml:space="preserve">    </w:t>
      </w:r>
      <w:r>
        <w:rPr>
          <w:rFonts w:hint="eastAsia" w:ascii="宋体" w:hAnsi="宋体"/>
          <w:color w:val="auto"/>
          <w:highlight w:val="none"/>
          <w:lang w:val="en-US" w:eastAsia="zh-CN"/>
        </w:rPr>
        <w:t>符合性审查表（阶段二）</w:t>
      </w:r>
    </w:p>
    <w:bookmarkEnd w:id="188"/>
    <w:bookmarkEnd w:id="189"/>
    <w:bookmarkEnd w:id="190"/>
    <w:p w14:paraId="6B1880E4">
      <w:pPr>
        <w:rPr>
          <w:rFonts w:hint="eastAsia" w:ascii="宋体" w:hAnsi="宋体" w:eastAsia="宋体" w:cs="宋体"/>
          <w:color w:val="auto"/>
          <w:highlight w:val="none"/>
        </w:rPr>
      </w:pPr>
    </w:p>
    <w:p w14:paraId="04EE43F6">
      <w:pPr>
        <w:rPr>
          <w:rFonts w:hint="eastAsia" w:ascii="宋体" w:hAnsi="宋体" w:eastAsia="宋体" w:cs="宋体"/>
          <w:color w:val="auto"/>
          <w:highlight w:val="none"/>
        </w:rPr>
      </w:pPr>
    </w:p>
    <w:p w14:paraId="023F8BC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0D67FAE">
      <w:pPr>
        <w:rPr>
          <w:rFonts w:hint="eastAsia" w:ascii="宋体" w:hAnsi="宋体" w:eastAsia="宋体" w:cs="宋体"/>
          <w:color w:val="auto"/>
          <w:highlight w:val="none"/>
        </w:rPr>
      </w:pPr>
    </w:p>
    <w:p w14:paraId="0D0052F9">
      <w:pPr>
        <w:spacing w:line="360" w:lineRule="auto"/>
        <w:rPr>
          <w:rFonts w:hint="eastAsia" w:ascii="宋体" w:hAnsi="宋体" w:eastAsia="宋体" w:cs="宋体"/>
          <w:b/>
          <w:color w:val="auto"/>
          <w:szCs w:val="24"/>
          <w:highlight w:val="none"/>
        </w:rPr>
      </w:pPr>
      <w:r>
        <w:rPr>
          <w:rFonts w:hint="eastAsia" w:ascii="宋体" w:hAnsi="宋体"/>
          <w:b/>
          <w:color w:val="auto"/>
          <w:szCs w:val="24"/>
          <w:highlight w:val="none"/>
        </w:rPr>
        <w:t>附表1：</w:t>
      </w:r>
      <w:r>
        <w:rPr>
          <w:rFonts w:hint="eastAsia" w:ascii="宋体" w:hAnsi="宋体"/>
          <w:b/>
          <w:color w:val="auto"/>
          <w:szCs w:val="24"/>
          <w:highlight w:val="none"/>
          <w:lang w:val="en-US" w:eastAsia="zh-CN"/>
        </w:rPr>
        <w:t>符合性</w:t>
      </w:r>
      <w:r>
        <w:rPr>
          <w:rFonts w:hint="eastAsia" w:ascii="宋体" w:hAnsi="宋体"/>
          <w:b/>
          <w:color w:val="auto"/>
          <w:szCs w:val="24"/>
          <w:highlight w:val="none"/>
        </w:rPr>
        <w:t>审查表</w:t>
      </w:r>
      <w:r>
        <w:rPr>
          <w:rFonts w:hint="eastAsia" w:ascii="宋体" w:hAnsi="宋体"/>
          <w:b/>
          <w:color w:val="auto"/>
          <w:szCs w:val="24"/>
          <w:highlight w:val="none"/>
          <w:lang w:eastAsia="zh-CN"/>
        </w:rPr>
        <w:t>（</w:t>
      </w:r>
      <w:r>
        <w:rPr>
          <w:rFonts w:hint="eastAsia" w:ascii="宋体" w:hAnsi="宋体"/>
          <w:b/>
          <w:color w:val="auto"/>
          <w:szCs w:val="24"/>
          <w:highlight w:val="none"/>
          <w:lang w:val="en-US" w:eastAsia="zh-CN"/>
        </w:rPr>
        <w:t>阶段一</w:t>
      </w:r>
      <w:r>
        <w:rPr>
          <w:rFonts w:hint="eastAsia" w:ascii="宋体" w:hAnsi="宋体"/>
          <w:b/>
          <w:color w:val="auto"/>
          <w:szCs w:val="24"/>
          <w:highlight w:val="none"/>
          <w:lang w:eastAsia="zh-CN"/>
        </w:rPr>
        <w:t>）</w:t>
      </w:r>
    </w:p>
    <w:p w14:paraId="5C51E520">
      <w:pPr>
        <w:jc w:val="center"/>
        <w:rPr>
          <w:rFonts w:hint="eastAsia" w:ascii="宋体" w:hAnsi="宋体" w:eastAsia="宋体" w:cs="宋体"/>
          <w:b/>
          <w:color w:val="auto"/>
          <w:sz w:val="28"/>
          <w:szCs w:val="28"/>
          <w:highlight w:val="none"/>
        </w:rPr>
      </w:pPr>
      <w:r>
        <w:rPr>
          <w:rFonts w:hint="eastAsia" w:ascii="宋体" w:hAnsi="宋体"/>
          <w:b/>
          <w:color w:val="auto"/>
          <w:sz w:val="28"/>
          <w:szCs w:val="28"/>
          <w:highlight w:val="none"/>
          <w:lang w:val="en-US" w:eastAsia="zh-CN"/>
        </w:rPr>
        <w:t>符合性</w:t>
      </w:r>
      <w:r>
        <w:rPr>
          <w:rFonts w:hint="eastAsia" w:ascii="宋体" w:hAnsi="宋体"/>
          <w:b/>
          <w:color w:val="auto"/>
          <w:sz w:val="28"/>
          <w:szCs w:val="28"/>
          <w:highlight w:val="none"/>
        </w:rPr>
        <w:t>审查表</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阶段一</w:t>
      </w:r>
      <w:r>
        <w:rPr>
          <w:rFonts w:hint="eastAsia" w:ascii="宋体" w:hAnsi="宋体"/>
          <w:b/>
          <w:color w:val="auto"/>
          <w:sz w:val="28"/>
          <w:szCs w:val="28"/>
          <w:highlight w:val="none"/>
          <w:lang w:eastAsia="zh-CN"/>
        </w:rPr>
        <w:t>）</w:t>
      </w:r>
    </w:p>
    <w:tbl>
      <w:tblPr>
        <w:tblStyle w:val="53"/>
        <w:tblW w:w="0" w:type="auto"/>
        <w:tblInd w:w="0" w:type="dxa"/>
        <w:tblLayout w:type="fixed"/>
        <w:tblCellMar>
          <w:top w:w="0" w:type="dxa"/>
          <w:left w:w="0" w:type="dxa"/>
          <w:bottom w:w="0" w:type="dxa"/>
          <w:right w:w="0" w:type="dxa"/>
        </w:tblCellMar>
      </w:tblPr>
      <w:tblGrid>
        <w:gridCol w:w="561"/>
        <w:gridCol w:w="4225"/>
        <w:gridCol w:w="746"/>
        <w:gridCol w:w="744"/>
        <w:gridCol w:w="744"/>
        <w:gridCol w:w="744"/>
        <w:gridCol w:w="744"/>
        <w:gridCol w:w="764"/>
      </w:tblGrid>
      <w:tr w14:paraId="7A3F3667">
        <w:tblPrEx>
          <w:tblCellMar>
            <w:top w:w="0" w:type="dxa"/>
            <w:left w:w="0" w:type="dxa"/>
            <w:bottom w:w="0" w:type="dxa"/>
            <w:right w:w="0" w:type="dxa"/>
          </w:tblCellMar>
        </w:tblPrEx>
        <w:trPr>
          <w:trHeight w:val="90" w:hRule="atLeast"/>
        </w:trPr>
        <w:tc>
          <w:tcPr>
            <w:tcW w:w="56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6F69401B">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序号</w:t>
            </w:r>
          </w:p>
        </w:tc>
        <w:tc>
          <w:tcPr>
            <w:tcW w:w="4225"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2D336EA2">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审查项目</w:t>
            </w:r>
          </w:p>
        </w:tc>
        <w:tc>
          <w:tcPr>
            <w:tcW w:w="4486"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826ECE7">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w:t>
            </w:r>
          </w:p>
        </w:tc>
      </w:tr>
      <w:tr w14:paraId="6A605BF7">
        <w:tblPrEx>
          <w:tblCellMar>
            <w:top w:w="0" w:type="dxa"/>
            <w:left w:w="0" w:type="dxa"/>
            <w:bottom w:w="0" w:type="dxa"/>
            <w:right w:w="0" w:type="dxa"/>
          </w:tblCellMar>
        </w:tblPrEx>
        <w:trPr>
          <w:trHeight w:val="211" w:hRule="atLeast"/>
        </w:trPr>
        <w:tc>
          <w:tcPr>
            <w:tcW w:w="56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52E4AC">
            <w:pPr>
              <w:jc w:val="center"/>
              <w:rPr>
                <w:rFonts w:hint="eastAsia" w:ascii="宋体" w:hAnsi="宋体" w:eastAsia="宋体" w:cs="宋体"/>
                <w:color w:val="auto"/>
                <w:szCs w:val="21"/>
                <w:highlight w:val="none"/>
              </w:rPr>
            </w:pPr>
          </w:p>
        </w:tc>
        <w:tc>
          <w:tcPr>
            <w:tcW w:w="422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0E7F2C60">
            <w:pPr>
              <w:jc w:val="center"/>
              <w:rPr>
                <w:rFonts w:hint="eastAsia" w:ascii="宋体" w:hAnsi="宋体" w:eastAsia="宋体" w:cs="宋体"/>
                <w:color w:val="auto"/>
                <w:szCs w:val="21"/>
                <w:highlight w:val="none"/>
              </w:rPr>
            </w:pP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3769D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6D429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03B8D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004B9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D</w:t>
            </w:r>
          </w:p>
        </w:tc>
        <w:tc>
          <w:tcPr>
            <w:tcW w:w="744" w:type="dxa"/>
            <w:tcBorders>
              <w:top w:val="single" w:color="auto" w:sz="4" w:space="0"/>
              <w:left w:val="nil"/>
              <w:bottom w:val="single" w:color="auto" w:sz="4" w:space="0"/>
              <w:right w:val="single" w:color="auto" w:sz="4" w:space="0"/>
            </w:tcBorders>
            <w:noWrap w:val="0"/>
            <w:vAlign w:val="center"/>
          </w:tcPr>
          <w:p w14:paraId="0F0BD44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E</w:t>
            </w:r>
          </w:p>
        </w:tc>
        <w:tc>
          <w:tcPr>
            <w:tcW w:w="764" w:type="dxa"/>
            <w:tcBorders>
              <w:top w:val="single" w:color="auto" w:sz="4" w:space="0"/>
              <w:left w:val="nil"/>
              <w:bottom w:val="single" w:color="auto" w:sz="4" w:space="0"/>
              <w:right w:val="single" w:color="auto" w:sz="4" w:space="0"/>
            </w:tcBorders>
            <w:noWrap w:val="0"/>
            <w:vAlign w:val="center"/>
          </w:tcPr>
          <w:p w14:paraId="63142F3A">
            <w:pPr>
              <w:jc w:val="center"/>
              <w:rPr>
                <w:rFonts w:hint="eastAsia" w:ascii="宋体" w:hAnsi="宋体" w:eastAsia="宋体" w:cs="宋体"/>
                <w:color w:val="auto"/>
                <w:szCs w:val="21"/>
                <w:highlight w:val="none"/>
              </w:rPr>
            </w:pPr>
            <w:r>
              <w:rPr>
                <w:rFonts w:hint="eastAsia" w:ascii="宋体" w:hAnsi="宋体" w:eastAsia="宋体" w:cs="宋体"/>
                <w:bCs/>
                <w:color w:val="auto"/>
                <w:kern w:val="0"/>
                <w:sz w:val="21"/>
                <w:szCs w:val="21"/>
                <w:highlight w:val="none"/>
                <w:lang w:val="en-US" w:eastAsia="zh-CN"/>
              </w:rPr>
              <w:t>...</w:t>
            </w:r>
          </w:p>
        </w:tc>
      </w:tr>
      <w:tr w14:paraId="1ECA5693">
        <w:tblPrEx>
          <w:tblCellMar>
            <w:top w:w="0" w:type="dxa"/>
            <w:left w:w="0" w:type="dxa"/>
            <w:bottom w:w="0" w:type="dxa"/>
            <w:right w:w="0" w:type="dxa"/>
          </w:tblCellMar>
        </w:tblPrEx>
        <w:trPr>
          <w:trHeight w:val="609" w:hRule="atLeast"/>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15608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4FC9B9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符合合格投标人资格条件；</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8833C2">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38B21E">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D4CC339">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86772D1">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vAlign w:val="center"/>
          </w:tcPr>
          <w:p w14:paraId="16CEE033">
            <w:pPr>
              <w:jc w:val="center"/>
              <w:rPr>
                <w:rFonts w:hint="eastAsia" w:ascii="宋体" w:hAnsi="宋体" w:eastAsia="宋体" w:cs="宋体"/>
                <w:color w:val="auto"/>
                <w:sz w:val="21"/>
                <w:szCs w:val="21"/>
                <w:highlight w:val="none"/>
              </w:rPr>
            </w:pPr>
          </w:p>
        </w:tc>
        <w:tc>
          <w:tcPr>
            <w:tcW w:w="764" w:type="dxa"/>
            <w:tcBorders>
              <w:top w:val="nil"/>
              <w:left w:val="nil"/>
              <w:bottom w:val="single" w:color="auto" w:sz="4" w:space="0"/>
              <w:right w:val="single" w:color="auto" w:sz="4" w:space="0"/>
            </w:tcBorders>
            <w:noWrap w:val="0"/>
            <w:vAlign w:val="center"/>
          </w:tcPr>
          <w:p w14:paraId="7C40BD4C">
            <w:pPr>
              <w:jc w:val="center"/>
              <w:rPr>
                <w:rFonts w:hint="eastAsia" w:ascii="宋体" w:hAnsi="宋体" w:eastAsia="宋体" w:cs="宋体"/>
                <w:color w:val="auto"/>
                <w:sz w:val="21"/>
                <w:szCs w:val="21"/>
                <w:highlight w:val="none"/>
              </w:rPr>
            </w:pPr>
          </w:p>
        </w:tc>
      </w:tr>
      <w:tr w14:paraId="7348E25D">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3AAEE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E5FA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投标文件按招标文件规定要求签署及盖章，由授权代表签署时有法定代表人出具的授权委托书；</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89EA0D">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9407EF">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F1BA3C5">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BD0EEF">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vAlign w:val="center"/>
          </w:tcPr>
          <w:p w14:paraId="72716858">
            <w:pPr>
              <w:jc w:val="center"/>
              <w:rPr>
                <w:rFonts w:hint="eastAsia" w:ascii="宋体" w:hAnsi="宋体" w:eastAsia="宋体" w:cs="宋体"/>
                <w:color w:val="auto"/>
                <w:sz w:val="21"/>
                <w:szCs w:val="21"/>
                <w:highlight w:val="none"/>
              </w:rPr>
            </w:pPr>
          </w:p>
        </w:tc>
        <w:tc>
          <w:tcPr>
            <w:tcW w:w="764" w:type="dxa"/>
            <w:tcBorders>
              <w:top w:val="nil"/>
              <w:left w:val="nil"/>
              <w:bottom w:val="single" w:color="auto" w:sz="4" w:space="0"/>
              <w:right w:val="single" w:color="auto" w:sz="4" w:space="0"/>
            </w:tcBorders>
            <w:noWrap w:val="0"/>
            <w:vAlign w:val="center"/>
          </w:tcPr>
          <w:p w14:paraId="2E1C0B94">
            <w:pPr>
              <w:jc w:val="center"/>
              <w:rPr>
                <w:rFonts w:hint="eastAsia" w:ascii="宋体" w:hAnsi="宋体" w:eastAsia="宋体" w:cs="宋体"/>
                <w:color w:val="auto"/>
                <w:sz w:val="21"/>
                <w:szCs w:val="21"/>
                <w:highlight w:val="none"/>
              </w:rPr>
            </w:pPr>
          </w:p>
        </w:tc>
      </w:tr>
      <w:tr w14:paraId="3475F78B">
        <w:tblPrEx>
          <w:tblCellMar>
            <w:top w:w="0" w:type="dxa"/>
            <w:left w:w="0" w:type="dxa"/>
            <w:bottom w:w="0" w:type="dxa"/>
            <w:right w:w="0" w:type="dxa"/>
          </w:tblCellMar>
        </w:tblPrEx>
        <w:trPr>
          <w:trHeight w:val="403"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0C4821">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77312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投标有效期满足招标文件要求；</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DD804B">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A4B06F">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A595D78">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29CE759">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vAlign w:val="center"/>
          </w:tcPr>
          <w:p w14:paraId="280B9C86">
            <w:pPr>
              <w:jc w:val="center"/>
              <w:rPr>
                <w:rFonts w:hint="eastAsia" w:ascii="宋体" w:hAnsi="宋体" w:eastAsia="宋体" w:cs="宋体"/>
                <w:color w:val="auto"/>
                <w:sz w:val="21"/>
                <w:szCs w:val="21"/>
                <w:highlight w:val="none"/>
              </w:rPr>
            </w:pPr>
          </w:p>
        </w:tc>
        <w:tc>
          <w:tcPr>
            <w:tcW w:w="764" w:type="dxa"/>
            <w:tcBorders>
              <w:top w:val="nil"/>
              <w:left w:val="nil"/>
              <w:bottom w:val="single" w:color="auto" w:sz="4" w:space="0"/>
              <w:right w:val="single" w:color="auto" w:sz="4" w:space="0"/>
            </w:tcBorders>
            <w:noWrap w:val="0"/>
            <w:vAlign w:val="center"/>
          </w:tcPr>
          <w:p w14:paraId="034B4C45">
            <w:pPr>
              <w:jc w:val="center"/>
              <w:rPr>
                <w:rFonts w:hint="eastAsia" w:ascii="宋体" w:hAnsi="宋体" w:eastAsia="宋体" w:cs="宋体"/>
                <w:color w:val="auto"/>
                <w:sz w:val="21"/>
                <w:szCs w:val="21"/>
                <w:highlight w:val="none"/>
              </w:rPr>
            </w:pPr>
          </w:p>
        </w:tc>
      </w:tr>
      <w:tr w14:paraId="6B61BC4B">
        <w:tblPrEx>
          <w:tblCellMar>
            <w:top w:w="0" w:type="dxa"/>
            <w:left w:w="0" w:type="dxa"/>
            <w:bottom w:w="0" w:type="dxa"/>
            <w:right w:w="0" w:type="dxa"/>
          </w:tblCellMar>
        </w:tblPrEx>
        <w:trPr>
          <w:trHeight w:val="403"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55B264">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0F226F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按招标文件要求提交投标保证金；</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18BE91">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6C19B28">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8C5ADA1">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E2A96D">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vAlign w:val="center"/>
          </w:tcPr>
          <w:p w14:paraId="4B09515F">
            <w:pPr>
              <w:jc w:val="center"/>
              <w:rPr>
                <w:rFonts w:hint="eastAsia" w:ascii="宋体" w:hAnsi="宋体" w:eastAsia="宋体" w:cs="宋体"/>
                <w:color w:val="auto"/>
                <w:sz w:val="21"/>
                <w:szCs w:val="21"/>
                <w:highlight w:val="none"/>
              </w:rPr>
            </w:pPr>
          </w:p>
        </w:tc>
        <w:tc>
          <w:tcPr>
            <w:tcW w:w="764" w:type="dxa"/>
            <w:tcBorders>
              <w:top w:val="nil"/>
              <w:left w:val="nil"/>
              <w:bottom w:val="single" w:color="auto" w:sz="4" w:space="0"/>
              <w:right w:val="single" w:color="auto" w:sz="4" w:space="0"/>
            </w:tcBorders>
            <w:noWrap w:val="0"/>
            <w:vAlign w:val="center"/>
          </w:tcPr>
          <w:p w14:paraId="0C67E9BB">
            <w:pPr>
              <w:jc w:val="center"/>
              <w:rPr>
                <w:rFonts w:hint="eastAsia" w:ascii="宋体" w:hAnsi="宋体" w:eastAsia="宋体" w:cs="宋体"/>
                <w:color w:val="auto"/>
                <w:sz w:val="21"/>
                <w:szCs w:val="21"/>
                <w:highlight w:val="none"/>
              </w:rPr>
            </w:pPr>
          </w:p>
        </w:tc>
      </w:tr>
      <w:tr w14:paraId="0D93D4CC">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99CDD3">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80B5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号条款要求必须满足，投标文件的内容实质性满足招标文件无重大偏离或保留，否则按废标处理，没有出现法律、法规</w:t>
            </w:r>
            <w:r>
              <w:rPr>
                <w:rFonts w:hint="eastAsia" w:ascii="宋体" w:hAnsi="宋体" w:cs="宋体"/>
                <w:color w:val="auto"/>
                <w:szCs w:val="21"/>
                <w:highlight w:val="none"/>
              </w:rPr>
              <w:t>规定的情形</w:t>
            </w:r>
            <w:r>
              <w:rPr>
                <w:rFonts w:hint="eastAsia" w:ascii="宋体" w:hAnsi="宋体" w:eastAsia="宋体" w:cs="宋体"/>
                <w:color w:val="auto"/>
                <w:szCs w:val="21"/>
                <w:highlight w:val="none"/>
              </w:rPr>
              <w:t>；</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76BD986">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78B3C0">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60B5DA">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2B641E">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vAlign w:val="center"/>
          </w:tcPr>
          <w:p w14:paraId="648AC62B">
            <w:pPr>
              <w:jc w:val="center"/>
              <w:rPr>
                <w:rFonts w:hint="eastAsia" w:ascii="宋体" w:hAnsi="宋体" w:eastAsia="宋体" w:cs="宋体"/>
                <w:color w:val="auto"/>
                <w:sz w:val="21"/>
                <w:szCs w:val="21"/>
                <w:highlight w:val="none"/>
              </w:rPr>
            </w:pPr>
          </w:p>
        </w:tc>
        <w:tc>
          <w:tcPr>
            <w:tcW w:w="764" w:type="dxa"/>
            <w:tcBorders>
              <w:top w:val="nil"/>
              <w:left w:val="nil"/>
              <w:bottom w:val="single" w:color="auto" w:sz="4" w:space="0"/>
              <w:right w:val="single" w:color="auto" w:sz="4" w:space="0"/>
            </w:tcBorders>
            <w:noWrap w:val="0"/>
            <w:vAlign w:val="center"/>
          </w:tcPr>
          <w:p w14:paraId="1E1B8BEA">
            <w:pPr>
              <w:jc w:val="center"/>
              <w:rPr>
                <w:rFonts w:hint="eastAsia" w:ascii="宋体" w:hAnsi="宋体" w:eastAsia="宋体" w:cs="宋体"/>
                <w:color w:val="auto"/>
                <w:sz w:val="21"/>
                <w:szCs w:val="21"/>
                <w:highlight w:val="none"/>
              </w:rPr>
            </w:pPr>
          </w:p>
        </w:tc>
      </w:tr>
      <w:tr w14:paraId="71BC765D">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D884A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1F79A9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投标文件未附有招标人不能接受的条件的。</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090B22">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332388E">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0C59443">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5B0565">
            <w:pPr>
              <w:jc w:val="center"/>
              <w:rPr>
                <w:rFonts w:hint="eastAsia" w:ascii="宋体" w:hAnsi="宋体" w:eastAsia="宋体" w:cs="宋体"/>
                <w:color w:val="auto"/>
                <w:sz w:val="21"/>
                <w:szCs w:val="21"/>
                <w:highlight w:val="none"/>
              </w:rPr>
            </w:pPr>
          </w:p>
        </w:tc>
        <w:tc>
          <w:tcPr>
            <w:tcW w:w="744" w:type="dxa"/>
            <w:tcBorders>
              <w:top w:val="nil"/>
              <w:left w:val="nil"/>
              <w:bottom w:val="single" w:color="auto" w:sz="4" w:space="0"/>
              <w:right w:val="single" w:color="auto" w:sz="4" w:space="0"/>
            </w:tcBorders>
            <w:noWrap w:val="0"/>
            <w:vAlign w:val="center"/>
          </w:tcPr>
          <w:p w14:paraId="67E16793">
            <w:pPr>
              <w:jc w:val="center"/>
              <w:rPr>
                <w:rFonts w:hint="eastAsia" w:ascii="宋体" w:hAnsi="宋体" w:eastAsia="宋体" w:cs="宋体"/>
                <w:color w:val="auto"/>
                <w:sz w:val="21"/>
                <w:szCs w:val="21"/>
                <w:highlight w:val="none"/>
              </w:rPr>
            </w:pPr>
          </w:p>
        </w:tc>
        <w:tc>
          <w:tcPr>
            <w:tcW w:w="764" w:type="dxa"/>
            <w:tcBorders>
              <w:top w:val="nil"/>
              <w:left w:val="nil"/>
              <w:bottom w:val="single" w:color="auto" w:sz="4" w:space="0"/>
              <w:right w:val="single" w:color="auto" w:sz="4" w:space="0"/>
            </w:tcBorders>
            <w:noWrap w:val="0"/>
            <w:vAlign w:val="center"/>
          </w:tcPr>
          <w:p w14:paraId="1E02D683">
            <w:pPr>
              <w:jc w:val="center"/>
              <w:rPr>
                <w:rFonts w:hint="eastAsia" w:ascii="宋体" w:hAnsi="宋体" w:eastAsia="宋体" w:cs="宋体"/>
                <w:color w:val="auto"/>
                <w:sz w:val="21"/>
                <w:szCs w:val="21"/>
                <w:highlight w:val="none"/>
              </w:rPr>
            </w:pPr>
          </w:p>
        </w:tc>
      </w:tr>
      <w:tr w14:paraId="18AF2DB3">
        <w:tblPrEx>
          <w:tblCellMar>
            <w:top w:w="0" w:type="dxa"/>
            <w:left w:w="0" w:type="dxa"/>
            <w:bottom w:w="0" w:type="dxa"/>
            <w:right w:w="0" w:type="dxa"/>
          </w:tblCellMar>
        </w:tblPrEx>
        <w:trPr>
          <w:trHeight w:val="356" w:hRule="atLeast"/>
        </w:trPr>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3A0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结      论</w:t>
            </w: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4998025">
            <w:pPr>
              <w:jc w:val="center"/>
              <w:rPr>
                <w:rFonts w:hint="eastAsia" w:ascii="宋体" w:hAnsi="宋体" w:eastAsia="宋体" w:cs="宋体"/>
                <w:b/>
                <w:bCs/>
                <w:color w:val="auto"/>
                <w:sz w:val="21"/>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A0E961">
            <w:pPr>
              <w:jc w:val="center"/>
              <w:rPr>
                <w:rFonts w:hint="eastAsia" w:ascii="宋体" w:hAnsi="宋体" w:eastAsia="宋体" w:cs="宋体"/>
                <w:b/>
                <w:bCs/>
                <w:color w:val="auto"/>
                <w:sz w:val="21"/>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C86B0B">
            <w:pPr>
              <w:jc w:val="center"/>
              <w:rPr>
                <w:rFonts w:hint="eastAsia" w:ascii="宋体" w:hAnsi="宋体" w:eastAsia="宋体" w:cs="宋体"/>
                <w:color w:val="auto"/>
                <w:sz w:val="21"/>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A245388">
            <w:pPr>
              <w:jc w:val="center"/>
              <w:rPr>
                <w:rFonts w:hint="eastAsia" w:ascii="宋体" w:hAnsi="宋体" w:eastAsia="宋体" w:cs="宋体"/>
                <w:b/>
                <w:bCs/>
                <w:color w:val="auto"/>
                <w:sz w:val="21"/>
                <w:szCs w:val="21"/>
                <w:highlight w:val="none"/>
              </w:rPr>
            </w:pPr>
          </w:p>
        </w:tc>
        <w:tc>
          <w:tcPr>
            <w:tcW w:w="744" w:type="dxa"/>
            <w:tcBorders>
              <w:top w:val="single" w:color="auto" w:sz="4" w:space="0"/>
              <w:left w:val="nil"/>
              <w:bottom w:val="single" w:color="auto" w:sz="4" w:space="0"/>
              <w:right w:val="single" w:color="auto" w:sz="4" w:space="0"/>
            </w:tcBorders>
            <w:noWrap w:val="0"/>
            <w:vAlign w:val="center"/>
          </w:tcPr>
          <w:p w14:paraId="7FCD8F4D">
            <w:pPr>
              <w:jc w:val="center"/>
              <w:rPr>
                <w:rFonts w:hint="eastAsia" w:ascii="宋体" w:hAnsi="宋体" w:eastAsia="宋体" w:cs="宋体"/>
                <w:b/>
                <w:bCs/>
                <w:color w:val="auto"/>
                <w:sz w:val="21"/>
                <w:szCs w:val="21"/>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1E39853D">
            <w:pPr>
              <w:jc w:val="center"/>
              <w:rPr>
                <w:rFonts w:hint="eastAsia" w:ascii="宋体" w:hAnsi="宋体" w:eastAsia="宋体" w:cs="宋体"/>
                <w:b/>
                <w:bCs/>
                <w:color w:val="auto"/>
                <w:sz w:val="21"/>
                <w:szCs w:val="21"/>
                <w:highlight w:val="none"/>
              </w:rPr>
            </w:pPr>
          </w:p>
        </w:tc>
      </w:tr>
    </w:tbl>
    <w:p w14:paraId="6222D8EA">
      <w:pPr>
        <w:spacing w:line="360" w:lineRule="auto"/>
        <w:rPr>
          <w:rFonts w:hint="eastAsia" w:ascii="宋体" w:hAnsi="宋体" w:eastAsia="宋体" w:cs="宋体"/>
          <w:color w:val="auto"/>
          <w:highlight w:val="none"/>
        </w:rPr>
      </w:pPr>
    </w:p>
    <w:p w14:paraId="4167BC85">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备注：1、每一项目符合的打“○”，不符合的打“×”；出现一个“×”的结论为不通过。</w:t>
      </w:r>
    </w:p>
    <w:p w14:paraId="2CE80FEA">
      <w:pPr>
        <w:spacing w:line="360" w:lineRule="auto"/>
        <w:ind w:firstLine="630"/>
        <w:rPr>
          <w:rFonts w:hint="eastAsia" w:ascii="宋体" w:hAnsi="宋体" w:eastAsia="宋体" w:cs="宋体"/>
          <w:b/>
          <w:bCs/>
          <w:color w:val="auto"/>
          <w:highlight w:val="none"/>
        </w:rPr>
      </w:pPr>
      <w:bookmarkStart w:id="191" w:name="_Toc23841_WPSOffice_Level1"/>
      <w:bookmarkStart w:id="192" w:name="_Toc2981_WPSOffice_Level1"/>
      <w:bookmarkStart w:id="193" w:name="_Toc18088_WPSOffice_Level1"/>
      <w:r>
        <w:rPr>
          <w:rFonts w:hint="eastAsia" w:ascii="宋体" w:hAnsi="宋体" w:eastAsia="宋体" w:cs="宋体"/>
          <w:b/>
          <w:bCs/>
          <w:color w:val="auto"/>
          <w:highlight w:val="none"/>
        </w:rPr>
        <w:t>2、表中全部条件满足的结论为通过， 同意进入下一阶段评议。</w:t>
      </w:r>
      <w:bookmarkEnd w:id="191"/>
      <w:bookmarkEnd w:id="192"/>
      <w:bookmarkEnd w:id="193"/>
    </w:p>
    <w:p w14:paraId="0ABA91F6">
      <w:pPr>
        <w:jc w:val="left"/>
        <w:rPr>
          <w:rFonts w:hint="eastAsia" w:ascii="宋体" w:hAnsi="宋体" w:eastAsia="宋体" w:cs="宋体"/>
          <w:color w:val="auto"/>
          <w:highlight w:val="none"/>
        </w:rPr>
      </w:pPr>
    </w:p>
    <w:p w14:paraId="647A477F">
      <w:pPr>
        <w:pStyle w:val="20"/>
        <w:rPr>
          <w:rFonts w:hint="eastAsia" w:ascii="宋体" w:hAnsi="宋体" w:eastAsia="宋体" w:cs="宋体"/>
          <w:color w:val="auto"/>
          <w:highlight w:val="none"/>
        </w:rPr>
      </w:pPr>
    </w:p>
    <w:p w14:paraId="0E81E222">
      <w:pPr>
        <w:pStyle w:val="26"/>
        <w:rPr>
          <w:rFonts w:hint="eastAsia" w:ascii="宋体" w:hAnsi="宋体" w:eastAsia="宋体" w:cs="宋体"/>
          <w:color w:val="auto"/>
          <w:highlight w:val="none"/>
        </w:rPr>
      </w:pPr>
    </w:p>
    <w:p w14:paraId="500715D6">
      <w:pPr>
        <w:pStyle w:val="26"/>
        <w:rPr>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bookmarkStart w:id="194" w:name="_Toc30424_WPSOffice_Level1"/>
      <w:bookmarkStart w:id="195" w:name="_Toc1778_WPSOffice_Level1"/>
      <w:bookmarkStart w:id="196" w:name="_Toc16973_WPSOffice_Level1"/>
      <w:r>
        <w:rPr>
          <w:rFonts w:hint="eastAsia" w:ascii="宋体" w:hAnsi="宋体" w:eastAsia="宋体" w:cs="宋体"/>
          <w:b/>
          <w:color w:val="auto"/>
          <w:highlight w:val="none"/>
        </w:rPr>
        <w:t>附表2：</w:t>
      </w:r>
      <w:bookmarkEnd w:id="194"/>
      <w:bookmarkEnd w:id="195"/>
      <w:bookmarkEnd w:id="196"/>
      <w:r>
        <w:rPr>
          <w:rFonts w:hint="eastAsia" w:ascii="宋体" w:hAnsi="宋体" w:eastAsia="宋体" w:cs="宋体"/>
          <w:b/>
          <w:color w:val="auto"/>
          <w:highlight w:val="none"/>
        </w:rPr>
        <w:t>技术评分表</w:t>
      </w:r>
    </w:p>
    <w:p w14:paraId="3448696D">
      <w:pPr>
        <w:jc w:val="center"/>
        <w:rPr>
          <w:rFonts w:hint="eastAsia" w:ascii="宋体" w:hAnsi="宋体" w:eastAsia="宋体" w:cs="宋体"/>
          <w:b/>
          <w:color w:val="auto"/>
          <w:sz w:val="28"/>
          <w:szCs w:val="28"/>
          <w:highlight w:val="none"/>
        </w:rPr>
      </w:pPr>
      <w:bookmarkStart w:id="197" w:name="_Toc15598_WPSOffice_Level1"/>
      <w:bookmarkStart w:id="198" w:name="_Toc13899_WPSOffice_Level1"/>
      <w:bookmarkStart w:id="199" w:name="_Toc23766_WPSOffice_Level1"/>
      <w:r>
        <w:rPr>
          <w:rFonts w:hint="eastAsia" w:ascii="宋体" w:hAnsi="宋体" w:eastAsia="宋体" w:cs="宋体"/>
          <w:b/>
          <w:color w:val="auto"/>
          <w:sz w:val="28"/>
          <w:szCs w:val="28"/>
          <w:highlight w:val="none"/>
        </w:rPr>
        <w:t>技术评分表</w:t>
      </w:r>
    </w:p>
    <w:tbl>
      <w:tblPr>
        <w:tblStyle w:val="5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04"/>
        <w:gridCol w:w="1449"/>
        <w:gridCol w:w="6873"/>
        <w:gridCol w:w="713"/>
      </w:tblGrid>
      <w:tr w14:paraId="1CBE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604" w:type="dxa"/>
            <w:noWrap w:val="0"/>
            <w:vAlign w:val="center"/>
          </w:tcPr>
          <w:p w14:paraId="6E1271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49" w:type="dxa"/>
            <w:noWrap w:val="0"/>
            <w:vAlign w:val="center"/>
          </w:tcPr>
          <w:p w14:paraId="05D59E2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评审项目</w:t>
            </w:r>
          </w:p>
        </w:tc>
        <w:tc>
          <w:tcPr>
            <w:tcW w:w="6873" w:type="dxa"/>
            <w:tcBorders>
              <w:bottom w:val="single" w:color="auto" w:sz="4" w:space="0"/>
            </w:tcBorders>
            <w:noWrap w:val="0"/>
            <w:vAlign w:val="center"/>
          </w:tcPr>
          <w:p w14:paraId="67339CB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评分细则</w:t>
            </w:r>
          </w:p>
        </w:tc>
        <w:tc>
          <w:tcPr>
            <w:tcW w:w="713" w:type="dxa"/>
            <w:noWrap w:val="0"/>
            <w:vAlign w:val="center"/>
          </w:tcPr>
          <w:p w14:paraId="2812AB8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单项分数</w:t>
            </w:r>
          </w:p>
        </w:tc>
      </w:tr>
      <w:tr w14:paraId="470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604" w:type="dxa"/>
            <w:noWrap w:val="0"/>
            <w:vAlign w:val="center"/>
          </w:tcPr>
          <w:p w14:paraId="318857B2">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49" w:type="dxa"/>
            <w:noWrap w:val="0"/>
            <w:vAlign w:val="center"/>
          </w:tcPr>
          <w:p w14:paraId="051EF153">
            <w:pPr>
              <w:spacing w:line="360" w:lineRule="auto"/>
              <w:jc w:val="center"/>
              <w:rPr>
                <w:rFonts w:hint="eastAsia" w:ascii="宋体" w:hAnsi="宋体" w:eastAsia="宋体" w:cs="宋体"/>
                <w:color w:val="auto"/>
                <w:szCs w:val="21"/>
                <w:highlight w:val="none"/>
              </w:rPr>
            </w:pPr>
            <w:r>
              <w:rPr>
                <w:rFonts w:hint="default" w:ascii="宋体" w:hAnsi="宋体" w:eastAsia="宋体" w:cs="宋体"/>
                <w:spacing w:val="-2"/>
                <w:szCs w:val="21"/>
                <w:highlight w:val="none"/>
              </w:rPr>
              <w:t>项目实施方案</w:t>
            </w:r>
          </w:p>
        </w:tc>
        <w:tc>
          <w:tcPr>
            <w:tcW w:w="6873" w:type="dxa"/>
            <w:tcBorders>
              <w:bottom w:val="single" w:color="auto" w:sz="4" w:space="0"/>
            </w:tcBorders>
            <w:noWrap w:val="0"/>
            <w:vAlign w:val="center"/>
          </w:tcPr>
          <w:p w14:paraId="7E283D7C">
            <w:pPr>
              <w:spacing w:line="360" w:lineRule="auto"/>
              <w:jc w:val="left"/>
              <w:rPr>
                <w:rFonts w:ascii="宋体" w:hAnsi="宋体" w:cs="宋体"/>
                <w:szCs w:val="21"/>
                <w:highlight w:val="none"/>
              </w:rPr>
            </w:pPr>
            <w:r>
              <w:rPr>
                <w:rFonts w:hint="eastAsia" w:ascii="宋体" w:hAnsi="宋体" w:cs="宋体"/>
                <w:szCs w:val="21"/>
                <w:highlight w:val="none"/>
              </w:rPr>
              <w:t>投标人针对招标内容制定相应的实施方案和进度方案，方案制定清晰、详细、内容齐全、进度计划合理等方面综合评审，</w:t>
            </w:r>
          </w:p>
          <w:p w14:paraId="4F094798">
            <w:pPr>
              <w:spacing w:line="360" w:lineRule="auto"/>
              <w:jc w:val="left"/>
              <w:rPr>
                <w:rFonts w:ascii="宋体" w:hAnsi="宋体" w:cs="宋体"/>
                <w:szCs w:val="21"/>
                <w:highlight w:val="none"/>
              </w:rPr>
            </w:pPr>
            <w:r>
              <w:rPr>
                <w:rFonts w:hint="eastAsia" w:ascii="宋体" w:hAnsi="宋体" w:cs="宋体"/>
                <w:szCs w:val="21"/>
                <w:highlight w:val="none"/>
              </w:rPr>
              <w:t>1）方案制定清晰、详细、合理、内容齐全、进度计划合理的得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0576CB62">
            <w:pPr>
              <w:spacing w:line="360" w:lineRule="auto"/>
              <w:jc w:val="left"/>
              <w:rPr>
                <w:rFonts w:ascii="宋体" w:hAnsi="宋体" w:cs="宋体"/>
                <w:szCs w:val="21"/>
                <w:highlight w:val="none"/>
              </w:rPr>
            </w:pPr>
            <w:r>
              <w:rPr>
                <w:rFonts w:hint="eastAsia" w:ascii="宋体" w:hAnsi="宋体" w:cs="宋体"/>
                <w:szCs w:val="21"/>
                <w:highlight w:val="none"/>
              </w:rPr>
              <w:t>2）方案制定较好的 得</w:t>
            </w:r>
            <w:r>
              <w:rPr>
                <w:rFonts w:hint="eastAsia" w:ascii="宋体" w:hAnsi="宋体" w:cs="宋体"/>
                <w:szCs w:val="21"/>
                <w:highlight w:val="none"/>
                <w:lang w:val="en-US" w:eastAsia="zh-CN"/>
              </w:rPr>
              <w:t>3</w:t>
            </w:r>
            <w:r>
              <w:rPr>
                <w:rFonts w:hint="eastAsia" w:ascii="宋体" w:hAnsi="宋体" w:cs="宋体"/>
                <w:szCs w:val="21"/>
                <w:highlight w:val="none"/>
              </w:rPr>
              <w:t>分，</w:t>
            </w:r>
          </w:p>
          <w:p w14:paraId="0CDB8171">
            <w:pPr>
              <w:spacing w:line="360" w:lineRule="auto"/>
              <w:jc w:val="left"/>
              <w:rPr>
                <w:rFonts w:ascii="宋体" w:hAnsi="宋体" w:cs="宋体"/>
                <w:szCs w:val="21"/>
                <w:highlight w:val="none"/>
              </w:rPr>
            </w:pPr>
            <w:r>
              <w:rPr>
                <w:rFonts w:hint="eastAsia" w:ascii="宋体" w:hAnsi="宋体" w:cs="宋体"/>
                <w:szCs w:val="21"/>
                <w:highlight w:val="none"/>
              </w:rPr>
              <w:t>3）方案制定一般的得</w:t>
            </w:r>
            <w:r>
              <w:rPr>
                <w:rFonts w:hint="eastAsia" w:ascii="宋体" w:hAnsi="宋体" w:cs="宋体"/>
                <w:szCs w:val="21"/>
                <w:highlight w:val="none"/>
                <w:lang w:val="en-US" w:eastAsia="zh-CN"/>
              </w:rPr>
              <w:t>1</w:t>
            </w:r>
            <w:r>
              <w:rPr>
                <w:rFonts w:hint="eastAsia" w:ascii="宋体" w:hAnsi="宋体" w:cs="宋体"/>
                <w:szCs w:val="21"/>
                <w:highlight w:val="none"/>
              </w:rPr>
              <w:t>分，</w:t>
            </w:r>
          </w:p>
          <w:p w14:paraId="56691A7D">
            <w:pPr>
              <w:spacing w:line="360" w:lineRule="auto"/>
              <w:jc w:val="left"/>
              <w:rPr>
                <w:rFonts w:hint="eastAsia" w:ascii="宋体" w:hAnsi="宋体" w:eastAsia="宋体" w:cs="宋体"/>
                <w:color w:val="auto"/>
                <w:szCs w:val="21"/>
                <w:highlight w:val="none"/>
              </w:rPr>
            </w:pPr>
            <w:r>
              <w:rPr>
                <w:rFonts w:hint="eastAsia" w:ascii="宋体" w:hAnsi="宋体" w:cs="宋体"/>
                <w:szCs w:val="21"/>
                <w:highlight w:val="none"/>
              </w:rPr>
              <w:t>4）未提供的不得分。</w:t>
            </w:r>
          </w:p>
        </w:tc>
        <w:tc>
          <w:tcPr>
            <w:tcW w:w="713" w:type="dxa"/>
            <w:noWrap w:val="0"/>
            <w:vAlign w:val="center"/>
          </w:tcPr>
          <w:p w14:paraId="4305DF6D">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r>
      <w:tr w14:paraId="222E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14:paraId="74488130">
            <w:pPr>
              <w:widowControl/>
              <w:adjustRightInd w:val="0"/>
              <w:snapToGrid w:val="0"/>
              <w:spacing w:after="120"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449" w:type="dxa"/>
            <w:noWrap w:val="0"/>
            <w:vAlign w:val="center"/>
          </w:tcPr>
          <w:p w14:paraId="6D89C0E5">
            <w:pPr>
              <w:spacing w:line="360" w:lineRule="auto"/>
              <w:jc w:val="center"/>
              <w:rPr>
                <w:rFonts w:hint="eastAsia" w:ascii="宋体" w:hAnsi="宋体" w:eastAsia="宋体" w:cs="宋体"/>
                <w:color w:val="auto"/>
                <w:szCs w:val="21"/>
                <w:highlight w:val="none"/>
                <w:lang w:val="en-US" w:eastAsia="zh-CN"/>
              </w:rPr>
            </w:pPr>
            <w:r>
              <w:rPr>
                <w:rFonts w:ascii="宋体" w:hAnsi="宋体" w:cs="宋体"/>
                <w:spacing w:val="-4"/>
                <w:szCs w:val="21"/>
                <w:highlight w:val="none"/>
              </w:rPr>
              <w:t>设备的</w:t>
            </w:r>
            <w:r>
              <w:rPr>
                <w:rFonts w:ascii="宋体" w:hAnsi="宋体" w:cs="宋体"/>
                <w:spacing w:val="-2"/>
                <w:szCs w:val="21"/>
                <w:highlight w:val="none"/>
              </w:rPr>
              <w:t>选型、稳</w:t>
            </w:r>
            <w:r>
              <w:rPr>
                <w:rFonts w:ascii="宋体" w:hAnsi="宋体" w:cs="宋体"/>
                <w:spacing w:val="-4"/>
                <w:szCs w:val="21"/>
                <w:highlight w:val="none"/>
              </w:rPr>
              <w:t>定</w:t>
            </w:r>
            <w:r>
              <w:rPr>
                <w:rFonts w:ascii="宋体" w:hAnsi="宋体" w:cs="宋体"/>
                <w:spacing w:val="-3"/>
                <w:szCs w:val="21"/>
                <w:highlight w:val="none"/>
              </w:rPr>
              <w:t>性等</w:t>
            </w:r>
          </w:p>
        </w:tc>
        <w:tc>
          <w:tcPr>
            <w:tcW w:w="6873" w:type="dxa"/>
            <w:noWrap w:val="0"/>
            <w:vAlign w:val="center"/>
          </w:tcPr>
          <w:p w14:paraId="1F65828D">
            <w:pPr>
              <w:spacing w:line="360" w:lineRule="auto"/>
              <w:rPr>
                <w:rFonts w:ascii="宋体" w:hAnsi="宋体" w:cs="宋体"/>
                <w:szCs w:val="21"/>
                <w:highlight w:val="none"/>
              </w:rPr>
            </w:pPr>
            <w:r>
              <w:rPr>
                <w:rFonts w:ascii="宋体" w:hAnsi="宋体" w:cs="宋体"/>
                <w:spacing w:val="-2"/>
                <w:szCs w:val="21"/>
                <w:highlight w:val="none"/>
              </w:rPr>
              <w:t>根据投标人设备的</w:t>
            </w:r>
            <w:r>
              <w:rPr>
                <w:rFonts w:ascii="宋体" w:hAnsi="宋体" w:cs="宋体"/>
                <w:spacing w:val="-1"/>
                <w:szCs w:val="21"/>
                <w:highlight w:val="none"/>
              </w:rPr>
              <w:t>选型、稳定性等作出评价：</w:t>
            </w:r>
          </w:p>
          <w:p w14:paraId="51EA9219">
            <w:pPr>
              <w:spacing w:line="360" w:lineRule="auto"/>
              <w:jc w:val="left"/>
              <w:rPr>
                <w:rFonts w:ascii="宋体" w:hAnsi="宋体" w:cs="宋体"/>
                <w:szCs w:val="21"/>
                <w:highlight w:val="none"/>
              </w:rPr>
            </w:pPr>
            <w:r>
              <w:rPr>
                <w:rFonts w:hint="eastAsia" w:ascii="宋体" w:hAnsi="宋体" w:cs="宋体"/>
                <w:spacing w:val="-6"/>
                <w:szCs w:val="21"/>
                <w:highlight w:val="none"/>
              </w:rPr>
              <w:t>1）</w:t>
            </w:r>
            <w:r>
              <w:rPr>
                <w:rFonts w:ascii="宋体" w:hAnsi="宋体" w:cs="宋体"/>
                <w:spacing w:val="-6"/>
                <w:szCs w:val="21"/>
                <w:highlight w:val="none"/>
              </w:rPr>
              <w:t>优质产品，选型先</w:t>
            </w:r>
            <w:r>
              <w:rPr>
                <w:rFonts w:ascii="宋体" w:hAnsi="宋体" w:cs="宋体"/>
                <w:spacing w:val="-3"/>
                <w:szCs w:val="21"/>
                <w:highlight w:val="none"/>
              </w:rPr>
              <w:t>进，稳定性好，正常使用情况下基本无故障，得</w:t>
            </w:r>
            <w:r>
              <w:rPr>
                <w:rFonts w:hint="eastAsia" w:ascii="宋体" w:hAnsi="宋体" w:cs="宋体"/>
                <w:spacing w:val="-3"/>
                <w:szCs w:val="21"/>
                <w:highlight w:val="none"/>
                <w:lang w:val="en-US" w:eastAsia="zh-CN"/>
              </w:rPr>
              <w:t>10</w:t>
            </w:r>
            <w:r>
              <w:rPr>
                <w:rFonts w:ascii="宋体" w:hAnsi="宋体" w:cs="宋体"/>
                <w:spacing w:val="-3"/>
                <w:szCs w:val="21"/>
                <w:highlight w:val="none"/>
              </w:rPr>
              <w:t>分；</w:t>
            </w:r>
          </w:p>
          <w:p w14:paraId="4336960C">
            <w:pPr>
              <w:spacing w:line="360" w:lineRule="auto"/>
              <w:jc w:val="left"/>
              <w:rPr>
                <w:rFonts w:ascii="宋体" w:hAnsi="宋体" w:cs="宋体"/>
                <w:szCs w:val="21"/>
                <w:highlight w:val="none"/>
              </w:rPr>
            </w:pPr>
            <w:r>
              <w:rPr>
                <w:rFonts w:hint="eastAsia" w:ascii="宋体" w:hAnsi="宋体" w:cs="宋体"/>
                <w:spacing w:val="-14"/>
                <w:szCs w:val="21"/>
                <w:highlight w:val="none"/>
              </w:rPr>
              <w:t>2）</w:t>
            </w:r>
            <w:r>
              <w:rPr>
                <w:rFonts w:ascii="宋体" w:hAnsi="宋体" w:cs="宋体"/>
                <w:spacing w:val="-14"/>
                <w:szCs w:val="21"/>
                <w:highlight w:val="none"/>
              </w:rPr>
              <w:t>较</w:t>
            </w:r>
            <w:r>
              <w:rPr>
                <w:rFonts w:ascii="宋体" w:hAnsi="宋体" w:cs="宋体"/>
                <w:spacing w:val="-10"/>
                <w:szCs w:val="21"/>
                <w:highlight w:val="none"/>
              </w:rPr>
              <w:t>优产品，选型先进，稳定性较好，</w:t>
            </w:r>
            <w:r>
              <w:rPr>
                <w:rFonts w:ascii="宋体" w:hAnsi="宋体" w:cs="宋体"/>
                <w:spacing w:val="-3"/>
                <w:szCs w:val="21"/>
                <w:highlight w:val="none"/>
              </w:rPr>
              <w:t>正常使用</w:t>
            </w:r>
            <w:r>
              <w:rPr>
                <w:rFonts w:hint="eastAsia" w:ascii="宋体" w:hAnsi="宋体" w:cs="宋体"/>
                <w:spacing w:val="-3"/>
                <w:szCs w:val="21"/>
                <w:highlight w:val="none"/>
              </w:rPr>
              <w:t>情况</w:t>
            </w:r>
            <w:r>
              <w:rPr>
                <w:rFonts w:ascii="宋体" w:hAnsi="宋体" w:cs="宋体"/>
                <w:spacing w:val="-10"/>
                <w:szCs w:val="21"/>
                <w:highlight w:val="none"/>
              </w:rPr>
              <w:t>故障发生次数不多，得</w:t>
            </w:r>
            <w:r>
              <w:rPr>
                <w:rFonts w:hint="eastAsia" w:ascii="宋体" w:hAnsi="宋体" w:cs="宋体"/>
                <w:spacing w:val="-10"/>
                <w:szCs w:val="21"/>
                <w:highlight w:val="none"/>
                <w:lang w:val="en-US" w:eastAsia="zh-CN"/>
              </w:rPr>
              <w:t>6</w:t>
            </w:r>
            <w:r>
              <w:rPr>
                <w:rFonts w:ascii="宋体" w:hAnsi="宋体" w:cs="宋体"/>
                <w:spacing w:val="-10"/>
                <w:szCs w:val="21"/>
                <w:highlight w:val="none"/>
              </w:rPr>
              <w:t>分；</w:t>
            </w:r>
          </w:p>
          <w:p w14:paraId="1FFF1425">
            <w:pPr>
              <w:jc w:val="left"/>
              <w:rPr>
                <w:rFonts w:hint="eastAsia" w:ascii="宋体" w:hAnsi="宋体" w:eastAsia="宋体" w:cs="宋体"/>
                <w:color w:val="auto"/>
                <w:szCs w:val="21"/>
                <w:highlight w:val="none"/>
                <w:lang w:val="en-US" w:eastAsia="zh-CN"/>
              </w:rPr>
            </w:pPr>
            <w:r>
              <w:rPr>
                <w:rFonts w:hint="eastAsia" w:ascii="宋体" w:hAnsi="宋体" w:cs="宋体"/>
                <w:spacing w:val="-14"/>
                <w:szCs w:val="21"/>
                <w:highlight w:val="none"/>
              </w:rPr>
              <w:t>3）</w:t>
            </w:r>
            <w:r>
              <w:rPr>
                <w:rFonts w:ascii="宋体" w:hAnsi="宋体" w:cs="宋体"/>
                <w:spacing w:val="-14"/>
                <w:szCs w:val="21"/>
                <w:highlight w:val="none"/>
              </w:rPr>
              <w:t>产</w:t>
            </w:r>
            <w:r>
              <w:rPr>
                <w:rFonts w:ascii="宋体" w:hAnsi="宋体" w:cs="宋体"/>
                <w:spacing w:val="-9"/>
                <w:szCs w:val="21"/>
                <w:highlight w:val="none"/>
              </w:rPr>
              <w:t>品一般，稳定性一般，易发生故障，得</w:t>
            </w:r>
            <w:r>
              <w:rPr>
                <w:rFonts w:hint="eastAsia" w:ascii="宋体" w:hAnsi="宋体" w:cs="宋体"/>
                <w:spacing w:val="-9"/>
                <w:szCs w:val="21"/>
                <w:highlight w:val="none"/>
                <w:lang w:val="en-US" w:eastAsia="zh-CN"/>
              </w:rPr>
              <w:t>2</w:t>
            </w:r>
            <w:r>
              <w:rPr>
                <w:rFonts w:ascii="宋体" w:hAnsi="宋体" w:cs="宋体"/>
                <w:spacing w:val="-9"/>
                <w:szCs w:val="21"/>
                <w:highlight w:val="none"/>
              </w:rPr>
              <w:t>分。</w:t>
            </w:r>
          </w:p>
        </w:tc>
        <w:tc>
          <w:tcPr>
            <w:tcW w:w="713" w:type="dxa"/>
            <w:noWrap w:val="0"/>
            <w:vAlign w:val="center"/>
          </w:tcPr>
          <w:p w14:paraId="2A1CA878">
            <w:pPr>
              <w:widowControl/>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0</w:t>
            </w:r>
          </w:p>
        </w:tc>
      </w:tr>
      <w:tr w14:paraId="5082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14:paraId="0C401F03">
            <w:pPr>
              <w:widowControl/>
              <w:adjustRightInd w:val="0"/>
              <w:snapToGrid w:val="0"/>
              <w:spacing w:after="120"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449" w:type="dxa"/>
            <w:noWrap w:val="0"/>
            <w:vAlign w:val="center"/>
          </w:tcPr>
          <w:p w14:paraId="58DF04C0">
            <w:pPr>
              <w:spacing w:line="360" w:lineRule="auto"/>
              <w:jc w:val="center"/>
              <w:rPr>
                <w:rFonts w:hint="eastAsia" w:ascii="宋体" w:hAnsi="宋体" w:eastAsia="宋体" w:cs="宋体"/>
                <w:color w:val="auto"/>
                <w:szCs w:val="21"/>
                <w:highlight w:val="none"/>
              </w:rPr>
            </w:pPr>
            <w:r>
              <w:rPr>
                <w:rFonts w:hint="eastAsia" w:ascii="宋体" w:hAnsi="宋体" w:cs="宋体"/>
                <w:szCs w:val="21"/>
                <w:highlight w:val="none"/>
              </w:rPr>
              <w:t>设备的主要部件、元器件的质量水平及配置的完整程度</w:t>
            </w:r>
          </w:p>
        </w:tc>
        <w:tc>
          <w:tcPr>
            <w:tcW w:w="6873" w:type="dxa"/>
            <w:noWrap w:val="0"/>
            <w:vAlign w:val="center"/>
          </w:tcPr>
          <w:p w14:paraId="7CA2C735">
            <w:pPr>
              <w:spacing w:line="360" w:lineRule="auto"/>
              <w:jc w:val="left"/>
              <w:rPr>
                <w:rFonts w:ascii="宋体" w:hAnsi="宋体" w:cs="宋体"/>
                <w:szCs w:val="21"/>
                <w:highlight w:val="none"/>
              </w:rPr>
            </w:pPr>
            <w:r>
              <w:rPr>
                <w:rFonts w:hint="eastAsia" w:ascii="宋体" w:hAnsi="宋体" w:cs="宋体"/>
                <w:szCs w:val="21"/>
                <w:highlight w:val="none"/>
              </w:rPr>
              <w:t>根据《用户需求书》技术参数及要求对投标人提供设备的部件、元器件的质量水平及配置的完整程度：</w:t>
            </w:r>
          </w:p>
          <w:p w14:paraId="5C7B85F8">
            <w:pPr>
              <w:spacing w:line="360" w:lineRule="auto"/>
              <w:jc w:val="left"/>
              <w:rPr>
                <w:rFonts w:ascii="宋体" w:hAnsi="宋体" w:cs="宋体"/>
                <w:szCs w:val="21"/>
                <w:highlight w:val="none"/>
              </w:rPr>
            </w:pPr>
            <w:r>
              <w:rPr>
                <w:rFonts w:hint="eastAsia" w:ascii="宋体" w:hAnsi="宋体" w:cs="宋体"/>
                <w:szCs w:val="21"/>
                <w:highlight w:val="none"/>
              </w:rPr>
              <w:t>1）设备部件配置齐全，主要部件元器件质量优质，技术水平高，得</w:t>
            </w:r>
            <w:r>
              <w:rPr>
                <w:rFonts w:hint="eastAsia" w:ascii="宋体" w:hAnsi="宋体" w:cs="宋体"/>
                <w:szCs w:val="21"/>
                <w:highlight w:val="none"/>
                <w:lang w:val="en-US" w:eastAsia="zh-CN"/>
              </w:rPr>
              <w:t>10</w:t>
            </w:r>
            <w:r>
              <w:rPr>
                <w:rFonts w:hint="eastAsia" w:ascii="宋体" w:hAnsi="宋体" w:cs="宋体"/>
                <w:szCs w:val="21"/>
                <w:highlight w:val="none"/>
              </w:rPr>
              <w:t>分；</w:t>
            </w:r>
          </w:p>
          <w:p w14:paraId="1B663941">
            <w:pPr>
              <w:spacing w:line="360" w:lineRule="auto"/>
              <w:jc w:val="left"/>
              <w:rPr>
                <w:rFonts w:ascii="宋体" w:hAnsi="宋体" w:cs="宋体"/>
                <w:szCs w:val="21"/>
                <w:highlight w:val="none"/>
              </w:rPr>
            </w:pPr>
            <w:r>
              <w:rPr>
                <w:rFonts w:hint="eastAsia" w:ascii="宋体" w:hAnsi="宋体" w:cs="宋体"/>
                <w:szCs w:val="21"/>
                <w:highlight w:val="none"/>
              </w:rPr>
              <w:t>2）设备部件配置齐全，主要部件元器件质量较优，技术水平较高，得</w:t>
            </w:r>
            <w:r>
              <w:rPr>
                <w:rFonts w:hint="eastAsia" w:ascii="宋体" w:hAnsi="宋体" w:cs="宋体"/>
                <w:szCs w:val="21"/>
                <w:highlight w:val="none"/>
                <w:lang w:val="en-US" w:eastAsia="zh-CN"/>
              </w:rPr>
              <w:t>6</w:t>
            </w:r>
            <w:r>
              <w:rPr>
                <w:rFonts w:hint="eastAsia" w:ascii="宋体" w:hAnsi="宋体" w:cs="宋体"/>
                <w:szCs w:val="21"/>
                <w:highlight w:val="none"/>
              </w:rPr>
              <w:t>分；</w:t>
            </w:r>
          </w:p>
          <w:p w14:paraId="6F9C7C8F">
            <w:pPr>
              <w:spacing w:line="360" w:lineRule="auto"/>
              <w:jc w:val="left"/>
              <w:rPr>
                <w:rFonts w:ascii="宋体" w:hAnsi="宋体" w:cs="宋体"/>
                <w:szCs w:val="21"/>
                <w:highlight w:val="none"/>
              </w:rPr>
            </w:pPr>
            <w:r>
              <w:rPr>
                <w:rFonts w:hint="eastAsia" w:ascii="宋体" w:hAnsi="宋体" w:cs="宋体"/>
                <w:szCs w:val="21"/>
                <w:highlight w:val="none"/>
              </w:rPr>
              <w:t>3）设备部件配置齐全，主要部件元器件质量一般，技术水平一般，得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3E16BBEF">
            <w:pPr>
              <w:jc w:val="left"/>
              <w:rPr>
                <w:rFonts w:hint="eastAsia" w:ascii="宋体" w:hAnsi="宋体" w:eastAsia="宋体" w:cs="宋体"/>
                <w:color w:val="auto"/>
                <w:szCs w:val="21"/>
                <w:highlight w:val="none"/>
                <w:lang w:val="en-US" w:eastAsia="zh-CN"/>
              </w:rPr>
            </w:pPr>
            <w:r>
              <w:rPr>
                <w:rFonts w:hint="eastAsia" w:ascii="宋体" w:hAnsi="宋体" w:cs="宋体"/>
                <w:szCs w:val="21"/>
                <w:highlight w:val="none"/>
              </w:rPr>
              <w:t>4）设备部件配置不齐全，得0分。</w:t>
            </w:r>
          </w:p>
        </w:tc>
        <w:tc>
          <w:tcPr>
            <w:tcW w:w="713" w:type="dxa"/>
            <w:noWrap w:val="0"/>
            <w:vAlign w:val="center"/>
          </w:tcPr>
          <w:p w14:paraId="4047A921">
            <w:pPr>
              <w:widowControl/>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r>
      <w:tr w14:paraId="0C07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14:paraId="20B9B240">
            <w:pPr>
              <w:widowControl/>
              <w:adjustRightInd w:val="0"/>
              <w:snapToGrid w:val="0"/>
              <w:spacing w:after="120"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449" w:type="dxa"/>
            <w:noWrap w:val="0"/>
            <w:vAlign w:val="center"/>
          </w:tcPr>
          <w:p w14:paraId="0A861276">
            <w:pPr>
              <w:spacing w:line="360" w:lineRule="auto"/>
              <w:jc w:val="center"/>
              <w:rPr>
                <w:rFonts w:hint="eastAsia" w:ascii="宋体" w:hAnsi="宋体" w:eastAsia="宋体" w:cs="宋体"/>
                <w:color w:val="auto"/>
                <w:kern w:val="2"/>
                <w:sz w:val="21"/>
                <w:szCs w:val="21"/>
                <w:highlight w:val="none"/>
                <w:lang w:val="en-US" w:eastAsia="zh-CN" w:bidi="ar-SA"/>
              </w:rPr>
            </w:pPr>
            <w:r>
              <w:rPr>
                <w:rFonts w:ascii="宋体" w:hAnsi="宋体" w:cs="宋体"/>
                <w:spacing w:val="-2"/>
                <w:szCs w:val="21"/>
                <w:highlight w:val="none"/>
              </w:rPr>
              <w:t>设备</w:t>
            </w:r>
            <w:r>
              <w:rPr>
                <w:rFonts w:ascii="宋体" w:hAnsi="宋体" w:cs="宋体"/>
                <w:spacing w:val="-1"/>
                <w:szCs w:val="21"/>
                <w:highlight w:val="none"/>
              </w:rPr>
              <w:t>的兼容性</w:t>
            </w:r>
          </w:p>
        </w:tc>
        <w:tc>
          <w:tcPr>
            <w:tcW w:w="6873" w:type="dxa"/>
            <w:noWrap w:val="0"/>
            <w:vAlign w:val="center"/>
          </w:tcPr>
          <w:p w14:paraId="191CF522">
            <w:pPr>
              <w:spacing w:line="360" w:lineRule="auto"/>
              <w:jc w:val="left"/>
              <w:rPr>
                <w:rFonts w:ascii="宋体" w:hAnsi="宋体" w:cs="宋体"/>
                <w:szCs w:val="21"/>
                <w:highlight w:val="none"/>
              </w:rPr>
            </w:pPr>
            <w:r>
              <w:rPr>
                <w:rFonts w:hint="eastAsia" w:ascii="宋体" w:hAnsi="宋体" w:cs="宋体"/>
                <w:szCs w:val="21"/>
                <w:highlight w:val="none"/>
              </w:rPr>
              <w:t>根据投标设备与其他设备的兼容性和拓展性作出评价：</w:t>
            </w:r>
          </w:p>
          <w:p w14:paraId="1A34D68F">
            <w:pPr>
              <w:spacing w:line="360" w:lineRule="auto"/>
              <w:jc w:val="left"/>
              <w:rPr>
                <w:rFonts w:ascii="宋体" w:hAnsi="宋体" w:cs="宋体"/>
                <w:szCs w:val="21"/>
                <w:highlight w:val="none"/>
              </w:rPr>
            </w:pPr>
            <w:r>
              <w:rPr>
                <w:rFonts w:hint="eastAsia" w:ascii="宋体" w:hAnsi="宋体" w:cs="宋体"/>
                <w:szCs w:val="21"/>
                <w:highlight w:val="none"/>
              </w:rPr>
              <w:t>设备的兼容性好，拓展性强，得</w:t>
            </w:r>
            <w:r>
              <w:rPr>
                <w:rFonts w:hint="eastAsia" w:ascii="宋体" w:hAnsi="宋体" w:cs="宋体"/>
                <w:szCs w:val="21"/>
                <w:highlight w:val="none"/>
                <w:lang w:val="en-US" w:eastAsia="zh-CN"/>
              </w:rPr>
              <w:t>10</w:t>
            </w:r>
            <w:r>
              <w:rPr>
                <w:rFonts w:hint="eastAsia" w:ascii="宋体" w:hAnsi="宋体" w:cs="宋体"/>
                <w:szCs w:val="21"/>
                <w:highlight w:val="none"/>
              </w:rPr>
              <w:t>分；</w:t>
            </w:r>
          </w:p>
          <w:p w14:paraId="7063573D">
            <w:pPr>
              <w:spacing w:line="360" w:lineRule="auto"/>
              <w:jc w:val="left"/>
              <w:rPr>
                <w:rFonts w:ascii="宋体" w:hAnsi="宋体" w:cs="宋体"/>
                <w:szCs w:val="21"/>
                <w:highlight w:val="none"/>
              </w:rPr>
            </w:pPr>
            <w:r>
              <w:rPr>
                <w:rFonts w:hint="eastAsia" w:ascii="宋体" w:hAnsi="宋体" w:cs="宋体"/>
                <w:szCs w:val="21"/>
                <w:highlight w:val="none"/>
              </w:rPr>
              <w:t>设备的兼容性一般，拓展性一般，得</w:t>
            </w:r>
            <w:r>
              <w:rPr>
                <w:rFonts w:hint="eastAsia" w:ascii="宋体" w:hAnsi="宋体" w:cs="宋体"/>
                <w:szCs w:val="21"/>
                <w:highlight w:val="none"/>
                <w:lang w:val="en-US" w:eastAsia="zh-CN"/>
              </w:rPr>
              <w:t>6</w:t>
            </w:r>
            <w:r>
              <w:rPr>
                <w:rFonts w:hint="eastAsia" w:ascii="宋体" w:hAnsi="宋体" w:cs="宋体"/>
                <w:szCs w:val="21"/>
                <w:highlight w:val="none"/>
              </w:rPr>
              <w:t>分；</w:t>
            </w:r>
          </w:p>
          <w:p w14:paraId="57B463B4">
            <w:pPr>
              <w:jc w:val="left"/>
              <w:rPr>
                <w:rFonts w:hint="eastAsia" w:ascii="宋体" w:hAnsi="宋体" w:eastAsia="宋体" w:cs="宋体"/>
                <w:color w:val="auto"/>
                <w:szCs w:val="21"/>
                <w:highlight w:val="none"/>
                <w:lang w:val="en-US" w:eastAsia="zh-CN"/>
              </w:rPr>
            </w:pPr>
            <w:r>
              <w:rPr>
                <w:rFonts w:hint="eastAsia" w:ascii="宋体" w:hAnsi="宋体" w:cs="宋体"/>
                <w:szCs w:val="21"/>
                <w:highlight w:val="none"/>
              </w:rPr>
              <w:t>设备的兼容性较差，拓展性较差，得</w:t>
            </w:r>
            <w:r>
              <w:rPr>
                <w:rFonts w:hint="eastAsia" w:ascii="宋体" w:hAnsi="宋体" w:cs="宋体"/>
                <w:szCs w:val="21"/>
                <w:highlight w:val="none"/>
                <w:lang w:val="en-US" w:eastAsia="zh-CN"/>
              </w:rPr>
              <w:t>2</w:t>
            </w:r>
            <w:r>
              <w:rPr>
                <w:rFonts w:hint="eastAsia" w:ascii="宋体" w:hAnsi="宋体" w:cs="宋体"/>
                <w:szCs w:val="21"/>
                <w:highlight w:val="none"/>
              </w:rPr>
              <w:t>分。</w:t>
            </w:r>
          </w:p>
        </w:tc>
        <w:tc>
          <w:tcPr>
            <w:tcW w:w="713" w:type="dxa"/>
            <w:noWrap w:val="0"/>
            <w:vAlign w:val="center"/>
          </w:tcPr>
          <w:p w14:paraId="4292E11E">
            <w:pPr>
              <w:pStyle w:val="52"/>
              <w:ind w:left="0" w:leftChars="0"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14:paraId="7890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14:paraId="33B26197">
            <w:pPr>
              <w:widowControl/>
              <w:adjustRightInd w:val="0"/>
              <w:snapToGrid w:val="0"/>
              <w:spacing w:after="12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449" w:type="dxa"/>
            <w:noWrap w:val="0"/>
            <w:vAlign w:val="center"/>
          </w:tcPr>
          <w:p w14:paraId="663BE28D">
            <w:pPr>
              <w:spacing w:line="35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highlight w:val="none"/>
              </w:rPr>
              <w:t>设备工艺</w:t>
            </w:r>
          </w:p>
        </w:tc>
        <w:tc>
          <w:tcPr>
            <w:tcW w:w="6873" w:type="dxa"/>
            <w:noWrap w:val="0"/>
            <w:vAlign w:val="center"/>
          </w:tcPr>
          <w:p w14:paraId="5C38ABB6">
            <w:pPr>
              <w:spacing w:line="360" w:lineRule="auto"/>
              <w:jc w:val="left"/>
              <w:rPr>
                <w:rFonts w:ascii="宋体" w:hAnsi="宋体" w:cs="宋体"/>
                <w:szCs w:val="21"/>
                <w:highlight w:val="none"/>
              </w:rPr>
            </w:pPr>
            <w:r>
              <w:rPr>
                <w:rFonts w:hint="eastAsia" w:ascii="宋体" w:hAnsi="宋体" w:cs="宋体"/>
                <w:szCs w:val="21"/>
                <w:highlight w:val="none"/>
              </w:rPr>
              <w:t>根据工艺措施可靠性、先进性及技术方案合理可行性等综合评分：</w:t>
            </w:r>
          </w:p>
          <w:p w14:paraId="703724B7">
            <w:pPr>
              <w:spacing w:line="360" w:lineRule="auto"/>
              <w:jc w:val="left"/>
              <w:rPr>
                <w:rFonts w:ascii="宋体" w:hAnsi="宋体" w:cs="宋体"/>
                <w:szCs w:val="21"/>
                <w:highlight w:val="none"/>
              </w:rPr>
            </w:pPr>
            <w:r>
              <w:rPr>
                <w:rFonts w:hint="eastAsia" w:ascii="宋体" w:hAnsi="宋体" w:cs="宋体"/>
                <w:szCs w:val="21"/>
                <w:highlight w:val="none"/>
              </w:rPr>
              <w:t>1）工艺措施的先进性、可靠性、方案合理性等对比较优，得</w:t>
            </w:r>
            <w:r>
              <w:rPr>
                <w:rFonts w:hint="eastAsia" w:ascii="宋体" w:hAnsi="宋体" w:cs="宋体"/>
                <w:szCs w:val="21"/>
                <w:highlight w:val="none"/>
                <w:lang w:val="en-US" w:eastAsia="zh-CN"/>
              </w:rPr>
              <w:t>10</w:t>
            </w:r>
            <w:r>
              <w:rPr>
                <w:rFonts w:hint="eastAsia" w:ascii="宋体" w:hAnsi="宋体" w:cs="宋体"/>
                <w:szCs w:val="21"/>
                <w:highlight w:val="none"/>
              </w:rPr>
              <w:t>分；</w:t>
            </w:r>
          </w:p>
          <w:p w14:paraId="659DE60D">
            <w:pPr>
              <w:spacing w:line="360" w:lineRule="auto"/>
              <w:jc w:val="left"/>
              <w:rPr>
                <w:rFonts w:ascii="宋体" w:hAnsi="宋体" w:cs="宋体"/>
                <w:szCs w:val="21"/>
                <w:highlight w:val="none"/>
              </w:rPr>
            </w:pPr>
            <w:r>
              <w:rPr>
                <w:rFonts w:hint="eastAsia" w:ascii="宋体" w:hAnsi="宋体" w:cs="宋体"/>
                <w:szCs w:val="21"/>
                <w:highlight w:val="none"/>
              </w:rPr>
              <w:t>2）工艺措施的先进性、可靠性、方案合理性等对比为良，得</w:t>
            </w:r>
            <w:r>
              <w:rPr>
                <w:rFonts w:hint="eastAsia" w:ascii="宋体" w:hAnsi="宋体" w:cs="宋体"/>
                <w:szCs w:val="21"/>
                <w:highlight w:val="none"/>
                <w:lang w:val="en-US" w:eastAsia="zh-CN"/>
              </w:rPr>
              <w:t>6</w:t>
            </w:r>
            <w:r>
              <w:rPr>
                <w:rFonts w:hint="eastAsia" w:ascii="宋体" w:hAnsi="宋体" w:cs="宋体"/>
                <w:szCs w:val="21"/>
                <w:highlight w:val="none"/>
              </w:rPr>
              <w:t>分；</w:t>
            </w:r>
          </w:p>
          <w:p w14:paraId="7BC3F242">
            <w:pPr>
              <w:spacing w:line="360" w:lineRule="auto"/>
              <w:jc w:val="left"/>
              <w:rPr>
                <w:rFonts w:ascii="宋体" w:hAnsi="宋体" w:cs="宋体"/>
                <w:szCs w:val="21"/>
                <w:highlight w:val="none"/>
              </w:rPr>
            </w:pPr>
            <w:r>
              <w:rPr>
                <w:rFonts w:hint="eastAsia" w:ascii="宋体" w:hAnsi="宋体" w:cs="宋体"/>
                <w:szCs w:val="21"/>
                <w:highlight w:val="none"/>
              </w:rPr>
              <w:t>3）工艺措施的先进性、可靠性、方案合理性等对比一般，得</w:t>
            </w:r>
            <w:r>
              <w:rPr>
                <w:rFonts w:hint="eastAsia" w:ascii="宋体" w:hAnsi="宋体" w:cs="宋体"/>
                <w:szCs w:val="21"/>
                <w:highlight w:val="none"/>
                <w:lang w:val="en-US" w:eastAsia="zh-CN"/>
              </w:rPr>
              <w:t>2</w:t>
            </w:r>
            <w:r>
              <w:rPr>
                <w:rFonts w:hint="eastAsia" w:ascii="宋体" w:hAnsi="宋体" w:cs="宋体"/>
                <w:szCs w:val="21"/>
                <w:highlight w:val="none"/>
              </w:rPr>
              <w:t>分；</w:t>
            </w:r>
          </w:p>
          <w:p w14:paraId="38CA5E2E">
            <w:pPr>
              <w:pStyle w:val="52"/>
              <w:numPr>
                <w:ilvl w:val="-1"/>
                <w:numId w:val="0"/>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kern w:val="2"/>
                <w:sz w:val="21"/>
                <w:szCs w:val="21"/>
                <w:highlight w:val="none"/>
              </w:rPr>
              <w:t>4）工艺措施的先进性、可靠性、方案合理性等对比较差，得0分。</w:t>
            </w:r>
          </w:p>
        </w:tc>
        <w:tc>
          <w:tcPr>
            <w:tcW w:w="713" w:type="dxa"/>
            <w:noWrap w:val="0"/>
            <w:vAlign w:val="center"/>
          </w:tcPr>
          <w:p w14:paraId="5FD566AF">
            <w:pPr>
              <w:widowControl/>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r>
      <w:tr w14:paraId="6361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9" w:hRule="atLeast"/>
        </w:trPr>
        <w:tc>
          <w:tcPr>
            <w:tcW w:w="604" w:type="dxa"/>
            <w:noWrap w:val="0"/>
            <w:vAlign w:val="center"/>
          </w:tcPr>
          <w:p w14:paraId="44464C14">
            <w:pPr>
              <w:widowControl/>
              <w:adjustRightInd w:val="0"/>
              <w:snapToGrid w:val="0"/>
              <w:spacing w:after="120"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1449" w:type="dxa"/>
            <w:noWrap w:val="0"/>
            <w:vAlign w:val="center"/>
          </w:tcPr>
          <w:p w14:paraId="0F530E72">
            <w:pPr>
              <w:spacing w:line="360" w:lineRule="auto"/>
              <w:jc w:val="center"/>
              <w:rPr>
                <w:rFonts w:hint="eastAsia" w:ascii="宋体" w:hAnsi="宋体" w:eastAsia="宋体" w:cs="宋体"/>
                <w:bCs/>
                <w:szCs w:val="21"/>
              </w:rPr>
            </w:pPr>
            <w:r>
              <w:rPr>
                <w:rFonts w:hint="eastAsia" w:ascii="宋体" w:hAnsi="宋体" w:eastAsia="宋体" w:cs="宋体"/>
                <w:color w:val="auto"/>
                <w:sz w:val="21"/>
                <w:szCs w:val="21"/>
                <w:highlight w:val="none"/>
                <w:lang w:val="en-US" w:eastAsia="zh-CN"/>
              </w:rPr>
              <w:t>服务响应承诺</w:t>
            </w:r>
          </w:p>
        </w:tc>
        <w:tc>
          <w:tcPr>
            <w:tcW w:w="6873" w:type="dxa"/>
            <w:noWrap w:val="0"/>
            <w:vAlign w:val="center"/>
          </w:tcPr>
          <w:p w14:paraId="1828437F">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对到达现场时间进行评审：</w:t>
            </w:r>
          </w:p>
          <w:p w14:paraId="2A4DC81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0分钟内（含</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0分钟）到达现场服务的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发生</w:t>
            </w:r>
            <w:r>
              <w:rPr>
                <w:rFonts w:hint="eastAsia" w:ascii="宋体" w:hAnsi="宋体" w:eastAsia="宋体" w:cs="宋体"/>
                <w:color w:val="auto"/>
                <w:sz w:val="21"/>
                <w:szCs w:val="21"/>
                <w:highlight w:val="none"/>
              </w:rPr>
              <w:t>困人故障时为</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分钟，得5分；</w:t>
            </w:r>
          </w:p>
          <w:p w14:paraId="48EA301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（2）50分钟内（含50分钟）到达现场服务的，</w:t>
            </w:r>
            <w:r>
              <w:rPr>
                <w:rFonts w:hint="eastAsia" w:ascii="宋体" w:hAnsi="宋体" w:eastAsia="宋体" w:cs="宋体"/>
                <w:color w:val="auto"/>
                <w:sz w:val="21"/>
                <w:szCs w:val="21"/>
                <w:highlight w:val="none"/>
                <w:lang w:eastAsia="zh-CN"/>
              </w:rPr>
              <w:t>发生</w:t>
            </w:r>
            <w:r>
              <w:rPr>
                <w:rFonts w:hint="eastAsia" w:ascii="宋体" w:hAnsi="宋体" w:eastAsia="宋体" w:cs="宋体"/>
                <w:color w:val="auto"/>
                <w:sz w:val="21"/>
                <w:szCs w:val="21"/>
                <w:highlight w:val="none"/>
              </w:rPr>
              <w:t>困人故障时为</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分钟，得3分；</w:t>
            </w:r>
          </w:p>
          <w:p w14:paraId="39A46D3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（3）超过1小时到达现场服务的，</w:t>
            </w:r>
            <w:r>
              <w:rPr>
                <w:rFonts w:hint="eastAsia" w:ascii="宋体" w:hAnsi="宋体" w:eastAsia="宋体" w:cs="宋体"/>
                <w:color w:val="auto"/>
                <w:sz w:val="21"/>
                <w:szCs w:val="21"/>
                <w:highlight w:val="none"/>
                <w:lang w:eastAsia="zh-CN"/>
              </w:rPr>
              <w:t>发生</w:t>
            </w:r>
            <w:r>
              <w:rPr>
                <w:rFonts w:hint="eastAsia" w:ascii="宋体" w:hAnsi="宋体" w:eastAsia="宋体" w:cs="宋体"/>
                <w:color w:val="auto"/>
                <w:sz w:val="21"/>
                <w:szCs w:val="21"/>
                <w:highlight w:val="none"/>
              </w:rPr>
              <w:t>困人故障时为</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分钟，得0分。</w:t>
            </w:r>
          </w:p>
          <w:p w14:paraId="249A148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（4）其他情况不得分。</w:t>
            </w:r>
          </w:p>
          <w:p w14:paraId="11863851">
            <w:pPr>
              <w:spacing w:line="360" w:lineRule="auto"/>
              <w:rPr>
                <w:rFonts w:hint="eastAsia" w:ascii="宋体" w:hAnsi="宋体" w:eastAsia="宋体" w:cs="宋体"/>
                <w:szCs w:val="21"/>
              </w:rPr>
            </w:pPr>
            <w:r>
              <w:rPr>
                <w:rFonts w:hint="eastAsia" w:ascii="宋体" w:hAnsi="宋体" w:eastAsia="宋体" w:cs="宋体"/>
                <w:color w:val="auto"/>
                <w:sz w:val="21"/>
                <w:szCs w:val="21"/>
                <w:highlight w:val="none"/>
                <w:lang w:val="en-US" w:eastAsia="zh-CN"/>
              </w:rPr>
              <w:t>注：提供服务响应承诺函并加盖公章，格式自拟，不提供或承诺内容不明确导致专家无法认定的不得分。</w:t>
            </w:r>
          </w:p>
        </w:tc>
        <w:tc>
          <w:tcPr>
            <w:tcW w:w="713" w:type="dxa"/>
            <w:noWrap w:val="0"/>
            <w:vAlign w:val="center"/>
          </w:tcPr>
          <w:p w14:paraId="16BE216E">
            <w:pPr>
              <w:widowControl/>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14:paraId="08B48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6" w:hRule="atLeast"/>
        </w:trPr>
        <w:tc>
          <w:tcPr>
            <w:tcW w:w="8926" w:type="dxa"/>
            <w:gridSpan w:val="3"/>
            <w:noWrap w:val="0"/>
            <w:vAlign w:val="center"/>
          </w:tcPr>
          <w:p w14:paraId="1493822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13" w:type="dxa"/>
            <w:noWrap w:val="0"/>
            <w:vAlign w:val="center"/>
          </w:tcPr>
          <w:p w14:paraId="4AF513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分</w:t>
            </w:r>
          </w:p>
        </w:tc>
      </w:tr>
    </w:tbl>
    <w:p w14:paraId="16746020">
      <w:pPr>
        <w:pStyle w:val="13"/>
        <w:rPr>
          <w:rFonts w:hint="eastAsia" w:ascii="宋体" w:hAnsi="宋体" w:eastAsia="宋体" w:cs="宋体"/>
          <w:color w:val="auto"/>
          <w:highlight w:val="none"/>
        </w:rPr>
      </w:pPr>
    </w:p>
    <w:p w14:paraId="2FA351F4">
      <w:pPr>
        <w:tabs>
          <w:tab w:val="left" w:pos="10035"/>
        </w:tabs>
        <w:snapToGrid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注：评委对各投标文件进行评审，分数精确至小数点后2位。</w:t>
      </w:r>
    </w:p>
    <w:p w14:paraId="39FFB78F">
      <w:pPr>
        <w:tabs>
          <w:tab w:val="left" w:pos="10035"/>
        </w:tabs>
        <w:snapToGrid w:val="0"/>
        <w:spacing w:line="360" w:lineRule="auto"/>
        <w:rPr>
          <w:rFonts w:hint="eastAsia" w:ascii="宋体" w:hAnsi="宋体" w:eastAsia="宋体" w:cs="宋体"/>
          <w:color w:val="auto"/>
          <w:highlight w:val="none"/>
        </w:rPr>
        <w:sectPr>
          <w:pgSz w:w="11907" w:h="16840"/>
          <w:pgMar w:top="1418" w:right="1304" w:bottom="1361" w:left="1361" w:header="851" w:footer="992" w:gutter="0"/>
          <w:cols w:space="720" w:num="1"/>
          <w:docGrid w:type="lines" w:linePitch="312" w:charSpace="0"/>
        </w:sectPr>
      </w:pPr>
    </w:p>
    <w:p w14:paraId="1C66F2AC">
      <w:pPr>
        <w:jc w:val="left"/>
        <w:rPr>
          <w:rFonts w:hint="eastAsia" w:ascii="宋体" w:hAnsi="宋体" w:eastAsia="宋体" w:cs="宋体"/>
          <w:b/>
          <w:color w:val="auto"/>
          <w:sz w:val="28"/>
          <w:szCs w:val="28"/>
          <w:highlight w:val="none"/>
        </w:rPr>
      </w:pPr>
      <w:r>
        <w:rPr>
          <w:rFonts w:hint="eastAsia" w:hAnsi="宋体"/>
          <w:b/>
          <w:color w:val="auto"/>
          <w:highlight w:val="none"/>
        </w:rPr>
        <w:t>附表</w:t>
      </w:r>
      <w:r>
        <w:rPr>
          <w:rFonts w:hint="eastAsia" w:hAnsi="宋体"/>
          <w:b/>
          <w:color w:val="auto"/>
          <w:highlight w:val="none"/>
          <w:lang w:val="en-US" w:eastAsia="zh-CN"/>
        </w:rPr>
        <w:t>3</w:t>
      </w:r>
      <w:r>
        <w:rPr>
          <w:rFonts w:hint="eastAsia" w:hAnsi="宋体"/>
          <w:b/>
          <w:color w:val="auto"/>
          <w:highlight w:val="none"/>
        </w:rPr>
        <w:t>：</w:t>
      </w:r>
      <w:r>
        <w:rPr>
          <w:rFonts w:hint="eastAsia" w:hAnsi="宋体"/>
          <w:b/>
          <w:color w:val="auto"/>
          <w:highlight w:val="none"/>
          <w:lang w:val="en-US" w:eastAsia="zh-CN"/>
        </w:rPr>
        <w:t>商务</w:t>
      </w:r>
      <w:r>
        <w:rPr>
          <w:rFonts w:hint="eastAsia" w:hAnsi="宋体"/>
          <w:b/>
          <w:color w:val="auto"/>
          <w:highlight w:val="none"/>
        </w:rPr>
        <w:t>评分表</w:t>
      </w:r>
    </w:p>
    <w:p w14:paraId="04643B2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商务评分表</w:t>
      </w:r>
      <w:bookmarkEnd w:id="197"/>
      <w:bookmarkEnd w:id="198"/>
      <w:bookmarkEnd w:id="199"/>
    </w:p>
    <w:tbl>
      <w:tblPr>
        <w:tblStyle w:val="53"/>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274"/>
        <w:gridCol w:w="7088"/>
        <w:gridCol w:w="758"/>
      </w:tblGrid>
      <w:tr w14:paraId="375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7AF2BEA6">
            <w:pPr>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4" w:type="dxa"/>
            <w:noWrap w:val="0"/>
            <w:vAlign w:val="center"/>
          </w:tcPr>
          <w:p w14:paraId="30DD7D77">
            <w:pPr>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评审项目</w:t>
            </w:r>
          </w:p>
        </w:tc>
        <w:tc>
          <w:tcPr>
            <w:tcW w:w="7088" w:type="dxa"/>
            <w:tcBorders>
              <w:bottom w:val="single" w:color="auto" w:sz="4" w:space="0"/>
            </w:tcBorders>
            <w:noWrap w:val="0"/>
            <w:vAlign w:val="center"/>
          </w:tcPr>
          <w:p w14:paraId="4FC65355">
            <w:pPr>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评分细则</w:t>
            </w:r>
          </w:p>
        </w:tc>
        <w:tc>
          <w:tcPr>
            <w:tcW w:w="758" w:type="dxa"/>
            <w:noWrap w:val="0"/>
            <w:vAlign w:val="center"/>
          </w:tcPr>
          <w:p w14:paraId="67E0E251">
            <w:pPr>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单项分数</w:t>
            </w:r>
          </w:p>
        </w:tc>
      </w:tr>
      <w:tr w14:paraId="12F1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14:paraId="79889F5B">
            <w:pPr>
              <w:adjustRightInd w:val="0"/>
              <w:spacing w:after="120"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274" w:type="dxa"/>
            <w:noWrap w:val="0"/>
            <w:vAlign w:val="center"/>
          </w:tcPr>
          <w:p w14:paraId="673FB69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财务状况</w:t>
            </w:r>
          </w:p>
        </w:tc>
        <w:tc>
          <w:tcPr>
            <w:tcW w:w="7088" w:type="dxa"/>
            <w:tcBorders>
              <w:bottom w:val="single" w:color="auto" w:sz="4" w:space="0"/>
            </w:tcBorders>
            <w:noWrap w:val="0"/>
            <w:vAlign w:val="center"/>
          </w:tcPr>
          <w:p w14:paraId="49213E2B">
            <w:pPr>
              <w:widowControl/>
              <w:numPr>
                <w:ilvl w:val="0"/>
                <w:numId w:val="0"/>
              </w:numPr>
              <w:spacing w:line="360" w:lineRule="auto"/>
              <w:rPr>
                <w:rFonts w:hint="eastAsia" w:asciiTheme="majorEastAsia" w:hAnsiTheme="majorEastAsia" w:eastAsiaTheme="majorEastAsia" w:cstheme="majorEastAsia"/>
                <w:color w:val="auto"/>
                <w:kern w:val="0"/>
                <w:sz w:val="21"/>
                <w:szCs w:val="21"/>
                <w:highlight w:val="none"/>
                <w:lang w:val="en-US" w:eastAsia="zh-CN" w:bidi="ar"/>
              </w:rPr>
            </w:pPr>
            <w:r>
              <w:rPr>
                <w:rFonts w:hint="eastAsia" w:ascii="宋体" w:hAnsi="宋体" w:eastAsia="宋体" w:cs="宋体"/>
                <w:color w:val="auto"/>
                <w:kern w:val="0"/>
                <w:sz w:val="21"/>
                <w:szCs w:val="20"/>
                <w:highlight w:val="none"/>
                <w:lang w:val="en-US" w:eastAsia="zh-CN" w:bidi="ar"/>
              </w:rPr>
              <w:t>投标人提供2021、2022、2023年经第三方审计的财务报表，</w:t>
            </w:r>
            <w:r>
              <w:rPr>
                <w:rFonts w:hint="eastAsia" w:asciiTheme="majorEastAsia" w:hAnsiTheme="majorEastAsia" w:eastAsiaTheme="majorEastAsia" w:cstheme="majorEastAsia"/>
                <w:i w:val="0"/>
                <w:caps w:val="0"/>
                <w:color w:val="333333"/>
                <w:spacing w:val="0"/>
                <w:sz w:val="21"/>
                <w:szCs w:val="21"/>
                <w:shd w:val="clear" w:fill="F8F8F8"/>
              </w:rPr>
              <w:t>①连续三年净利润为正的或三年平均资产负债率≤25%（含），得3分； ②连续两年净利润为正的或三年平均25%（不含）</w:t>
            </w:r>
            <w:r>
              <w:rPr>
                <w:rFonts w:hint="eastAsia" w:asciiTheme="majorEastAsia" w:hAnsiTheme="majorEastAsia" w:eastAsiaTheme="majorEastAsia" w:cstheme="majorEastAsia"/>
                <w:i w:val="0"/>
                <w:caps w:val="0"/>
                <w:color w:val="333333"/>
                <w:spacing w:val="0"/>
                <w:sz w:val="21"/>
                <w:szCs w:val="21"/>
                <w:shd w:val="clear" w:fill="F8F8F8"/>
                <w:lang w:val="en-US" w:eastAsia="zh-CN"/>
              </w:rPr>
              <w:t>＜</w:t>
            </w:r>
            <w:r>
              <w:rPr>
                <w:rFonts w:hint="eastAsia" w:asciiTheme="majorEastAsia" w:hAnsiTheme="majorEastAsia" w:eastAsiaTheme="majorEastAsia" w:cstheme="majorEastAsia"/>
                <w:i w:val="0"/>
                <w:caps w:val="0"/>
                <w:color w:val="333333"/>
                <w:spacing w:val="0"/>
                <w:sz w:val="21"/>
                <w:szCs w:val="21"/>
                <w:shd w:val="clear" w:fill="F8F8F8"/>
              </w:rPr>
              <w:t>资产负债率≤30%（含），得2分； ③任意一年净利润为正的或三年平均30%（不含</w:t>
            </w:r>
            <w:r>
              <w:rPr>
                <w:rFonts w:hint="eastAsia" w:asciiTheme="majorEastAsia" w:hAnsiTheme="majorEastAsia" w:eastAsiaTheme="majorEastAsia" w:cstheme="majorEastAsia"/>
                <w:i w:val="0"/>
                <w:caps w:val="0"/>
                <w:color w:val="333333"/>
                <w:spacing w:val="0"/>
                <w:sz w:val="21"/>
                <w:szCs w:val="21"/>
                <w:shd w:val="clear" w:fill="F8F8F8"/>
                <w:lang w:eastAsia="zh-CN"/>
              </w:rPr>
              <w:t>）</w:t>
            </w:r>
            <w:r>
              <w:rPr>
                <w:rFonts w:hint="eastAsia" w:asciiTheme="majorEastAsia" w:hAnsiTheme="majorEastAsia" w:eastAsiaTheme="majorEastAsia" w:cstheme="majorEastAsia"/>
                <w:i w:val="0"/>
                <w:caps w:val="0"/>
                <w:color w:val="333333"/>
                <w:spacing w:val="0"/>
                <w:sz w:val="21"/>
                <w:szCs w:val="21"/>
                <w:shd w:val="clear" w:fill="F8F8F8"/>
                <w:lang w:val="en-US" w:eastAsia="zh-CN"/>
              </w:rPr>
              <w:t>＜</w:t>
            </w:r>
            <w:r>
              <w:rPr>
                <w:rFonts w:hint="eastAsia" w:asciiTheme="majorEastAsia" w:hAnsiTheme="majorEastAsia" w:eastAsiaTheme="majorEastAsia" w:cstheme="majorEastAsia"/>
                <w:i w:val="0"/>
                <w:caps w:val="0"/>
                <w:color w:val="333333"/>
                <w:spacing w:val="0"/>
                <w:sz w:val="21"/>
                <w:szCs w:val="21"/>
                <w:shd w:val="clear" w:fill="F8F8F8"/>
              </w:rPr>
              <w:t>资产负债率≤35%（含），得1分，其他情况不得分。</w:t>
            </w:r>
          </w:p>
          <w:p w14:paraId="783E6A3D">
            <w:pPr>
              <w:widowControl/>
              <w:numPr>
                <w:ilvl w:val="0"/>
                <w:numId w:val="0"/>
              </w:numPr>
              <w:spacing w:line="360" w:lineRule="auto"/>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 w:val="21"/>
                <w:szCs w:val="20"/>
                <w:highlight w:val="none"/>
                <w:lang w:val="en-US" w:eastAsia="zh-CN" w:bidi="ar"/>
              </w:rPr>
              <w:t>注意：投标人需提供经第三方审计的财务报告，未按要求的证明材料不得分。</w:t>
            </w:r>
          </w:p>
        </w:tc>
        <w:tc>
          <w:tcPr>
            <w:tcW w:w="758" w:type="dxa"/>
            <w:noWrap w:val="0"/>
            <w:vAlign w:val="center"/>
          </w:tcPr>
          <w:p w14:paraId="1582BA51">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r>
      <w:tr w14:paraId="7BD6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14:paraId="55B6A66E">
            <w:pPr>
              <w:adjustRightInd w:val="0"/>
              <w:spacing w:after="120"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74" w:type="dxa"/>
            <w:noWrap w:val="0"/>
            <w:vAlign w:val="center"/>
          </w:tcPr>
          <w:p w14:paraId="15F23DA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项目团队人员实力</w:t>
            </w:r>
          </w:p>
        </w:tc>
        <w:tc>
          <w:tcPr>
            <w:tcW w:w="7088" w:type="dxa"/>
            <w:tcBorders>
              <w:bottom w:val="single" w:color="auto" w:sz="4" w:space="0"/>
            </w:tcBorders>
            <w:noWrap w:val="0"/>
            <w:vAlign w:val="center"/>
          </w:tcPr>
          <w:p w14:paraId="700E4764">
            <w:pPr>
              <w:widowControl/>
              <w:numPr>
                <w:ilvl w:val="0"/>
                <w:numId w:val="0"/>
              </w:numPr>
              <w:spacing w:line="360" w:lineRule="auto"/>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 w:val="21"/>
                <w:szCs w:val="20"/>
                <w:highlight w:val="none"/>
                <w:lang w:val="en-US" w:eastAsia="zh-CN" w:bidi="ar"/>
              </w:rPr>
              <w:t>投标人为本项目拟投入的团队人员：</w:t>
            </w:r>
          </w:p>
          <w:p w14:paraId="299224C1">
            <w:pPr>
              <w:widowControl/>
              <w:numPr>
                <w:ilvl w:val="0"/>
                <w:numId w:val="0"/>
              </w:numPr>
              <w:spacing w:line="360" w:lineRule="auto"/>
              <w:ind w:left="0" w:leftChars="0" w:firstLineChars="0"/>
              <w:rPr>
                <w:rFonts w:hint="eastAsia" w:ascii="宋体" w:hAnsi="宋体" w:cs="宋体"/>
                <w:color w:val="auto"/>
                <w:kern w:val="0"/>
                <w:highlight w:val="none"/>
                <w:lang w:val="en-US" w:eastAsia="zh-CN" w:bidi="ar"/>
              </w:rPr>
            </w:pPr>
            <w:r>
              <w:rPr>
                <w:rFonts w:hint="eastAsia" w:ascii="宋体" w:hAnsi="宋体" w:eastAsia="宋体" w:cs="宋体"/>
                <w:color w:val="auto"/>
                <w:kern w:val="0"/>
                <w:sz w:val="21"/>
                <w:szCs w:val="20"/>
                <w:highlight w:val="none"/>
                <w:lang w:val="en-US" w:eastAsia="zh-CN" w:bidi="ar"/>
              </w:rPr>
              <w:t>本项目的项目经理</w:t>
            </w:r>
            <w:r>
              <w:rPr>
                <w:rFonts w:hint="eastAsia" w:ascii="宋体" w:hAnsi="宋体" w:cs="宋体"/>
                <w:color w:val="auto"/>
                <w:kern w:val="0"/>
                <w:highlight w:val="none"/>
                <w:lang w:eastAsia="zh-CN" w:bidi="ar"/>
              </w:rPr>
              <w:t>具备电气工程师</w:t>
            </w:r>
            <w:r>
              <w:rPr>
                <w:rFonts w:hint="eastAsia" w:ascii="宋体" w:hAnsi="宋体" w:cs="宋体"/>
                <w:color w:val="auto"/>
                <w:kern w:val="0"/>
                <w:highlight w:val="none"/>
                <w:lang w:val="en-US" w:eastAsia="zh-CN" w:bidi="ar"/>
              </w:rPr>
              <w:t>中级或以上资格1名、电梯安装维修高级技师1名、特种设备安全管理员（项目代号：A）1名、电梯作业人员（项目代号T）10名、中级维修电工1名、高级或以上维修电工1名，焊接与热切割作业人员1名、低压电工作业人员1名；上述人员岗位不能互相兼任，每满足一个条件得1分，</w:t>
            </w:r>
            <w:r>
              <w:rPr>
                <w:rFonts w:hint="eastAsia" w:ascii="宋体" w:hAnsi="宋体" w:eastAsia="宋体" w:cs="宋体"/>
                <w:color w:val="auto"/>
                <w:kern w:val="0"/>
                <w:sz w:val="21"/>
                <w:szCs w:val="20"/>
                <w:highlight w:val="none"/>
                <w:lang w:val="en-US" w:eastAsia="zh-CN" w:bidi="ar"/>
              </w:rPr>
              <w:t>本项满分</w:t>
            </w:r>
            <w:r>
              <w:rPr>
                <w:rFonts w:hint="eastAsia" w:ascii="宋体" w:hAnsi="宋体" w:cs="宋体"/>
                <w:color w:val="auto"/>
                <w:kern w:val="0"/>
                <w:sz w:val="21"/>
                <w:szCs w:val="20"/>
                <w:highlight w:val="none"/>
                <w:lang w:val="en-US" w:eastAsia="zh-CN" w:bidi="ar"/>
              </w:rPr>
              <w:t>8</w:t>
            </w:r>
            <w:r>
              <w:rPr>
                <w:rFonts w:hint="eastAsia" w:ascii="宋体" w:hAnsi="宋体" w:eastAsia="宋体" w:cs="宋体"/>
                <w:color w:val="auto"/>
                <w:kern w:val="0"/>
                <w:sz w:val="21"/>
                <w:szCs w:val="20"/>
                <w:highlight w:val="none"/>
                <w:lang w:val="en-US" w:eastAsia="zh-CN" w:bidi="ar"/>
              </w:rPr>
              <w:t>分。</w:t>
            </w:r>
          </w:p>
          <w:p w14:paraId="3B0DE0DA">
            <w:pPr>
              <w:widowControl/>
              <w:numPr>
                <w:ilvl w:val="0"/>
                <w:numId w:val="0"/>
              </w:numPr>
              <w:spacing w:line="360" w:lineRule="auto"/>
              <w:rPr>
                <w:rFonts w:hint="eastAsia" w:ascii="宋体" w:hAnsi="宋体" w:eastAsia="宋体" w:cs="宋体"/>
                <w:color w:val="auto"/>
                <w:kern w:val="0"/>
                <w:sz w:val="21"/>
                <w:szCs w:val="20"/>
                <w:highlight w:val="none"/>
                <w:lang w:val="en-US" w:eastAsia="zh-CN" w:bidi="ar"/>
              </w:rPr>
            </w:pPr>
            <w:r>
              <w:rPr>
                <w:rFonts w:hint="eastAsia" w:ascii="宋体" w:hAnsi="宋体" w:eastAsia="宋体" w:cs="宋体"/>
                <w:color w:val="auto"/>
                <w:kern w:val="0"/>
                <w:sz w:val="21"/>
                <w:szCs w:val="20"/>
                <w:highlight w:val="none"/>
                <w:lang w:val="en-US" w:eastAsia="zh-CN" w:bidi="ar"/>
              </w:rPr>
              <w:t>注：各岗位人员不得兼任,如重复只计算一次得分。以上人员须同时提供证书复印件及在2024年以来连续3个月在投标人单位的参保人员社会保险缴纳证明（社保证明</w:t>
            </w:r>
            <w:r>
              <w:rPr>
                <w:rFonts w:hint="eastAsia" w:ascii="宋体" w:hAnsi="宋体" w:cs="宋体"/>
                <w:color w:val="auto"/>
                <w:kern w:val="0"/>
                <w:sz w:val="21"/>
                <w:szCs w:val="20"/>
                <w:highlight w:val="none"/>
                <w:lang w:val="en-US" w:eastAsia="zh-CN" w:bidi="ar"/>
              </w:rPr>
              <w:t>还</w:t>
            </w:r>
            <w:r>
              <w:rPr>
                <w:rFonts w:hint="eastAsia" w:ascii="宋体" w:hAnsi="宋体" w:eastAsia="宋体" w:cs="宋体"/>
                <w:color w:val="auto"/>
                <w:kern w:val="0"/>
                <w:sz w:val="21"/>
                <w:szCs w:val="20"/>
                <w:highlight w:val="none"/>
                <w:lang w:val="en-US" w:eastAsia="zh-CN" w:bidi="ar"/>
              </w:rPr>
              <w:t>须附广东省人力资源和社会保障厅网上服务平台——自助打印单据验证截图）或2024年以来投标人单位连续3个月代缴个人所得税税单证明。证明材料复印件加盖投标人公章作为佐证材料，未按要求提供证明材料不得分。</w:t>
            </w:r>
          </w:p>
        </w:tc>
        <w:tc>
          <w:tcPr>
            <w:tcW w:w="758" w:type="dxa"/>
            <w:noWrap w:val="0"/>
            <w:vAlign w:val="center"/>
          </w:tcPr>
          <w:p w14:paraId="28295409">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r>
      <w:tr w14:paraId="05E4B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14:paraId="4335909E">
            <w:pPr>
              <w:adjustRightInd w:val="0"/>
              <w:spacing w:after="120"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74" w:type="dxa"/>
            <w:noWrap w:val="0"/>
            <w:vAlign w:val="center"/>
          </w:tcPr>
          <w:p w14:paraId="3F18A406">
            <w:pPr>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同类业绩</w:t>
            </w:r>
          </w:p>
        </w:tc>
        <w:tc>
          <w:tcPr>
            <w:tcW w:w="7088" w:type="dxa"/>
            <w:tcBorders>
              <w:bottom w:val="single" w:color="auto" w:sz="4" w:space="0"/>
            </w:tcBorders>
            <w:noWrap w:val="0"/>
            <w:vAlign w:val="center"/>
          </w:tcPr>
          <w:p w14:paraId="78198908">
            <w:pPr>
              <w:widowControl/>
              <w:numPr>
                <w:ilvl w:val="0"/>
                <w:numId w:val="0"/>
              </w:numPr>
              <w:spacing w:line="360" w:lineRule="auto"/>
              <w:jc w:val="left"/>
              <w:rPr>
                <w:rFonts w:hint="eastAsia" w:ascii="Times New Roman" w:hAnsi="Times New Roman" w:eastAsia="宋体" w:cs="Times New Roman"/>
              </w:rPr>
            </w:pPr>
            <w:r>
              <w:rPr>
                <w:rFonts w:hint="eastAsia"/>
              </w:rPr>
              <w:t>投标人或投标人拟投品牌电梯制造商自2021年1月1日至今完成过单项合同总金额</w:t>
            </w:r>
            <w:r>
              <w:rPr>
                <w:rFonts w:hint="eastAsia" w:ascii="Times New Roman" w:hAnsi="Times New Roman" w:eastAsia="宋体" w:cs="Times New Roman"/>
                <w:lang w:val="en-US" w:eastAsia="zh-CN"/>
              </w:rPr>
              <w:t>300</w:t>
            </w:r>
            <w:r>
              <w:rPr>
                <w:rFonts w:hint="eastAsia" w:ascii="Times New Roman" w:hAnsi="Times New Roman" w:eastAsia="宋体" w:cs="Times New Roman"/>
              </w:rPr>
              <w:t>万元</w:t>
            </w:r>
            <w:r>
              <w:rPr>
                <w:rFonts w:hint="eastAsia" w:ascii="Times New Roman" w:hAnsi="Times New Roman" w:eastAsia="宋体" w:cs="Times New Roman"/>
                <w:lang w:val="en-US" w:eastAsia="zh-CN"/>
              </w:rPr>
              <w:t>或以上</w:t>
            </w:r>
            <w:r>
              <w:rPr>
                <w:rFonts w:hint="eastAsia" w:ascii="Times New Roman" w:hAnsi="Times New Roman" w:eastAsia="宋体" w:cs="Times New Roman"/>
              </w:rPr>
              <w:t>的垂直电梯的供货业绩，每提供一项得</w:t>
            </w:r>
            <w:r>
              <w:rPr>
                <w:rFonts w:hint="eastAsia" w:ascii="Times New Roman" w:hAnsi="Times New Roman" w:eastAsia="宋体" w:cs="Times New Roman"/>
                <w:lang w:val="en-US" w:eastAsia="zh-CN"/>
              </w:rPr>
              <w:t>1</w:t>
            </w:r>
            <w:r>
              <w:rPr>
                <w:rFonts w:hint="eastAsia" w:ascii="Times New Roman" w:hAnsi="Times New Roman" w:eastAsia="宋体" w:cs="Times New Roman"/>
              </w:rPr>
              <w:t>分，本项最高得</w:t>
            </w:r>
            <w:r>
              <w:rPr>
                <w:rFonts w:hint="eastAsia" w:ascii="Times New Roman" w:hAnsi="Times New Roman" w:eastAsia="宋体" w:cs="Times New Roman"/>
                <w:lang w:val="en-US" w:eastAsia="zh-CN"/>
              </w:rPr>
              <w:t>9</w:t>
            </w:r>
            <w:r>
              <w:rPr>
                <w:rFonts w:hint="eastAsia" w:ascii="Times New Roman" w:hAnsi="Times New Roman" w:eastAsia="宋体" w:cs="Times New Roman"/>
              </w:rPr>
              <w:t>分。</w:t>
            </w:r>
          </w:p>
          <w:p w14:paraId="6FEB74CA">
            <w:pPr>
              <w:widowControl/>
              <w:numPr>
                <w:ilvl w:val="0"/>
                <w:numId w:val="0"/>
              </w:numPr>
              <w:spacing w:line="360" w:lineRule="auto"/>
              <w:jc w:val="left"/>
              <w:rPr>
                <w:rFonts w:hint="eastAsia"/>
                <w:lang w:val="en-US" w:eastAsia="zh-CN"/>
              </w:rPr>
            </w:pPr>
            <w:r>
              <w:rPr>
                <w:rFonts w:hint="eastAsia" w:ascii="Times New Roman" w:hAnsi="Times New Roman" w:eastAsia="宋体" w:cs="Times New Roman"/>
                <w:lang w:val="en-US" w:eastAsia="zh-CN"/>
              </w:rPr>
              <w:t>注：</w:t>
            </w:r>
            <w:r>
              <w:rPr>
                <w:rFonts w:hint="eastAsia" w:ascii="Times New Roman" w:hAnsi="Times New Roman" w:eastAsia="宋体" w:cs="Times New Roman"/>
              </w:rPr>
              <w:t>需同时提供采购合同和交货证明（或技术监督部门确认的检验合格报告或经建设单位</w:t>
            </w:r>
            <w:r>
              <w:rPr>
                <w:rFonts w:hint="eastAsia" w:ascii="Times New Roman" w:hAnsi="Times New Roman" w:eastAsia="宋体" w:cs="Times New Roman"/>
                <w:lang w:val="en-US" w:eastAsia="zh-CN"/>
              </w:rPr>
              <w:t>或甲方</w:t>
            </w:r>
            <w:r>
              <w:rPr>
                <w:rFonts w:hint="eastAsia" w:ascii="Times New Roman" w:hAnsi="Times New Roman" w:eastAsia="宋体" w:cs="Times New Roman"/>
              </w:rPr>
              <w:t>确认的验收报告或验收证明）扫描件并加盖</w:t>
            </w:r>
            <w:r>
              <w:rPr>
                <w:rFonts w:hint="eastAsia" w:ascii="Times New Roman" w:hAnsi="Times New Roman" w:eastAsia="宋体" w:cs="Times New Roman"/>
                <w:lang w:val="en-US" w:eastAsia="zh-CN"/>
              </w:rPr>
              <w:t>投标人公章</w:t>
            </w:r>
            <w:r>
              <w:rPr>
                <w:rFonts w:hint="eastAsia" w:ascii="Times New Roman" w:hAnsi="Times New Roman" w:eastAsia="宋体" w:cs="Times New Roman"/>
              </w:rPr>
              <w:t>。业绩完成时间以交货证明或技术监督部门确认的检验合格报告或经建设单位确认</w:t>
            </w:r>
            <w:r>
              <w:rPr>
                <w:rFonts w:hint="eastAsia" w:ascii="Times New Roman" w:hAnsi="Times New Roman" w:eastAsia="宋体" w:cs="Times New Roman"/>
                <w:lang w:val="en-US" w:eastAsia="zh-CN"/>
              </w:rPr>
              <w:t>经甲方确认</w:t>
            </w:r>
            <w:r>
              <w:rPr>
                <w:rFonts w:hint="eastAsia" w:ascii="Times New Roman" w:hAnsi="Times New Roman" w:eastAsia="宋体" w:cs="Times New Roman"/>
              </w:rPr>
              <w:t>的验收报告或验收证明为准。金额以采购合同为准。</w:t>
            </w:r>
          </w:p>
        </w:tc>
        <w:tc>
          <w:tcPr>
            <w:tcW w:w="758" w:type="dxa"/>
            <w:noWrap w:val="0"/>
            <w:vAlign w:val="center"/>
          </w:tcPr>
          <w:p w14:paraId="2F9F00AA">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r>
      <w:tr w14:paraId="2BC7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83" w:type="dxa"/>
            <w:gridSpan w:val="3"/>
            <w:noWrap w:val="0"/>
            <w:vAlign w:val="center"/>
          </w:tcPr>
          <w:p w14:paraId="55C448BE">
            <w:pPr>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58" w:type="dxa"/>
            <w:noWrap w:val="0"/>
            <w:vAlign w:val="center"/>
          </w:tcPr>
          <w:p w14:paraId="19624B53">
            <w:pPr>
              <w:widowControl/>
              <w:adjustRightInd w:val="0"/>
              <w:spacing w:after="12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分</w:t>
            </w:r>
          </w:p>
        </w:tc>
      </w:tr>
    </w:tbl>
    <w:p w14:paraId="1B92E424">
      <w:pPr>
        <w:pStyle w:val="26"/>
        <w:rPr>
          <w:rFonts w:hint="eastAsia" w:ascii="宋体" w:hAnsi="宋体" w:eastAsia="宋体" w:cs="宋体"/>
          <w:b/>
          <w:bCs/>
          <w:color w:val="auto"/>
          <w:highlight w:val="none"/>
        </w:rPr>
      </w:pPr>
      <w:r>
        <w:rPr>
          <w:rFonts w:hint="eastAsia" w:ascii="宋体" w:hAnsi="宋体" w:eastAsia="宋体" w:cs="宋体"/>
          <w:b/>
          <w:bCs/>
          <w:color w:val="auto"/>
          <w:highlight w:val="none"/>
        </w:rPr>
        <w:t>注：</w:t>
      </w:r>
      <w:r>
        <w:rPr>
          <w:rFonts w:hint="eastAsia" w:hAnsi="宋体" w:cs="宋体"/>
          <w:b/>
          <w:bCs/>
          <w:color w:val="auto"/>
          <w:highlight w:val="none"/>
          <w:lang w:val="en-US" w:eastAsia="zh-CN"/>
        </w:rPr>
        <w:t>1、</w:t>
      </w:r>
      <w:r>
        <w:rPr>
          <w:rFonts w:hint="eastAsia" w:ascii="宋体" w:hAnsi="宋体" w:eastAsia="宋体" w:cs="宋体"/>
          <w:b/>
          <w:bCs/>
          <w:color w:val="auto"/>
          <w:highlight w:val="none"/>
        </w:rPr>
        <w:t>评委对各投标文件进行评审，分数精确至小数点后2位。</w:t>
      </w:r>
    </w:p>
    <w:p w14:paraId="160393A5">
      <w:pPr>
        <w:rPr>
          <w:rFonts w:hint="eastAsia" w:ascii="宋体" w:hAnsi="宋体"/>
          <w:b/>
          <w:bCs/>
          <w:color w:val="auto"/>
          <w:highlight w:val="none"/>
          <w:lang w:val="en-US" w:eastAsia="zh-CN"/>
        </w:rPr>
      </w:pPr>
      <w:r>
        <w:rPr>
          <w:rFonts w:hint="eastAsia" w:ascii="宋体" w:hAnsi="宋体" w:cs="宋体"/>
          <w:b/>
          <w:bCs/>
          <w:color w:val="auto"/>
          <w:highlight w:val="none"/>
          <w:lang w:val="en-US" w:eastAsia="zh-CN"/>
        </w:rPr>
        <w:t xml:space="preserve">    </w:t>
      </w:r>
      <w:r>
        <w:rPr>
          <w:rFonts w:hint="eastAsia" w:ascii="宋体" w:hAnsi="宋体"/>
          <w:b/>
          <w:bCs/>
          <w:color w:val="auto"/>
          <w:highlight w:val="none"/>
          <w:lang w:val="en-US" w:eastAsia="zh-CN"/>
        </w:rPr>
        <w:t>2、若投标人出现商务评分低于商务得分的60%，评标委员会将否决该投标人的所有投标文件，该投标人也不再进入价格详细评审环节。</w:t>
      </w:r>
    </w:p>
    <w:p w14:paraId="0A4E9F6B">
      <w:pPr>
        <w:rPr>
          <w:rFonts w:hint="default" w:eastAsia="宋体"/>
          <w:lang w:val="en-US" w:eastAsia="zh-CN"/>
        </w:rPr>
      </w:pPr>
    </w:p>
    <w:p w14:paraId="6EA63D63">
      <w:pPr>
        <w:rPr>
          <w:rFonts w:eastAsia="宋体"/>
        </w:rPr>
      </w:pPr>
    </w:p>
    <w:p w14:paraId="4C5059A6">
      <w:pPr>
        <w:rPr>
          <w:rFonts w:eastAsia="宋体"/>
        </w:rPr>
      </w:pPr>
    </w:p>
    <w:p w14:paraId="3F3583CA">
      <w:pPr>
        <w:rPr>
          <w:rFonts w:eastAsia="宋体"/>
        </w:rPr>
      </w:pPr>
    </w:p>
    <w:p w14:paraId="00F5D35C">
      <w:pPr>
        <w:rPr>
          <w:rFonts w:eastAsia="宋体"/>
        </w:rPr>
      </w:pPr>
    </w:p>
    <w:p w14:paraId="34A6E304">
      <w:pPr>
        <w:rPr>
          <w:rFonts w:eastAsia="宋体"/>
        </w:rPr>
      </w:pPr>
    </w:p>
    <w:p w14:paraId="6E31F180">
      <w:pPr>
        <w:rPr>
          <w:rFonts w:eastAsia="宋体"/>
        </w:rPr>
      </w:pPr>
    </w:p>
    <w:p w14:paraId="0A687ECB">
      <w:pPr>
        <w:rPr>
          <w:rFonts w:eastAsia="宋体"/>
        </w:rPr>
      </w:pPr>
    </w:p>
    <w:p w14:paraId="3801A013">
      <w:pPr>
        <w:rPr>
          <w:rFonts w:eastAsia="宋体"/>
        </w:rPr>
      </w:pPr>
    </w:p>
    <w:p w14:paraId="2806FBCB">
      <w:pPr>
        <w:rPr>
          <w:rFonts w:eastAsia="宋体"/>
        </w:rPr>
      </w:pPr>
    </w:p>
    <w:p w14:paraId="76853C3E">
      <w:pPr>
        <w:rPr>
          <w:rFonts w:eastAsia="宋体"/>
        </w:rPr>
      </w:pPr>
    </w:p>
    <w:p w14:paraId="60D28518">
      <w:pPr>
        <w:rPr>
          <w:rFonts w:eastAsia="宋体"/>
        </w:rPr>
      </w:pPr>
    </w:p>
    <w:p w14:paraId="55834B8A">
      <w:pPr>
        <w:rPr>
          <w:rFonts w:eastAsia="宋体"/>
        </w:rPr>
      </w:pPr>
    </w:p>
    <w:p w14:paraId="52BA900B">
      <w:pPr>
        <w:rPr>
          <w:rFonts w:eastAsia="宋体"/>
        </w:rPr>
      </w:pPr>
    </w:p>
    <w:p w14:paraId="12242EF8">
      <w:pPr>
        <w:rPr>
          <w:rFonts w:eastAsia="宋体"/>
        </w:rPr>
      </w:pPr>
    </w:p>
    <w:p w14:paraId="0C945828">
      <w:pPr>
        <w:rPr>
          <w:rFonts w:eastAsia="宋体"/>
        </w:rPr>
      </w:pPr>
    </w:p>
    <w:p w14:paraId="325C7561">
      <w:pPr>
        <w:rPr>
          <w:rFonts w:eastAsia="宋体"/>
        </w:rPr>
      </w:pPr>
    </w:p>
    <w:p w14:paraId="368C0D38">
      <w:pPr>
        <w:rPr>
          <w:rFonts w:eastAsia="宋体"/>
        </w:rPr>
      </w:pPr>
    </w:p>
    <w:p w14:paraId="35EA3107">
      <w:pPr>
        <w:rPr>
          <w:rFonts w:eastAsia="宋体"/>
        </w:rPr>
      </w:pPr>
    </w:p>
    <w:p w14:paraId="1183DF9A">
      <w:pPr>
        <w:rPr>
          <w:rFonts w:eastAsia="宋体"/>
        </w:rPr>
      </w:pPr>
    </w:p>
    <w:p w14:paraId="2F5B766B">
      <w:pPr>
        <w:rPr>
          <w:rFonts w:eastAsia="宋体"/>
        </w:rPr>
      </w:pPr>
    </w:p>
    <w:p w14:paraId="6DBA17BB">
      <w:pPr>
        <w:rPr>
          <w:rFonts w:eastAsia="宋体"/>
        </w:rPr>
      </w:pPr>
    </w:p>
    <w:p w14:paraId="5996FF1A">
      <w:pPr>
        <w:rPr>
          <w:rFonts w:eastAsia="宋体"/>
        </w:rPr>
      </w:pPr>
    </w:p>
    <w:p w14:paraId="475E79B1">
      <w:pPr>
        <w:rPr>
          <w:rFonts w:eastAsia="宋体"/>
        </w:rPr>
      </w:pPr>
    </w:p>
    <w:p w14:paraId="4C4BDC80">
      <w:pPr>
        <w:rPr>
          <w:rFonts w:eastAsia="宋体"/>
        </w:rPr>
      </w:pPr>
    </w:p>
    <w:p w14:paraId="3668725F">
      <w:pPr>
        <w:rPr>
          <w:rFonts w:eastAsia="宋体"/>
        </w:rPr>
      </w:pPr>
    </w:p>
    <w:p w14:paraId="5E154BF5">
      <w:pPr>
        <w:rPr>
          <w:rFonts w:eastAsia="宋体"/>
        </w:rPr>
      </w:pPr>
    </w:p>
    <w:p w14:paraId="305D05D0">
      <w:pPr>
        <w:rPr>
          <w:rFonts w:eastAsia="宋体"/>
        </w:rPr>
      </w:pPr>
    </w:p>
    <w:p w14:paraId="1CAFE438">
      <w:pPr>
        <w:rPr>
          <w:rFonts w:eastAsia="宋体"/>
        </w:rPr>
      </w:pPr>
    </w:p>
    <w:p w14:paraId="18137B4D">
      <w:pPr>
        <w:rPr>
          <w:rFonts w:eastAsia="宋体"/>
        </w:rPr>
      </w:pPr>
    </w:p>
    <w:p w14:paraId="376CD51D">
      <w:pPr>
        <w:rPr>
          <w:rFonts w:eastAsia="宋体"/>
        </w:rPr>
      </w:pPr>
    </w:p>
    <w:p w14:paraId="33C20934">
      <w:pPr>
        <w:rPr>
          <w:rFonts w:eastAsia="宋体"/>
        </w:rPr>
      </w:pPr>
    </w:p>
    <w:p w14:paraId="5AB1A2D9">
      <w:pPr>
        <w:rPr>
          <w:rFonts w:eastAsia="宋体"/>
        </w:rPr>
      </w:pPr>
    </w:p>
    <w:p w14:paraId="36046D0E">
      <w:r>
        <w:br w:type="page"/>
      </w:r>
    </w:p>
    <w:p w14:paraId="273FFB88">
      <w:pPr>
        <w:pStyle w:val="20"/>
        <w:rPr>
          <w:rFonts w:hint="eastAsia" w:ascii="宋体" w:hAnsi="宋体"/>
          <w:b/>
          <w:color w:val="auto"/>
          <w:szCs w:val="24"/>
          <w:highlight w:val="none"/>
          <w:lang w:eastAsia="zh-CN"/>
        </w:rPr>
      </w:pPr>
      <w:r>
        <w:rPr>
          <w:rFonts w:hint="eastAsia" w:ascii="宋体" w:hAnsi="宋体"/>
          <w:b/>
          <w:color w:val="auto"/>
          <w:szCs w:val="24"/>
          <w:highlight w:val="none"/>
        </w:rPr>
        <w:t>附表</w:t>
      </w:r>
      <w:r>
        <w:rPr>
          <w:rFonts w:hint="eastAsia" w:ascii="宋体" w:hAnsi="宋体"/>
          <w:b/>
          <w:color w:val="auto"/>
          <w:szCs w:val="24"/>
          <w:highlight w:val="none"/>
          <w:lang w:val="en-US" w:eastAsia="zh-CN"/>
        </w:rPr>
        <w:t>4</w:t>
      </w:r>
      <w:r>
        <w:rPr>
          <w:rFonts w:hint="eastAsia" w:ascii="宋体" w:hAnsi="宋体"/>
          <w:b/>
          <w:color w:val="auto"/>
          <w:szCs w:val="24"/>
          <w:highlight w:val="none"/>
        </w:rPr>
        <w:t>：</w:t>
      </w:r>
      <w:r>
        <w:rPr>
          <w:rFonts w:hint="eastAsia" w:ascii="宋体" w:hAnsi="宋体"/>
          <w:b/>
          <w:color w:val="auto"/>
          <w:szCs w:val="24"/>
          <w:highlight w:val="none"/>
          <w:lang w:val="en-US" w:eastAsia="zh-CN"/>
        </w:rPr>
        <w:t>符合性</w:t>
      </w:r>
      <w:r>
        <w:rPr>
          <w:rFonts w:hint="eastAsia" w:ascii="宋体" w:hAnsi="宋体"/>
          <w:b/>
          <w:color w:val="auto"/>
          <w:szCs w:val="24"/>
          <w:highlight w:val="none"/>
        </w:rPr>
        <w:t>审查表</w:t>
      </w:r>
      <w:r>
        <w:rPr>
          <w:rFonts w:hint="eastAsia" w:ascii="宋体" w:hAnsi="宋体"/>
          <w:b/>
          <w:color w:val="auto"/>
          <w:szCs w:val="24"/>
          <w:highlight w:val="none"/>
          <w:lang w:eastAsia="zh-CN"/>
        </w:rPr>
        <w:t>（</w:t>
      </w:r>
      <w:r>
        <w:rPr>
          <w:rFonts w:hint="eastAsia" w:ascii="宋体" w:hAnsi="宋体"/>
          <w:b/>
          <w:color w:val="auto"/>
          <w:szCs w:val="24"/>
          <w:highlight w:val="none"/>
          <w:lang w:val="en-US" w:eastAsia="zh-CN"/>
        </w:rPr>
        <w:t>阶段二</w:t>
      </w:r>
      <w:r>
        <w:rPr>
          <w:rFonts w:hint="eastAsia" w:ascii="宋体" w:hAnsi="宋体"/>
          <w:b/>
          <w:color w:val="auto"/>
          <w:szCs w:val="24"/>
          <w:highlight w:val="none"/>
          <w:lang w:eastAsia="zh-CN"/>
        </w:rPr>
        <w:t>）</w:t>
      </w:r>
    </w:p>
    <w:p w14:paraId="2C9B238B">
      <w:pPr>
        <w:jc w:val="center"/>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lang w:val="en-US" w:eastAsia="zh-CN"/>
        </w:rPr>
        <w:t>符合性</w:t>
      </w:r>
      <w:r>
        <w:rPr>
          <w:rFonts w:hint="eastAsia" w:ascii="宋体" w:hAnsi="宋体"/>
          <w:b/>
          <w:color w:val="auto"/>
          <w:sz w:val="28"/>
          <w:szCs w:val="28"/>
          <w:highlight w:val="none"/>
        </w:rPr>
        <w:t>审查表</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阶段二</w:t>
      </w:r>
      <w:r>
        <w:rPr>
          <w:rFonts w:hint="eastAsia" w:ascii="宋体" w:hAnsi="宋体"/>
          <w:b/>
          <w:color w:val="auto"/>
          <w:sz w:val="28"/>
          <w:szCs w:val="28"/>
          <w:highlight w:val="none"/>
          <w:lang w:eastAsia="zh-CN"/>
        </w:rPr>
        <w:t>）</w:t>
      </w:r>
    </w:p>
    <w:tbl>
      <w:tblPr>
        <w:tblStyle w:val="53"/>
        <w:tblW w:w="5000" w:type="pct"/>
        <w:tblInd w:w="0" w:type="dxa"/>
        <w:tblLayout w:type="autofit"/>
        <w:tblCellMar>
          <w:top w:w="0" w:type="dxa"/>
          <w:left w:w="0" w:type="dxa"/>
          <w:bottom w:w="0" w:type="dxa"/>
          <w:right w:w="0" w:type="dxa"/>
        </w:tblCellMar>
      </w:tblPr>
      <w:tblGrid>
        <w:gridCol w:w="561"/>
        <w:gridCol w:w="4225"/>
        <w:gridCol w:w="746"/>
        <w:gridCol w:w="744"/>
        <w:gridCol w:w="744"/>
        <w:gridCol w:w="744"/>
        <w:gridCol w:w="744"/>
        <w:gridCol w:w="764"/>
      </w:tblGrid>
      <w:tr w14:paraId="4355E1FC">
        <w:tblPrEx>
          <w:tblCellMar>
            <w:top w:w="0" w:type="dxa"/>
            <w:left w:w="0" w:type="dxa"/>
            <w:bottom w:w="0" w:type="dxa"/>
            <w:right w:w="0" w:type="dxa"/>
          </w:tblCellMar>
        </w:tblPrEx>
        <w:trPr>
          <w:trHeight w:val="90" w:hRule="atLeast"/>
        </w:trPr>
        <w:tc>
          <w:tcPr>
            <w:tcW w:w="303" w:type="pct"/>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553E345B">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序号</w:t>
            </w:r>
          </w:p>
        </w:tc>
        <w:tc>
          <w:tcPr>
            <w:tcW w:w="2278" w:type="pct"/>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69EC7FB4">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审查项目</w:t>
            </w:r>
          </w:p>
        </w:tc>
        <w:tc>
          <w:tcPr>
            <w:tcW w:w="2418" w:type="pct"/>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EA334F4">
            <w:pPr>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w:t>
            </w:r>
          </w:p>
        </w:tc>
      </w:tr>
      <w:tr w14:paraId="21E05228">
        <w:tblPrEx>
          <w:tblCellMar>
            <w:top w:w="0" w:type="dxa"/>
            <w:left w:w="0" w:type="dxa"/>
            <w:bottom w:w="0" w:type="dxa"/>
            <w:right w:w="0" w:type="dxa"/>
          </w:tblCellMar>
        </w:tblPrEx>
        <w:trPr>
          <w:trHeight w:val="211" w:hRule="atLeast"/>
        </w:trPr>
        <w:tc>
          <w:tcPr>
            <w:tcW w:w="303" w:type="pct"/>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CB36B3">
            <w:pPr>
              <w:jc w:val="center"/>
              <w:rPr>
                <w:rFonts w:hint="eastAsia" w:ascii="宋体" w:hAnsi="宋体" w:eastAsia="宋体" w:cs="宋体"/>
                <w:color w:val="auto"/>
                <w:szCs w:val="21"/>
                <w:highlight w:val="none"/>
              </w:rPr>
            </w:pPr>
          </w:p>
        </w:tc>
        <w:tc>
          <w:tcPr>
            <w:tcW w:w="2278" w:type="pct"/>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7D80CFB9">
            <w:pPr>
              <w:jc w:val="center"/>
              <w:rPr>
                <w:rFonts w:hint="eastAsia" w:ascii="宋体" w:hAnsi="宋体" w:eastAsia="宋体" w:cs="宋体"/>
                <w:color w:val="auto"/>
                <w:szCs w:val="21"/>
                <w:highlight w:val="none"/>
              </w:rPr>
            </w:pPr>
          </w:p>
        </w:tc>
        <w:tc>
          <w:tcPr>
            <w:tcW w:w="40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93748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DB156C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B</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40FAD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C</w:t>
            </w: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72A30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D</w:t>
            </w:r>
          </w:p>
        </w:tc>
        <w:tc>
          <w:tcPr>
            <w:tcW w:w="401" w:type="pct"/>
            <w:tcBorders>
              <w:top w:val="single" w:color="auto" w:sz="4" w:space="0"/>
              <w:left w:val="nil"/>
              <w:bottom w:val="single" w:color="auto" w:sz="4" w:space="0"/>
              <w:right w:val="single" w:color="auto" w:sz="4" w:space="0"/>
            </w:tcBorders>
            <w:noWrap w:val="0"/>
            <w:vAlign w:val="center"/>
          </w:tcPr>
          <w:p w14:paraId="4555452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E</w:t>
            </w:r>
          </w:p>
        </w:tc>
        <w:tc>
          <w:tcPr>
            <w:tcW w:w="408" w:type="pct"/>
            <w:tcBorders>
              <w:top w:val="single" w:color="auto" w:sz="4" w:space="0"/>
              <w:left w:val="nil"/>
              <w:bottom w:val="single" w:color="auto" w:sz="4" w:space="0"/>
              <w:right w:val="single" w:color="auto" w:sz="4" w:space="0"/>
            </w:tcBorders>
            <w:noWrap w:val="0"/>
            <w:vAlign w:val="center"/>
          </w:tcPr>
          <w:p w14:paraId="3C079FC9">
            <w:pPr>
              <w:jc w:val="center"/>
              <w:rPr>
                <w:rFonts w:hint="eastAsia" w:ascii="宋体" w:hAnsi="宋体" w:eastAsia="宋体" w:cs="宋体"/>
                <w:color w:val="auto"/>
                <w:szCs w:val="21"/>
                <w:highlight w:val="none"/>
                <w:lang w:val="en-US" w:eastAsia="zh-CN"/>
              </w:rPr>
            </w:pPr>
            <w:r>
              <w:rPr>
                <w:rFonts w:hint="eastAsia" w:ascii="宋体" w:hAnsi="宋体" w:eastAsia="宋体" w:cs="宋体"/>
                <w:bCs/>
                <w:color w:val="auto"/>
                <w:kern w:val="0"/>
                <w:sz w:val="21"/>
                <w:szCs w:val="21"/>
                <w:highlight w:val="none"/>
                <w:lang w:val="en-US" w:eastAsia="zh-CN"/>
              </w:rPr>
              <w:t>...</w:t>
            </w:r>
          </w:p>
        </w:tc>
      </w:tr>
      <w:tr w14:paraId="2CB6B072">
        <w:tblPrEx>
          <w:tblCellMar>
            <w:top w:w="0" w:type="dxa"/>
            <w:left w:w="0" w:type="dxa"/>
            <w:bottom w:w="0" w:type="dxa"/>
            <w:right w:w="0" w:type="dxa"/>
          </w:tblCellMar>
        </w:tblPrEx>
        <w:trPr>
          <w:trHeight w:val="609" w:hRule="atLeast"/>
        </w:trPr>
        <w:tc>
          <w:tcPr>
            <w:tcW w:w="30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5683D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78"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F2B06B">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投标人的商务评分未低于招标文件规定的商务得分比例</w:t>
            </w:r>
            <w:r>
              <w:rPr>
                <w:rFonts w:hint="eastAsia" w:ascii="宋体" w:hAnsi="宋体" w:eastAsia="宋体" w:cs="宋体"/>
                <w:i w:val="0"/>
                <w:iCs w:val="0"/>
                <w:color w:val="auto"/>
                <w:kern w:val="0"/>
                <w:sz w:val="21"/>
                <w:szCs w:val="21"/>
                <w:highlight w:val="none"/>
                <w:u w:val="none"/>
                <w:lang w:val="en-US" w:eastAsia="zh-CN" w:bidi="ar"/>
              </w:rPr>
              <w:t>；</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E0942A1">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ED90FF7">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42EBF4">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3E88A4">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vAlign w:val="center"/>
          </w:tcPr>
          <w:p w14:paraId="73849435">
            <w:pPr>
              <w:jc w:val="center"/>
              <w:rPr>
                <w:rFonts w:hint="eastAsia" w:ascii="宋体" w:hAnsi="宋体" w:eastAsia="宋体" w:cs="宋体"/>
                <w:color w:val="auto"/>
                <w:sz w:val="21"/>
                <w:szCs w:val="21"/>
                <w:highlight w:val="none"/>
              </w:rPr>
            </w:pPr>
          </w:p>
        </w:tc>
        <w:tc>
          <w:tcPr>
            <w:tcW w:w="408" w:type="pct"/>
            <w:tcBorders>
              <w:top w:val="nil"/>
              <w:left w:val="nil"/>
              <w:bottom w:val="single" w:color="auto" w:sz="4" w:space="0"/>
              <w:right w:val="single" w:color="auto" w:sz="4" w:space="0"/>
            </w:tcBorders>
            <w:noWrap w:val="0"/>
            <w:vAlign w:val="center"/>
          </w:tcPr>
          <w:p w14:paraId="7F8F5F71">
            <w:pPr>
              <w:jc w:val="center"/>
              <w:rPr>
                <w:rFonts w:hint="eastAsia" w:ascii="宋体" w:hAnsi="宋体" w:eastAsia="宋体" w:cs="宋体"/>
                <w:color w:val="auto"/>
                <w:sz w:val="21"/>
                <w:szCs w:val="21"/>
                <w:highlight w:val="none"/>
              </w:rPr>
            </w:pPr>
          </w:p>
        </w:tc>
      </w:tr>
      <w:tr w14:paraId="02151BE0">
        <w:tblPrEx>
          <w:tblCellMar>
            <w:top w:w="0" w:type="dxa"/>
            <w:left w:w="0" w:type="dxa"/>
            <w:bottom w:w="0" w:type="dxa"/>
            <w:right w:w="0" w:type="dxa"/>
          </w:tblCellMar>
        </w:tblPrEx>
        <w:trPr>
          <w:trHeight w:val="609" w:hRule="atLeast"/>
        </w:trPr>
        <w:tc>
          <w:tcPr>
            <w:tcW w:w="303" w:type="pc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1A282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w:t>
            </w:r>
          </w:p>
        </w:tc>
        <w:tc>
          <w:tcPr>
            <w:tcW w:w="2278"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8B3F082">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投标人的投标</w:t>
            </w:r>
            <w:r>
              <w:rPr>
                <w:rFonts w:hint="eastAsia" w:ascii="宋体" w:hAnsi="宋体" w:eastAsia="宋体" w:cs="宋体"/>
                <w:color w:val="auto"/>
                <w:szCs w:val="21"/>
                <w:highlight w:val="none"/>
                <w:lang w:val="en-US" w:eastAsia="zh-CN"/>
              </w:rPr>
              <w:t>报</w:t>
            </w:r>
            <w:r>
              <w:rPr>
                <w:rFonts w:hint="eastAsia" w:ascii="宋体" w:hAnsi="宋体" w:eastAsia="宋体" w:cs="宋体"/>
                <w:color w:val="auto"/>
                <w:szCs w:val="21"/>
                <w:highlight w:val="none"/>
              </w:rPr>
              <w:t>价没有超过本项目的最高限价；</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755822A">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75FAE00">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7936FB1">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1ADC980">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vAlign w:val="center"/>
          </w:tcPr>
          <w:p w14:paraId="23A257FB">
            <w:pPr>
              <w:jc w:val="center"/>
              <w:rPr>
                <w:rFonts w:hint="eastAsia" w:ascii="宋体" w:hAnsi="宋体" w:eastAsia="宋体" w:cs="宋体"/>
                <w:color w:val="auto"/>
                <w:sz w:val="21"/>
                <w:szCs w:val="21"/>
                <w:highlight w:val="none"/>
              </w:rPr>
            </w:pPr>
          </w:p>
        </w:tc>
        <w:tc>
          <w:tcPr>
            <w:tcW w:w="408" w:type="pct"/>
            <w:tcBorders>
              <w:top w:val="nil"/>
              <w:left w:val="nil"/>
              <w:bottom w:val="single" w:color="auto" w:sz="4" w:space="0"/>
              <w:right w:val="single" w:color="auto" w:sz="4" w:space="0"/>
            </w:tcBorders>
            <w:noWrap w:val="0"/>
            <w:vAlign w:val="center"/>
          </w:tcPr>
          <w:p w14:paraId="609DEB7E">
            <w:pPr>
              <w:jc w:val="center"/>
              <w:rPr>
                <w:rFonts w:hint="eastAsia" w:ascii="宋体" w:hAnsi="宋体" w:eastAsia="宋体" w:cs="宋体"/>
                <w:color w:val="auto"/>
                <w:sz w:val="21"/>
                <w:szCs w:val="21"/>
                <w:highlight w:val="none"/>
              </w:rPr>
            </w:pPr>
          </w:p>
        </w:tc>
      </w:tr>
      <w:tr w14:paraId="2B8DA23F">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2363FA">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E7335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投标人不得递交两份或多份内容不同的投标文件，在一份投标文件中对同一招标货物报有两个或多个报价时必须声明哪一个为最终报价；</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7EDE27C">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B6721A">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71413BF">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E68A7D">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vAlign w:val="center"/>
          </w:tcPr>
          <w:p w14:paraId="619BA6D3">
            <w:pPr>
              <w:jc w:val="center"/>
              <w:rPr>
                <w:rFonts w:hint="eastAsia" w:ascii="宋体" w:hAnsi="宋体" w:eastAsia="宋体" w:cs="宋体"/>
                <w:color w:val="auto"/>
                <w:sz w:val="21"/>
                <w:szCs w:val="21"/>
                <w:highlight w:val="none"/>
              </w:rPr>
            </w:pPr>
          </w:p>
        </w:tc>
        <w:tc>
          <w:tcPr>
            <w:tcW w:w="408" w:type="pct"/>
            <w:tcBorders>
              <w:top w:val="nil"/>
              <w:left w:val="nil"/>
              <w:bottom w:val="single" w:color="auto" w:sz="4" w:space="0"/>
              <w:right w:val="single" w:color="auto" w:sz="4" w:space="0"/>
            </w:tcBorders>
            <w:noWrap w:val="0"/>
            <w:vAlign w:val="center"/>
          </w:tcPr>
          <w:p w14:paraId="2500036C">
            <w:pPr>
              <w:jc w:val="center"/>
              <w:rPr>
                <w:rFonts w:hint="eastAsia" w:ascii="宋体" w:hAnsi="宋体" w:eastAsia="宋体" w:cs="宋体"/>
                <w:color w:val="auto"/>
                <w:sz w:val="21"/>
                <w:szCs w:val="21"/>
                <w:highlight w:val="none"/>
              </w:rPr>
            </w:pPr>
          </w:p>
        </w:tc>
      </w:tr>
      <w:tr w14:paraId="513E9445">
        <w:tblPrEx>
          <w:tblCellMar>
            <w:top w:w="0" w:type="dxa"/>
            <w:left w:w="0" w:type="dxa"/>
            <w:bottom w:w="0" w:type="dxa"/>
            <w:right w:w="0" w:type="dxa"/>
          </w:tblCellMar>
        </w:tblPrEx>
        <w:trPr>
          <w:trHeight w:val="609" w:hRule="atLeast"/>
        </w:trPr>
        <w:tc>
          <w:tcPr>
            <w:tcW w:w="303" w:type="pc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3D0CF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278"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FDB70F">
            <w:pPr>
              <w:rPr>
                <w:rFonts w:hint="eastAsia" w:ascii="宋体" w:hAnsi="宋体" w:eastAsia="宋体" w:cs="宋体"/>
                <w:color w:val="auto"/>
                <w:szCs w:val="21"/>
                <w:highlight w:val="none"/>
              </w:rPr>
            </w:pPr>
            <w:r>
              <w:rPr>
                <w:rFonts w:hint="eastAsia" w:ascii="宋体" w:hAnsi="宋体" w:eastAsia="宋体" w:cs="宋体"/>
                <w:i w:val="0"/>
                <w:iCs w:val="0"/>
                <w:color w:val="auto"/>
                <w:kern w:val="0"/>
                <w:sz w:val="21"/>
                <w:szCs w:val="21"/>
                <w:highlight w:val="none"/>
                <w:u w:val="none"/>
                <w:lang w:val="en-US" w:eastAsia="zh-CN" w:bidi="ar"/>
              </w:rPr>
              <w:t>无招标文件中规定的其他无效投标的内容。</w:t>
            </w:r>
          </w:p>
        </w:tc>
        <w:tc>
          <w:tcPr>
            <w:tcW w:w="402"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06B039">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0C9F33">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E5DE584">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52D970">
            <w:pPr>
              <w:jc w:val="center"/>
              <w:rPr>
                <w:rFonts w:hint="eastAsia" w:ascii="宋体" w:hAnsi="宋体" w:eastAsia="宋体" w:cs="宋体"/>
                <w:color w:val="auto"/>
                <w:sz w:val="21"/>
                <w:szCs w:val="21"/>
                <w:highlight w:val="none"/>
              </w:rPr>
            </w:pPr>
          </w:p>
        </w:tc>
        <w:tc>
          <w:tcPr>
            <w:tcW w:w="401" w:type="pct"/>
            <w:tcBorders>
              <w:top w:val="nil"/>
              <w:left w:val="nil"/>
              <w:bottom w:val="single" w:color="auto" w:sz="4" w:space="0"/>
              <w:right w:val="single" w:color="auto" w:sz="4" w:space="0"/>
            </w:tcBorders>
            <w:noWrap w:val="0"/>
            <w:vAlign w:val="center"/>
          </w:tcPr>
          <w:p w14:paraId="7CD0A081">
            <w:pPr>
              <w:jc w:val="center"/>
              <w:rPr>
                <w:rFonts w:hint="eastAsia" w:ascii="宋体" w:hAnsi="宋体" w:eastAsia="宋体" w:cs="宋体"/>
                <w:color w:val="auto"/>
                <w:sz w:val="21"/>
                <w:szCs w:val="21"/>
                <w:highlight w:val="none"/>
              </w:rPr>
            </w:pPr>
          </w:p>
        </w:tc>
        <w:tc>
          <w:tcPr>
            <w:tcW w:w="408" w:type="pct"/>
            <w:tcBorders>
              <w:top w:val="nil"/>
              <w:left w:val="nil"/>
              <w:bottom w:val="single" w:color="auto" w:sz="4" w:space="0"/>
              <w:right w:val="single" w:color="auto" w:sz="4" w:space="0"/>
            </w:tcBorders>
            <w:noWrap w:val="0"/>
            <w:vAlign w:val="center"/>
          </w:tcPr>
          <w:p w14:paraId="288FA714">
            <w:pPr>
              <w:jc w:val="center"/>
              <w:rPr>
                <w:rFonts w:hint="eastAsia" w:ascii="宋体" w:hAnsi="宋体" w:eastAsia="宋体" w:cs="宋体"/>
                <w:color w:val="auto"/>
                <w:sz w:val="21"/>
                <w:szCs w:val="21"/>
                <w:highlight w:val="none"/>
              </w:rPr>
            </w:pPr>
          </w:p>
        </w:tc>
      </w:tr>
      <w:tr w14:paraId="4E29FAF8">
        <w:tblPrEx>
          <w:tblCellMar>
            <w:top w:w="0" w:type="dxa"/>
            <w:left w:w="0" w:type="dxa"/>
            <w:bottom w:w="0" w:type="dxa"/>
            <w:right w:w="0" w:type="dxa"/>
          </w:tblCellMar>
        </w:tblPrEx>
        <w:trPr>
          <w:trHeight w:val="356" w:hRule="atLeast"/>
        </w:trPr>
        <w:tc>
          <w:tcPr>
            <w:tcW w:w="2581" w:type="pct"/>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78515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结      论</w:t>
            </w:r>
          </w:p>
        </w:tc>
        <w:tc>
          <w:tcPr>
            <w:tcW w:w="402"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F94461C">
            <w:pPr>
              <w:jc w:val="center"/>
              <w:rPr>
                <w:rFonts w:hint="eastAsia" w:ascii="宋体" w:hAnsi="宋体" w:eastAsia="宋体" w:cs="宋体"/>
                <w:b/>
                <w:bCs/>
                <w:color w:val="auto"/>
                <w:sz w:val="21"/>
                <w:szCs w:val="21"/>
                <w:highlight w:val="none"/>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DF0B7AD">
            <w:pPr>
              <w:jc w:val="center"/>
              <w:rPr>
                <w:rFonts w:hint="eastAsia" w:ascii="宋体" w:hAnsi="宋体" w:eastAsia="宋体" w:cs="宋体"/>
                <w:b/>
                <w:bCs/>
                <w:color w:val="auto"/>
                <w:sz w:val="21"/>
                <w:szCs w:val="21"/>
                <w:highlight w:val="none"/>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7A61B8">
            <w:pPr>
              <w:jc w:val="center"/>
              <w:rPr>
                <w:rFonts w:hint="eastAsia" w:ascii="宋体" w:hAnsi="宋体" w:eastAsia="宋体" w:cs="宋体"/>
                <w:color w:val="auto"/>
                <w:sz w:val="21"/>
                <w:szCs w:val="21"/>
                <w:highlight w:val="none"/>
              </w:rPr>
            </w:pPr>
          </w:p>
        </w:tc>
        <w:tc>
          <w:tcPr>
            <w:tcW w:w="401" w:type="pc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E28E595">
            <w:pPr>
              <w:jc w:val="center"/>
              <w:rPr>
                <w:rFonts w:hint="eastAsia" w:ascii="宋体" w:hAnsi="宋体" w:eastAsia="宋体" w:cs="宋体"/>
                <w:b/>
                <w:bCs/>
                <w:color w:val="auto"/>
                <w:sz w:val="21"/>
                <w:szCs w:val="21"/>
                <w:highlight w:val="none"/>
              </w:rPr>
            </w:pPr>
          </w:p>
        </w:tc>
        <w:tc>
          <w:tcPr>
            <w:tcW w:w="401" w:type="pct"/>
            <w:tcBorders>
              <w:top w:val="single" w:color="auto" w:sz="4" w:space="0"/>
              <w:left w:val="nil"/>
              <w:bottom w:val="single" w:color="auto" w:sz="4" w:space="0"/>
              <w:right w:val="single" w:color="auto" w:sz="4" w:space="0"/>
            </w:tcBorders>
            <w:noWrap w:val="0"/>
            <w:vAlign w:val="center"/>
          </w:tcPr>
          <w:p w14:paraId="3979829D">
            <w:pPr>
              <w:jc w:val="center"/>
              <w:rPr>
                <w:rFonts w:hint="eastAsia" w:ascii="宋体" w:hAnsi="宋体" w:eastAsia="宋体" w:cs="宋体"/>
                <w:b/>
                <w:bCs/>
                <w:color w:val="auto"/>
                <w:sz w:val="21"/>
                <w:szCs w:val="21"/>
                <w:highlight w:val="none"/>
              </w:rPr>
            </w:pPr>
          </w:p>
        </w:tc>
        <w:tc>
          <w:tcPr>
            <w:tcW w:w="408" w:type="pct"/>
            <w:tcBorders>
              <w:top w:val="single" w:color="auto" w:sz="4" w:space="0"/>
              <w:left w:val="nil"/>
              <w:bottom w:val="single" w:color="auto" w:sz="4" w:space="0"/>
              <w:right w:val="single" w:color="auto" w:sz="4" w:space="0"/>
            </w:tcBorders>
            <w:noWrap w:val="0"/>
            <w:vAlign w:val="center"/>
          </w:tcPr>
          <w:p w14:paraId="071D635E">
            <w:pPr>
              <w:jc w:val="center"/>
              <w:rPr>
                <w:rFonts w:hint="eastAsia" w:ascii="宋体" w:hAnsi="宋体" w:eastAsia="宋体" w:cs="宋体"/>
                <w:b/>
                <w:bCs/>
                <w:color w:val="auto"/>
                <w:sz w:val="21"/>
                <w:szCs w:val="21"/>
                <w:highlight w:val="none"/>
              </w:rPr>
            </w:pPr>
          </w:p>
        </w:tc>
      </w:tr>
    </w:tbl>
    <w:p w14:paraId="1FB128F6">
      <w:pPr>
        <w:spacing w:line="360" w:lineRule="auto"/>
        <w:rPr>
          <w:rFonts w:hint="eastAsia" w:ascii="宋体" w:hAnsi="宋体"/>
          <w:color w:val="auto"/>
          <w:highlight w:val="none"/>
        </w:rPr>
      </w:pPr>
    </w:p>
    <w:p w14:paraId="129EE1B8">
      <w:pPr>
        <w:spacing w:line="360" w:lineRule="auto"/>
        <w:rPr>
          <w:rFonts w:hint="eastAsia" w:ascii="宋体" w:hAnsi="宋体"/>
          <w:b/>
          <w:bCs/>
          <w:color w:val="auto"/>
          <w:highlight w:val="none"/>
        </w:rPr>
      </w:pPr>
      <w:r>
        <w:rPr>
          <w:rFonts w:hint="eastAsia" w:ascii="宋体" w:hAnsi="宋体"/>
          <w:b/>
          <w:bCs/>
          <w:color w:val="auto"/>
          <w:highlight w:val="none"/>
        </w:rPr>
        <w:t>备注：</w:t>
      </w:r>
      <w:r>
        <w:rPr>
          <w:rFonts w:ascii="宋体" w:hAnsi="宋体"/>
          <w:b/>
          <w:bCs/>
          <w:color w:val="auto"/>
          <w:highlight w:val="none"/>
        </w:rPr>
        <w:t>1</w:t>
      </w:r>
      <w:r>
        <w:rPr>
          <w:rFonts w:hint="eastAsia" w:ascii="宋体" w:hAnsi="宋体"/>
          <w:b/>
          <w:bCs/>
          <w:color w:val="auto"/>
          <w:highlight w:val="none"/>
        </w:rPr>
        <w:t>、每一项目符合的打“○”，不符合的打“×”；出现一个“×”的结论为不通过。</w:t>
      </w:r>
    </w:p>
    <w:p w14:paraId="192D0D91">
      <w:pPr>
        <w:pStyle w:val="26"/>
        <w:rPr>
          <w:rFonts w:hint="eastAsia" w:ascii="宋体" w:hAnsi="宋体" w:eastAsia="宋体" w:cs="宋体"/>
          <w:b/>
          <w:bCs/>
          <w:color w:val="auto"/>
          <w:highlight w:val="none"/>
        </w:rPr>
      </w:pPr>
      <w:r>
        <w:rPr>
          <w:rFonts w:ascii="宋体" w:hAnsi="宋体"/>
          <w:b/>
          <w:bCs/>
          <w:color w:val="auto"/>
          <w:highlight w:val="none"/>
        </w:rPr>
        <w:t>2</w:t>
      </w:r>
      <w:r>
        <w:rPr>
          <w:rFonts w:hint="eastAsia" w:ascii="宋体" w:hAnsi="宋体"/>
          <w:b/>
          <w:bCs/>
          <w:color w:val="auto"/>
          <w:highlight w:val="none"/>
        </w:rPr>
        <w:t>、表中全部条件满足的结论为通过</w:t>
      </w:r>
      <w:r>
        <w:rPr>
          <w:rFonts w:ascii="宋体" w:hAnsi="宋体"/>
          <w:b/>
          <w:bCs/>
          <w:color w:val="auto"/>
          <w:highlight w:val="none"/>
        </w:rPr>
        <w:t xml:space="preserve">， </w:t>
      </w:r>
      <w:r>
        <w:rPr>
          <w:rFonts w:hint="eastAsia" w:ascii="宋体" w:hAnsi="宋体"/>
          <w:b/>
          <w:bCs/>
          <w:color w:val="auto"/>
          <w:highlight w:val="none"/>
        </w:rPr>
        <w:t>同意进入下一阶段评议。</w:t>
      </w:r>
    </w:p>
    <w:p w14:paraId="3EA1C41C">
      <w:pPr>
        <w:rPr>
          <w:rFonts w:eastAsia="宋体"/>
        </w:rPr>
      </w:pPr>
    </w:p>
    <w:p w14:paraId="43EA38CF"/>
    <w:p w14:paraId="1E1D62D1">
      <w:pPr>
        <w:rPr>
          <w:rFonts w:eastAsia="宋体"/>
        </w:rPr>
      </w:pPr>
    </w:p>
    <w:p w14:paraId="52B9898D">
      <w:pPr>
        <w:rPr>
          <w:rFonts w:eastAsia="宋体"/>
        </w:rPr>
      </w:pPr>
    </w:p>
    <w:p w14:paraId="0A40CB96">
      <w:pPr>
        <w:rPr>
          <w:rFonts w:eastAsia="宋体"/>
        </w:rPr>
      </w:pPr>
    </w:p>
    <w:p w14:paraId="04CF1B39">
      <w:pPr>
        <w:rPr>
          <w:rFonts w:eastAsia="宋体"/>
        </w:rPr>
      </w:pPr>
    </w:p>
    <w:p w14:paraId="40967877">
      <w:pPr>
        <w:rPr>
          <w:rFonts w:eastAsia="宋体"/>
        </w:rPr>
      </w:pPr>
    </w:p>
    <w:p w14:paraId="154B5671">
      <w:pPr>
        <w:rPr>
          <w:rFonts w:eastAsia="宋体"/>
        </w:rPr>
      </w:pPr>
    </w:p>
    <w:p w14:paraId="3A5B7FA5">
      <w:pPr>
        <w:rPr>
          <w:rFonts w:eastAsia="宋体"/>
        </w:rPr>
      </w:pPr>
    </w:p>
    <w:p w14:paraId="14C27ACA">
      <w:pPr>
        <w:rPr>
          <w:rFonts w:eastAsia="宋体"/>
        </w:rPr>
      </w:pPr>
    </w:p>
    <w:p w14:paraId="5F274558">
      <w:pPr>
        <w:rPr>
          <w:rFonts w:eastAsia="宋体"/>
        </w:rPr>
      </w:pPr>
    </w:p>
    <w:p w14:paraId="075B68BB"/>
    <w:sectPr>
      <w:pgSz w:w="11907" w:h="16840"/>
      <w:pgMar w:top="1418" w:right="1304"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7F" w:usb3="00000000" w:csb0="203F01FF" w:csb1="DFFF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03FAD">
    <w:pPr>
      <w:pStyle w:val="31"/>
      <w:jc w:val="center"/>
    </w:pPr>
  </w:p>
  <w:p w14:paraId="01D5FBA6">
    <w:pPr>
      <w:pStyle w:val="31"/>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D29F7">
    <w:pPr>
      <w:pStyle w:val="31"/>
      <w:jc w:val="center"/>
    </w:pPr>
  </w:p>
  <w:p w14:paraId="2E979A79">
    <w:pPr>
      <w:pStyle w:val="31"/>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207CF">
    <w:pPr>
      <w:pStyle w:val="31"/>
      <w:jc w:val="center"/>
    </w:pPr>
  </w:p>
  <w:p w14:paraId="0BC3863E">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932D">
    <w:pPr>
      <w:pStyle w:val="3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28700" cy="1828800"/>
              <wp:effectExtent l="0" t="0" r="0" b="0"/>
              <wp:wrapNone/>
              <wp:docPr id="7" name="文本框 1046"/>
              <wp:cNvGraphicFramePr/>
              <a:graphic xmlns:a="http://schemas.openxmlformats.org/drawingml/2006/main">
                <a:graphicData uri="http://schemas.microsoft.com/office/word/2010/wordprocessingShape">
                  <wps:wsp>
                    <wps:cNvSpPr txBox="1"/>
                    <wps:spPr>
                      <a:xfrm>
                        <a:off x="0" y="0"/>
                        <a:ext cx="1028700" cy="1828800"/>
                      </a:xfrm>
                      <a:prstGeom prst="rect">
                        <a:avLst/>
                      </a:prstGeom>
                      <a:noFill/>
                      <a:ln w="15875">
                        <a:noFill/>
                      </a:ln>
                    </wps:spPr>
                    <wps:txbx>
                      <w:txbxContent>
                        <w:p w14:paraId="413B2F5D">
                          <w:pPr>
                            <w:pStyle w:val="31"/>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wrap="square" lIns="0" tIns="0" rIns="0" bIns="0" upright="0">
                      <a:spAutoFit/>
                    </wps:bodyPr>
                  </wps:wsp>
                </a:graphicData>
              </a:graphic>
            </wp:anchor>
          </w:drawing>
        </mc:Choice>
        <mc:Fallback>
          <w:pict>
            <v:shape id="文本框 1046" o:spid="_x0000_s1026" o:spt="202" type="#_x0000_t202" style="position:absolute;left:0pt;margin-top:0pt;height:144pt;width:81pt;mso-position-horizontal:center;mso-position-horizontal-relative:margin;z-index:251661312;mso-width-relative:page;mso-height-relative:page;" filled="f" stroked="f" coordsize="21600,21600" o:gfxdata="UEsDBAoAAAAAAIdO4kAAAAAAAAAAAAAAAAAEAAAAZHJzL1BLAwQUAAAACACHTuJAjS8WIdQAAAAF&#10;AQAADwAAAGRycy9kb3ducmV2LnhtbE2PwWrDMBBE74X+g9hCL6WR4kMwruVAU3JrDklKobeNtbFN&#10;pJWxZMf9+yq9tJeBYZaZt+V6dlZMNITOs4blQoEgrr3puNHwcdw+5yBCRDZoPZOGbwqwru7vSiyM&#10;v/KepkNsRCrhUKCGNsa+kDLULTkMC98Tp+zsB4cx2aGRZsBrKndWZkqtpMOO00KLPW1aqi+H0Wmw&#10;u/2nfHt6/cL+aMf3mafddjNp/fiwVC8gIs3x7xhu+AkdqsR08iObIKyG9Ej81Vu2ypI9acjyXIGs&#10;SvmfvvoBUEsDBBQAAAAIAIdO4kBHEgfw2gEAAKgDAAAOAAAAZHJzL2Uyb0RvYy54bWytU82O0zAQ&#10;viPxDpbvNGnFbqOo6WpRtQgJAdLCA7iO01jyHx6nSV8A3oATF+48V59jx07SRctlD3txZjzjb+b7&#10;ZrK5GbQiR+FBWlPR5SKnRBhua2kOFf329e5NQQkEZmqmrBEVPQmgN9vXrza9K8XKtlbVwhMEMVD2&#10;rqJtCK7MMuCt0AwW1gmDwcZ6zQK6/pDVnvWIrlW2yvPrrLe+dt5yAYC3uzFIJ0T/HEDbNJKLneWd&#10;FiaMqF4oFpAStNIB3aZum0bw8LlpQASiKopMQzqxCNr7eGbbDSsPnrlW8qkF9pwWnnDSTBoseoHa&#10;scBI5+V/UFpyb8E2YcGtzkYiSRFkscyfaHPfMicSF5Qa3EV0eDlY/un4xRNZV3RNiWEaB37+9fP8&#10;++/5zw+yzN9eR4V6ByUm3jtMDcM7O+DezPeAl5H40Hgdv0iJYBz1PV30FUMgPD7KV8U6xxDH2LJY&#10;FQU6iJ89PncewnthNYlGRT0OMOnKjh8hjKlzSqxm7J1UKg1RGdIj6lWxvkovLiFEVwaLRBZjt9EK&#10;w36YqO1tfUJmPW5BReF7x7ygRH0wKHNcmdnws7Gfjc55eWjTTsVmwN12ARtKfcYaI/BUGgeYmE7L&#10;FjfkXz9lPf5g2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LxYh1AAAAAUBAAAPAAAAAAAAAAEA&#10;IAAAACIAAABkcnMvZG93bnJldi54bWxQSwECFAAUAAAACACHTuJARxIH8NoBAACoAwAADgAAAAAA&#10;AAABACAAAAAjAQAAZHJzL2Uyb0RvYy54bWxQSwUGAAAAAAYABgBZAQAAbwUAAAAA&#10;">
              <v:fill on="f" focussize="0,0"/>
              <v:stroke on="f" weight="1.25pt"/>
              <v:imagedata o:title=""/>
              <o:lock v:ext="edit" aspectratio="f"/>
              <v:textbox inset="0mm,0mm,0mm,0mm" style="mso-fit-shape-to-text:t;">
                <w:txbxContent>
                  <w:p w14:paraId="413B2F5D">
                    <w:pPr>
                      <w:pStyle w:val="31"/>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p w14:paraId="56825933">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19FCC">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488B25B">
                          <w:pPr>
                            <w:pStyle w:val="31"/>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UnUDSAQAApgMAAA4AAABkcnMvZTJvRG9jLnhtbK1TTa7TMBDe&#10;I3EHy3uatKIQRU2fQNVDSAiQHhzAdezGkv/kcZv0AnADVmzYc66eg7GTtOixeQs2zoxn/M1830w2&#10;d4PR5CQCKGcbulyUlAjLXavsoaFfv9y/qCiByGzLtLOioWcB9G77/Nmm97VYuc7pVgSCIBbq3je0&#10;i9HXRQG8E4bBwnlhMShdMCyiGw5FG1iP6EYXq7J8VfQutD44LgDwdjcG6YQYngLopFRc7Bw/GmHj&#10;iBqEZhEpQac80G3uVkrB4ycpQUSiG4pMYz6xCNr7dBbbDasPgflO8akF9pQWHnEyTFkseoXascjI&#10;Mah/oIziwYGTccGdKUYiWRFksSwfafPQMS8yF5Qa/FV0+H+w/OPpcyCqbeiaEssMDvzy4/vl5+/L&#10;r29kWb7MCvUeakx88Jgah7duwL1JyqV7wMtEfJDBpC9SIhhHfc9XfcUQCU+PqlVVlRjiGJsdxClu&#10;z32A+E44Q5LR0IADzLqy0weIY+qckqpZd6+0zkPUlvSIuq5er/OLawjRtcUit26TFYf9MFHYu/aM&#10;zHrcgoZaXHpK9HuLIqeFmY0wG/vZOPqgDl3eqNQK+DfHiO3kLlOFEXYqjOPLPKdVS/vxt5+zbr/X&#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VSdQNIBAACmAwAADgAAAAAAAAABACAAAAAi&#10;AQAAZHJzL2Uyb0RvYy54bWxQSwUGAAAAAAYABgBZAQAAZgUAAAAA&#10;">
              <v:fill on="f" focussize="0,0"/>
              <v:stroke on="f" weight="1.25pt"/>
              <v:imagedata o:title=""/>
              <o:lock v:ext="edit" aspectratio="f"/>
              <v:textbox inset="0mm,0mm,0mm,0mm" style="mso-fit-shape-to-text:t;">
                <w:txbxContent>
                  <w:p w14:paraId="0488B25B">
                    <w:pPr>
                      <w:pStyle w:val="31"/>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v:textbox>
            </v:shape>
          </w:pict>
        </mc:Fallback>
      </mc:AlternateContent>
    </w:r>
  </w:p>
  <w:p w14:paraId="6ADA2021">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A218B">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E9912C">
                          <w:pPr>
                            <w:pStyle w:val="31"/>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fWKDUAQAApgMAAA4AAABkcnMvZTJvRG9jLnhtbK1TzY7TMBC+&#10;I/EOlu80acUuIWq6AlWLkBAgLTyA69iNJf/J4zbpC8AbcOLCnefqczB2ku5q97IHLs6MZ/zNfN9M&#10;1jeD0eQoAihnG7pclJQIy12r7L6h37/dvqoogchsy7SzoqEnAfRm8/LFuve1WLnO6VYEgiAW6t43&#10;tIvR10UBvBOGwcJ5YTEoXTAsohv2RRtYj+hGF6uyvC56F1ofHBcAeLsdg3RCDM8BdFIqLraOH4yw&#10;cUQNQrOIlKBTHugmdyul4PGLlCAi0Q1FpjGfWATtXTqLzZrV+8B8p/jUAntOC484GaYsFr1AbVlk&#10;5BDUEyijeHDgZFxwZ4qRSFYEWSzLR9rcdcyLzAWlBn8RHf4fLP98/BqIaht6TYllBgd+/vXz/Pvv&#10;+c8Psixfv00K9R5qTLzzmBqH927AvZnvAS8T8UEGk75IiWAc9T1d9BVDJDw9qlZVVWKIY2x2EL+4&#10;f+4DxA/CGZKMhgYcYNaVHT9BHFPnlFTNululdR6itqRH1KvqzVV+cQkhurZYJLEYu01WHHbDRG3n&#10;2hMy63ELGmpx6SnRHy2KnBZmNsJs7Gbj4IPad3mjUivg3x0itpO7TBVG2Kkwji/znFYt7cdDP2fd&#10;/1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MH1ig1AEAAKYDAAAOAAAAAAAAAAEAIAAA&#10;ACIBAABkcnMvZTJvRG9jLnhtbFBLBQYAAAAABgAGAFkBAABoBQAAAAA=&#10;">
              <v:fill on="f" focussize="0,0"/>
              <v:stroke on="f" weight="1.25pt"/>
              <v:imagedata o:title=""/>
              <o:lock v:ext="edit" aspectratio="f"/>
              <v:textbox inset="0mm,0mm,0mm,0mm" style="mso-fit-shape-to-text:t;">
                <w:txbxContent>
                  <w:p w14:paraId="41E9912C">
                    <w:pPr>
                      <w:pStyle w:val="31"/>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v:textbox>
            </v:shape>
          </w:pict>
        </mc:Fallback>
      </mc:AlternateContent>
    </w:r>
  </w:p>
  <w:p w14:paraId="2F1C4813">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AC43C">
    <w:pPr>
      <w:pStyle w:val="32"/>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DCCC">
    <w:pPr>
      <w:pStyle w:val="237"/>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4864">
    <w:pPr>
      <w:pStyle w:val="32"/>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F4E49">
    <w:pPr>
      <w:pStyle w:val="32"/>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eastAsia="宋体"/>
        <w:lang w:val="en-US" w:eastAsia="zh-CN"/>
      </w:rPr>
    </w:pPr>
    <w:r>
      <w:rPr>
        <w:rFonts w:hint="eastAsia"/>
        <w:u w:val="single"/>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8C0EC"/>
    <w:multiLevelType w:val="singleLevel"/>
    <w:tmpl w:val="BCC8C0EC"/>
    <w:lvl w:ilvl="0" w:tentative="0">
      <w:start w:val="1"/>
      <w:numFmt w:val="decimal"/>
      <w:suff w:val="space"/>
      <w:lvlText w:val="%1."/>
      <w:lvlJc w:val="left"/>
    </w:lvl>
  </w:abstractNum>
  <w:abstractNum w:abstractNumId="1">
    <w:nsid w:val="E95AFCF3"/>
    <w:multiLevelType w:val="singleLevel"/>
    <w:tmpl w:val="E95AFCF3"/>
    <w:lvl w:ilvl="0" w:tentative="0">
      <w:start w:val="3"/>
      <w:numFmt w:val="chineseCounting"/>
      <w:suff w:val="space"/>
      <w:lvlText w:val="第%1章"/>
      <w:lvlJc w:val="left"/>
      <w:rPr>
        <w:rFonts w:hint="eastAsia"/>
      </w:rPr>
    </w:lvl>
  </w:abstractNum>
  <w:abstractNum w:abstractNumId="2">
    <w:nsid w:val="00000001"/>
    <w:multiLevelType w:val="multilevel"/>
    <w:tmpl w:val="00000001"/>
    <w:lvl w:ilvl="0" w:tentative="0">
      <w:start w:val="1"/>
      <w:numFmt w:val="lowerLetter"/>
      <w:lvlText w:val="(%1)"/>
      <w:lvlJc w:val="left"/>
      <w:pPr>
        <w:ind w:left="2548" w:hanging="420"/>
      </w:pPr>
      <w:rPr>
        <w:rFonts w:hint="default"/>
      </w:r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3">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000000A"/>
    <w:multiLevelType w:val="multilevel"/>
    <w:tmpl w:val="0000000A"/>
    <w:lvl w:ilvl="0" w:tentative="0">
      <w:start w:val="1"/>
      <w:numFmt w:val="japaneseCounting"/>
      <w:pStyle w:val="3"/>
      <w:lvlText w:val="%1、"/>
      <w:lvlJc w:val="left"/>
      <w:pPr>
        <w:tabs>
          <w:tab w:val="left" w:pos="842"/>
        </w:tabs>
        <w:ind w:left="1412" w:hanging="420"/>
      </w:pPr>
      <w:rPr>
        <w:rFonts w:hint="default"/>
      </w:rPr>
    </w:lvl>
    <w:lvl w:ilvl="1" w:tentative="0">
      <w:start w:val="1"/>
      <w:numFmt w:val="decimal"/>
      <w:lvlText w:val="（%2）"/>
      <w:lvlJc w:val="left"/>
      <w:pPr>
        <w:tabs>
          <w:tab w:val="left" w:pos="1787"/>
        </w:tabs>
        <w:ind w:left="1787" w:hanging="945"/>
      </w:pPr>
      <w:rPr>
        <w:rFonts w:hint="eastAsia" w:cs="Times New Roman"/>
      </w:rPr>
    </w:lvl>
    <w:lvl w:ilvl="2" w:tentative="0">
      <w:start w:val="1"/>
      <w:numFmt w:val="decimal"/>
      <w:lvlText w:val="%3、"/>
      <w:lvlJc w:val="left"/>
      <w:pPr>
        <w:tabs>
          <w:tab w:val="left" w:pos="1622"/>
        </w:tabs>
        <w:ind w:left="1622" w:hanging="360"/>
      </w:pPr>
      <w:rPr>
        <w:rFonts w:hint="eastAsia"/>
      </w:r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5">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1710D94"/>
    <w:multiLevelType w:val="singleLevel"/>
    <w:tmpl w:val="01710D94"/>
    <w:lvl w:ilvl="0" w:tentative="0">
      <w:start w:val="1"/>
      <w:numFmt w:val="bullet"/>
      <w:pStyle w:val="203"/>
      <w:lvlText w:val=""/>
      <w:lvlJc w:val="left"/>
      <w:pPr>
        <w:tabs>
          <w:tab w:val="left" w:pos="425"/>
        </w:tabs>
        <w:ind w:left="425" w:hanging="425"/>
      </w:pPr>
      <w:rPr>
        <w:rFonts w:hint="default" w:ascii="Wingdings" w:hAnsi="Wingdings"/>
      </w:rPr>
    </w:lvl>
  </w:abstractNum>
  <w:abstractNum w:abstractNumId="8">
    <w:nsid w:val="09E36DB0"/>
    <w:multiLevelType w:val="multilevel"/>
    <w:tmpl w:val="09E36DB0"/>
    <w:lvl w:ilvl="0" w:tentative="0">
      <w:start w:val="1"/>
      <w:numFmt w:val="decimal"/>
      <w:lvlText w:val="%1."/>
      <w:lvlJc w:val="left"/>
      <w:pPr>
        <w:tabs>
          <w:tab w:val="left" w:pos="420"/>
        </w:tabs>
        <w:ind w:left="420" w:hanging="420"/>
      </w:pPr>
      <w:rPr>
        <w:rFonts w:hint="eastAsia"/>
        <w:b/>
      </w:rPr>
    </w:lvl>
    <w:lvl w:ilvl="1" w:tentative="0">
      <w:start w:val="1"/>
      <w:numFmt w:val="lowerLetter"/>
      <w:lvlText w:val="%2)"/>
      <w:lvlJc w:val="left"/>
      <w:pPr>
        <w:tabs>
          <w:tab w:val="left" w:pos="0"/>
        </w:tabs>
        <w:ind w:left="0" w:hanging="420"/>
      </w:pPr>
    </w:lvl>
    <w:lvl w:ilvl="2" w:tentative="0">
      <w:start w:val="1"/>
      <w:numFmt w:val="lowerRoman"/>
      <w:lvlText w:val="%3."/>
      <w:lvlJc w:val="right"/>
      <w:pPr>
        <w:tabs>
          <w:tab w:val="left" w:pos="420"/>
        </w:tabs>
        <w:ind w:left="420" w:hanging="420"/>
      </w:pPr>
    </w:lvl>
    <w:lvl w:ilvl="3" w:tentative="0">
      <w:start w:val="1"/>
      <w:numFmt w:val="decimal"/>
      <w:lvlText w:val="%4."/>
      <w:lvlJc w:val="left"/>
      <w:pPr>
        <w:tabs>
          <w:tab w:val="left" w:pos="840"/>
        </w:tabs>
        <w:ind w:left="840" w:hanging="420"/>
      </w:pPr>
    </w:lvl>
    <w:lvl w:ilvl="4" w:tentative="0">
      <w:start w:val="1"/>
      <w:numFmt w:val="lowerLetter"/>
      <w:lvlText w:val="%5)"/>
      <w:lvlJc w:val="left"/>
      <w:pPr>
        <w:tabs>
          <w:tab w:val="left" w:pos="1260"/>
        </w:tabs>
        <w:ind w:left="1260" w:hanging="420"/>
      </w:pPr>
    </w:lvl>
    <w:lvl w:ilvl="5" w:tentative="0">
      <w:start w:val="1"/>
      <w:numFmt w:val="lowerRoman"/>
      <w:lvlText w:val="%6."/>
      <w:lvlJc w:val="right"/>
      <w:pPr>
        <w:tabs>
          <w:tab w:val="left" w:pos="1680"/>
        </w:tabs>
        <w:ind w:left="1680" w:hanging="420"/>
      </w:p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abstractNum w:abstractNumId="9">
    <w:nsid w:val="0FD20AFE"/>
    <w:multiLevelType w:val="singleLevel"/>
    <w:tmpl w:val="0FD20AFE"/>
    <w:lvl w:ilvl="0" w:tentative="0">
      <w:start w:val="1"/>
      <w:numFmt w:val="decimal"/>
      <w:suff w:val="space"/>
      <w:lvlText w:val="（%1）"/>
      <w:lvlJc w:val="left"/>
    </w:lvl>
  </w:abstractNum>
  <w:abstractNum w:abstractNumId="10">
    <w:nsid w:val="24B01E19"/>
    <w:multiLevelType w:val="multilevel"/>
    <w:tmpl w:val="24B01E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77EFBE7"/>
    <w:multiLevelType w:val="singleLevel"/>
    <w:tmpl w:val="277EFBE7"/>
    <w:lvl w:ilvl="0" w:tentative="0">
      <w:start w:val="1"/>
      <w:numFmt w:val="decimal"/>
      <w:suff w:val="nothing"/>
      <w:lvlText w:val="%1）"/>
      <w:lvlJc w:val="left"/>
    </w:lvl>
  </w:abstractNum>
  <w:abstractNum w:abstractNumId="12">
    <w:nsid w:val="4AE613DF"/>
    <w:multiLevelType w:val="multilevel"/>
    <w:tmpl w:val="4AE613D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77B0A88"/>
    <w:multiLevelType w:val="singleLevel"/>
    <w:tmpl w:val="577B0A88"/>
    <w:lvl w:ilvl="0" w:tentative="0">
      <w:start w:val="1"/>
      <w:numFmt w:val="decimal"/>
      <w:lvlText w:val="%1)"/>
      <w:lvlJc w:val="left"/>
      <w:pPr>
        <w:tabs>
          <w:tab w:val="left" w:pos="425"/>
        </w:tabs>
        <w:ind w:left="425" w:hanging="425"/>
      </w:pPr>
      <w:rPr>
        <w:rFonts w:hint="default"/>
      </w:rPr>
    </w:lvl>
  </w:abstractNum>
  <w:abstractNum w:abstractNumId="14">
    <w:nsid w:val="5C5B4C1D"/>
    <w:multiLevelType w:val="multilevel"/>
    <w:tmpl w:val="5C5B4C1D"/>
    <w:lvl w:ilvl="0" w:tentative="0">
      <w:start w:val="1"/>
      <w:numFmt w:val="decimal"/>
      <w:lvlText w:val="（%1）"/>
      <w:lvlJc w:val="left"/>
      <w:pPr>
        <w:tabs>
          <w:tab w:val="left" w:pos="1365"/>
        </w:tabs>
        <w:ind w:left="1365" w:hanging="720"/>
      </w:pPr>
      <w:rPr>
        <w:rFonts w:hint="eastAsia"/>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5">
    <w:nsid w:val="6B939352"/>
    <w:multiLevelType w:val="singleLevel"/>
    <w:tmpl w:val="6B939352"/>
    <w:lvl w:ilvl="0" w:tentative="0">
      <w:start w:val="1"/>
      <w:numFmt w:val="decimal"/>
      <w:lvlText w:val="%1)"/>
      <w:lvlJc w:val="left"/>
      <w:pPr>
        <w:ind w:left="425" w:hanging="425"/>
      </w:pPr>
      <w:rPr>
        <w:rFonts w:hint="default"/>
      </w:rPr>
    </w:lvl>
  </w:abstractNum>
  <w:abstractNum w:abstractNumId="16">
    <w:nsid w:val="77EB2C94"/>
    <w:multiLevelType w:val="singleLevel"/>
    <w:tmpl w:val="77EB2C94"/>
    <w:lvl w:ilvl="0" w:tentative="0">
      <w:start w:val="1"/>
      <w:numFmt w:val="decimal"/>
      <w:suff w:val="space"/>
      <w:lvlText w:val="(%1)"/>
      <w:lvlJc w:val="left"/>
    </w:lvl>
  </w:abstractNum>
  <w:num w:numId="1">
    <w:abstractNumId w:val="4"/>
  </w:num>
  <w:num w:numId="2">
    <w:abstractNumId w:val="7"/>
  </w:num>
  <w:num w:numId="3">
    <w:abstractNumId w:val="13"/>
  </w:num>
  <w:num w:numId="4">
    <w:abstractNumId w:val="14"/>
  </w:num>
  <w:num w:numId="5">
    <w:abstractNumId w:val="2"/>
  </w:num>
  <w:num w:numId="6">
    <w:abstractNumId w:val="1"/>
  </w:num>
  <w:num w:numId="7">
    <w:abstractNumId w:val="16"/>
  </w:num>
  <w:num w:numId="8">
    <w:abstractNumId w:val="11"/>
  </w:num>
  <w:num w:numId="9">
    <w:abstractNumId w:val="15"/>
  </w:num>
  <w:num w:numId="10">
    <w:abstractNumId w:val="0"/>
  </w:num>
  <w:num w:numId="11">
    <w:abstractNumId w:val="10"/>
  </w:num>
  <w:num w:numId="12">
    <w:abstractNumId w:val="8"/>
  </w:num>
  <w:num w:numId="13">
    <w:abstractNumId w:val="3"/>
  </w:num>
  <w:num w:numId="14">
    <w:abstractNumId w:val="12"/>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ZjMyZmY4MDZlNmMyZjI0ZWFiN2YwZjNlYmQ4YTgifQ=="/>
    <w:docVar w:name="KGWebUrl" w:val="http://oa.gdguangye.com:80/defaultroot/public/iWebOfficeSign/attachmentServer.jsp"/>
  </w:docVars>
  <w:rsids>
    <w:rsidRoot w:val="00172A27"/>
    <w:rsid w:val="00003913"/>
    <w:rsid w:val="000075B7"/>
    <w:rsid w:val="000107C4"/>
    <w:rsid w:val="000116B6"/>
    <w:rsid w:val="00014346"/>
    <w:rsid w:val="0001528B"/>
    <w:rsid w:val="00016D52"/>
    <w:rsid w:val="00020AD3"/>
    <w:rsid w:val="00021016"/>
    <w:rsid w:val="00025A6A"/>
    <w:rsid w:val="00025EFC"/>
    <w:rsid w:val="0003218D"/>
    <w:rsid w:val="000349D0"/>
    <w:rsid w:val="000372B1"/>
    <w:rsid w:val="0003785F"/>
    <w:rsid w:val="00040E61"/>
    <w:rsid w:val="00050466"/>
    <w:rsid w:val="000530BD"/>
    <w:rsid w:val="000546EB"/>
    <w:rsid w:val="000550D7"/>
    <w:rsid w:val="0005790C"/>
    <w:rsid w:val="00057AEA"/>
    <w:rsid w:val="00060F67"/>
    <w:rsid w:val="00061EF7"/>
    <w:rsid w:val="00062121"/>
    <w:rsid w:val="0006430F"/>
    <w:rsid w:val="000643D2"/>
    <w:rsid w:val="00067001"/>
    <w:rsid w:val="00067141"/>
    <w:rsid w:val="0006748E"/>
    <w:rsid w:val="000712DF"/>
    <w:rsid w:val="0007148C"/>
    <w:rsid w:val="00073FBA"/>
    <w:rsid w:val="00076E59"/>
    <w:rsid w:val="00081103"/>
    <w:rsid w:val="000814BB"/>
    <w:rsid w:val="000848A2"/>
    <w:rsid w:val="0008720C"/>
    <w:rsid w:val="00094802"/>
    <w:rsid w:val="000A090C"/>
    <w:rsid w:val="000A1681"/>
    <w:rsid w:val="000A28C3"/>
    <w:rsid w:val="000A3ECA"/>
    <w:rsid w:val="000A549A"/>
    <w:rsid w:val="000A6D66"/>
    <w:rsid w:val="000B0C53"/>
    <w:rsid w:val="000B1088"/>
    <w:rsid w:val="000B50DA"/>
    <w:rsid w:val="000B569F"/>
    <w:rsid w:val="000D0626"/>
    <w:rsid w:val="000D0F6B"/>
    <w:rsid w:val="000D1ABC"/>
    <w:rsid w:val="000D5145"/>
    <w:rsid w:val="000D7F22"/>
    <w:rsid w:val="000E09FF"/>
    <w:rsid w:val="000E1D9B"/>
    <w:rsid w:val="000E3F46"/>
    <w:rsid w:val="000F0856"/>
    <w:rsid w:val="000F5D5C"/>
    <w:rsid w:val="000F7BDC"/>
    <w:rsid w:val="00100205"/>
    <w:rsid w:val="00100D34"/>
    <w:rsid w:val="00100F66"/>
    <w:rsid w:val="00101CD3"/>
    <w:rsid w:val="0011281A"/>
    <w:rsid w:val="001138E4"/>
    <w:rsid w:val="00120B43"/>
    <w:rsid w:val="001219F8"/>
    <w:rsid w:val="001220CD"/>
    <w:rsid w:val="0012226C"/>
    <w:rsid w:val="00124339"/>
    <w:rsid w:val="00125198"/>
    <w:rsid w:val="00127EDA"/>
    <w:rsid w:val="00130A44"/>
    <w:rsid w:val="0013765B"/>
    <w:rsid w:val="00142167"/>
    <w:rsid w:val="0014452B"/>
    <w:rsid w:val="001447E2"/>
    <w:rsid w:val="00150FA0"/>
    <w:rsid w:val="00152591"/>
    <w:rsid w:val="00152972"/>
    <w:rsid w:val="00153CE9"/>
    <w:rsid w:val="001546DB"/>
    <w:rsid w:val="00154FD5"/>
    <w:rsid w:val="0015763C"/>
    <w:rsid w:val="001577B6"/>
    <w:rsid w:val="00160939"/>
    <w:rsid w:val="00164EC8"/>
    <w:rsid w:val="00165CBB"/>
    <w:rsid w:val="00172061"/>
    <w:rsid w:val="00174013"/>
    <w:rsid w:val="0017415F"/>
    <w:rsid w:val="00176D3E"/>
    <w:rsid w:val="00177951"/>
    <w:rsid w:val="00183430"/>
    <w:rsid w:val="00183FFE"/>
    <w:rsid w:val="00185517"/>
    <w:rsid w:val="001A018A"/>
    <w:rsid w:val="001A273E"/>
    <w:rsid w:val="001A3637"/>
    <w:rsid w:val="001A4D52"/>
    <w:rsid w:val="001A79A6"/>
    <w:rsid w:val="001B2C33"/>
    <w:rsid w:val="001B2E6A"/>
    <w:rsid w:val="001B30F1"/>
    <w:rsid w:val="001B31EF"/>
    <w:rsid w:val="001B3BA4"/>
    <w:rsid w:val="001B6912"/>
    <w:rsid w:val="001B7E60"/>
    <w:rsid w:val="001C1DEE"/>
    <w:rsid w:val="001C2333"/>
    <w:rsid w:val="001C4D8E"/>
    <w:rsid w:val="001D0200"/>
    <w:rsid w:val="001D0BCC"/>
    <w:rsid w:val="001D0D74"/>
    <w:rsid w:val="001D2F90"/>
    <w:rsid w:val="001D3B25"/>
    <w:rsid w:val="001D4EF4"/>
    <w:rsid w:val="001D7165"/>
    <w:rsid w:val="001E0571"/>
    <w:rsid w:val="001E5A3F"/>
    <w:rsid w:val="001E5D13"/>
    <w:rsid w:val="001E6A43"/>
    <w:rsid w:val="001F0235"/>
    <w:rsid w:val="001F030D"/>
    <w:rsid w:val="001F03C4"/>
    <w:rsid w:val="001F0AD7"/>
    <w:rsid w:val="001F602E"/>
    <w:rsid w:val="001F7237"/>
    <w:rsid w:val="0020153A"/>
    <w:rsid w:val="00207AF8"/>
    <w:rsid w:val="00210216"/>
    <w:rsid w:val="00212471"/>
    <w:rsid w:val="002127C4"/>
    <w:rsid w:val="00212B90"/>
    <w:rsid w:val="00212E1F"/>
    <w:rsid w:val="00214578"/>
    <w:rsid w:val="0021520F"/>
    <w:rsid w:val="002157D6"/>
    <w:rsid w:val="00215807"/>
    <w:rsid w:val="002170ED"/>
    <w:rsid w:val="00220D01"/>
    <w:rsid w:val="00225132"/>
    <w:rsid w:val="0022576F"/>
    <w:rsid w:val="002264DC"/>
    <w:rsid w:val="00241B3F"/>
    <w:rsid w:val="0024321B"/>
    <w:rsid w:val="00245BBB"/>
    <w:rsid w:val="002465C3"/>
    <w:rsid w:val="00247BBA"/>
    <w:rsid w:val="00250E8C"/>
    <w:rsid w:val="00252060"/>
    <w:rsid w:val="00252797"/>
    <w:rsid w:val="00253898"/>
    <w:rsid w:val="00253FC9"/>
    <w:rsid w:val="00254D74"/>
    <w:rsid w:val="0025562A"/>
    <w:rsid w:val="00256AE7"/>
    <w:rsid w:val="00257278"/>
    <w:rsid w:val="00266E70"/>
    <w:rsid w:val="00270C20"/>
    <w:rsid w:val="002710D3"/>
    <w:rsid w:val="0027235A"/>
    <w:rsid w:val="00272A50"/>
    <w:rsid w:val="00276DC1"/>
    <w:rsid w:val="002773EF"/>
    <w:rsid w:val="00277A98"/>
    <w:rsid w:val="00281676"/>
    <w:rsid w:val="00283650"/>
    <w:rsid w:val="00287120"/>
    <w:rsid w:val="00287309"/>
    <w:rsid w:val="00290584"/>
    <w:rsid w:val="002918F7"/>
    <w:rsid w:val="00292AE9"/>
    <w:rsid w:val="00296C9E"/>
    <w:rsid w:val="00297ED6"/>
    <w:rsid w:val="002A0C37"/>
    <w:rsid w:val="002A1547"/>
    <w:rsid w:val="002A1593"/>
    <w:rsid w:val="002A3784"/>
    <w:rsid w:val="002A47DF"/>
    <w:rsid w:val="002A5322"/>
    <w:rsid w:val="002A5926"/>
    <w:rsid w:val="002A6D24"/>
    <w:rsid w:val="002A7602"/>
    <w:rsid w:val="002A7C96"/>
    <w:rsid w:val="002B0260"/>
    <w:rsid w:val="002B1157"/>
    <w:rsid w:val="002B14DF"/>
    <w:rsid w:val="002B1F66"/>
    <w:rsid w:val="002C06EF"/>
    <w:rsid w:val="002C4D30"/>
    <w:rsid w:val="002C4E9B"/>
    <w:rsid w:val="002D0C81"/>
    <w:rsid w:val="002D20B5"/>
    <w:rsid w:val="002D67A8"/>
    <w:rsid w:val="002E231B"/>
    <w:rsid w:val="002E260C"/>
    <w:rsid w:val="002E3CBC"/>
    <w:rsid w:val="002E4EED"/>
    <w:rsid w:val="002E5104"/>
    <w:rsid w:val="002E62D2"/>
    <w:rsid w:val="002F08DC"/>
    <w:rsid w:val="002F1216"/>
    <w:rsid w:val="002F1764"/>
    <w:rsid w:val="002F1A97"/>
    <w:rsid w:val="002F1F0D"/>
    <w:rsid w:val="002F4BE7"/>
    <w:rsid w:val="002F648B"/>
    <w:rsid w:val="00301599"/>
    <w:rsid w:val="00304A03"/>
    <w:rsid w:val="00307C56"/>
    <w:rsid w:val="00312B59"/>
    <w:rsid w:val="003153F0"/>
    <w:rsid w:val="0031548F"/>
    <w:rsid w:val="003165FA"/>
    <w:rsid w:val="00320B15"/>
    <w:rsid w:val="00321F20"/>
    <w:rsid w:val="003227B9"/>
    <w:rsid w:val="00326A9C"/>
    <w:rsid w:val="0033182F"/>
    <w:rsid w:val="003331E1"/>
    <w:rsid w:val="00333EC9"/>
    <w:rsid w:val="00334AB3"/>
    <w:rsid w:val="00336101"/>
    <w:rsid w:val="00340CCD"/>
    <w:rsid w:val="00342769"/>
    <w:rsid w:val="00342A27"/>
    <w:rsid w:val="00342CF8"/>
    <w:rsid w:val="003461DB"/>
    <w:rsid w:val="003464D1"/>
    <w:rsid w:val="00351AFE"/>
    <w:rsid w:val="0035334C"/>
    <w:rsid w:val="00353946"/>
    <w:rsid w:val="00354147"/>
    <w:rsid w:val="0035653E"/>
    <w:rsid w:val="00360C83"/>
    <w:rsid w:val="003611F5"/>
    <w:rsid w:val="0036232F"/>
    <w:rsid w:val="00365CEA"/>
    <w:rsid w:val="0036682C"/>
    <w:rsid w:val="00370688"/>
    <w:rsid w:val="00376060"/>
    <w:rsid w:val="00381282"/>
    <w:rsid w:val="00381A2A"/>
    <w:rsid w:val="00382E9F"/>
    <w:rsid w:val="003872BA"/>
    <w:rsid w:val="003908DA"/>
    <w:rsid w:val="003925F0"/>
    <w:rsid w:val="003935E9"/>
    <w:rsid w:val="00395960"/>
    <w:rsid w:val="0039638A"/>
    <w:rsid w:val="003A05E2"/>
    <w:rsid w:val="003A157B"/>
    <w:rsid w:val="003A1886"/>
    <w:rsid w:val="003A37A9"/>
    <w:rsid w:val="003A4D5E"/>
    <w:rsid w:val="003A7511"/>
    <w:rsid w:val="003B1E2B"/>
    <w:rsid w:val="003B3A9F"/>
    <w:rsid w:val="003B520C"/>
    <w:rsid w:val="003C01DE"/>
    <w:rsid w:val="003C0254"/>
    <w:rsid w:val="003C0C2F"/>
    <w:rsid w:val="003C260F"/>
    <w:rsid w:val="003C2A4A"/>
    <w:rsid w:val="003D0D9C"/>
    <w:rsid w:val="003D4230"/>
    <w:rsid w:val="003E03FD"/>
    <w:rsid w:val="003E05BF"/>
    <w:rsid w:val="003E0D62"/>
    <w:rsid w:val="003E1734"/>
    <w:rsid w:val="003E1B79"/>
    <w:rsid w:val="003E2419"/>
    <w:rsid w:val="003E25F4"/>
    <w:rsid w:val="003E3060"/>
    <w:rsid w:val="003E319A"/>
    <w:rsid w:val="003E3CC6"/>
    <w:rsid w:val="003E46E8"/>
    <w:rsid w:val="003E5AD5"/>
    <w:rsid w:val="00400053"/>
    <w:rsid w:val="00405079"/>
    <w:rsid w:val="00405CD1"/>
    <w:rsid w:val="00410E38"/>
    <w:rsid w:val="0041415D"/>
    <w:rsid w:val="004201EB"/>
    <w:rsid w:val="00422208"/>
    <w:rsid w:val="00423EE3"/>
    <w:rsid w:val="00424506"/>
    <w:rsid w:val="004259A1"/>
    <w:rsid w:val="00425E9F"/>
    <w:rsid w:val="00425F65"/>
    <w:rsid w:val="004277C6"/>
    <w:rsid w:val="00433C67"/>
    <w:rsid w:val="00433F97"/>
    <w:rsid w:val="00434C07"/>
    <w:rsid w:val="00436BCB"/>
    <w:rsid w:val="004376AD"/>
    <w:rsid w:val="00440576"/>
    <w:rsid w:val="00440A77"/>
    <w:rsid w:val="00440A80"/>
    <w:rsid w:val="00444A23"/>
    <w:rsid w:val="00444AF8"/>
    <w:rsid w:val="0044570A"/>
    <w:rsid w:val="00447400"/>
    <w:rsid w:val="00453AEE"/>
    <w:rsid w:val="00453CE1"/>
    <w:rsid w:val="00455B00"/>
    <w:rsid w:val="004601A3"/>
    <w:rsid w:val="004607AE"/>
    <w:rsid w:val="00461530"/>
    <w:rsid w:val="00461E58"/>
    <w:rsid w:val="004652EC"/>
    <w:rsid w:val="004659DE"/>
    <w:rsid w:val="00466652"/>
    <w:rsid w:val="00474C98"/>
    <w:rsid w:val="00474D67"/>
    <w:rsid w:val="004806BB"/>
    <w:rsid w:val="00480737"/>
    <w:rsid w:val="0048106C"/>
    <w:rsid w:val="004818B4"/>
    <w:rsid w:val="00483BE5"/>
    <w:rsid w:val="004842D4"/>
    <w:rsid w:val="00484BCA"/>
    <w:rsid w:val="00487B62"/>
    <w:rsid w:val="0049058B"/>
    <w:rsid w:val="00494191"/>
    <w:rsid w:val="004958EA"/>
    <w:rsid w:val="004A0460"/>
    <w:rsid w:val="004A05E7"/>
    <w:rsid w:val="004A40CD"/>
    <w:rsid w:val="004A658D"/>
    <w:rsid w:val="004B0914"/>
    <w:rsid w:val="004B48CF"/>
    <w:rsid w:val="004C0751"/>
    <w:rsid w:val="004C4D7B"/>
    <w:rsid w:val="004C610A"/>
    <w:rsid w:val="004D1702"/>
    <w:rsid w:val="004D67CE"/>
    <w:rsid w:val="004E241C"/>
    <w:rsid w:val="004E2468"/>
    <w:rsid w:val="004E3D29"/>
    <w:rsid w:val="004E4920"/>
    <w:rsid w:val="004F079D"/>
    <w:rsid w:val="004F16DC"/>
    <w:rsid w:val="004F2E25"/>
    <w:rsid w:val="004F47D8"/>
    <w:rsid w:val="004F50C8"/>
    <w:rsid w:val="004F7A0C"/>
    <w:rsid w:val="004F7B15"/>
    <w:rsid w:val="005030C9"/>
    <w:rsid w:val="00505597"/>
    <w:rsid w:val="00511A83"/>
    <w:rsid w:val="0051419C"/>
    <w:rsid w:val="005149B9"/>
    <w:rsid w:val="00516529"/>
    <w:rsid w:val="005173A2"/>
    <w:rsid w:val="00517B98"/>
    <w:rsid w:val="00521E65"/>
    <w:rsid w:val="005229F8"/>
    <w:rsid w:val="00522F74"/>
    <w:rsid w:val="0052325B"/>
    <w:rsid w:val="0052385E"/>
    <w:rsid w:val="00526322"/>
    <w:rsid w:val="00533BF0"/>
    <w:rsid w:val="005358F0"/>
    <w:rsid w:val="005378A4"/>
    <w:rsid w:val="00537DCD"/>
    <w:rsid w:val="00540F71"/>
    <w:rsid w:val="00541A9E"/>
    <w:rsid w:val="00547283"/>
    <w:rsid w:val="00547F21"/>
    <w:rsid w:val="0055028E"/>
    <w:rsid w:val="0055447C"/>
    <w:rsid w:val="00554F1F"/>
    <w:rsid w:val="00556B3C"/>
    <w:rsid w:val="00561ABA"/>
    <w:rsid w:val="00564861"/>
    <w:rsid w:val="00564B8E"/>
    <w:rsid w:val="005650FA"/>
    <w:rsid w:val="00577BDC"/>
    <w:rsid w:val="0058110F"/>
    <w:rsid w:val="005838C3"/>
    <w:rsid w:val="00584E59"/>
    <w:rsid w:val="005860CA"/>
    <w:rsid w:val="00586EB7"/>
    <w:rsid w:val="005872E8"/>
    <w:rsid w:val="005907E5"/>
    <w:rsid w:val="0059314F"/>
    <w:rsid w:val="00593660"/>
    <w:rsid w:val="00594BD5"/>
    <w:rsid w:val="005950DB"/>
    <w:rsid w:val="00596788"/>
    <w:rsid w:val="005A13E5"/>
    <w:rsid w:val="005A2443"/>
    <w:rsid w:val="005A7DE6"/>
    <w:rsid w:val="005B0C86"/>
    <w:rsid w:val="005B529D"/>
    <w:rsid w:val="005C2A09"/>
    <w:rsid w:val="005C4CF7"/>
    <w:rsid w:val="005C5A73"/>
    <w:rsid w:val="005C62CA"/>
    <w:rsid w:val="005D119C"/>
    <w:rsid w:val="005D2613"/>
    <w:rsid w:val="005D31CE"/>
    <w:rsid w:val="005D34AE"/>
    <w:rsid w:val="005E06EF"/>
    <w:rsid w:val="005E290F"/>
    <w:rsid w:val="005E2A4E"/>
    <w:rsid w:val="005E3011"/>
    <w:rsid w:val="005E3A42"/>
    <w:rsid w:val="005E3DFA"/>
    <w:rsid w:val="005E4FA6"/>
    <w:rsid w:val="005F1E1A"/>
    <w:rsid w:val="005F2B9B"/>
    <w:rsid w:val="005F52BF"/>
    <w:rsid w:val="00604135"/>
    <w:rsid w:val="006053B2"/>
    <w:rsid w:val="0060568C"/>
    <w:rsid w:val="0061196E"/>
    <w:rsid w:val="00613954"/>
    <w:rsid w:val="00615F8C"/>
    <w:rsid w:val="0061729D"/>
    <w:rsid w:val="006173F0"/>
    <w:rsid w:val="00617BB1"/>
    <w:rsid w:val="006207F3"/>
    <w:rsid w:val="006207F9"/>
    <w:rsid w:val="0062277D"/>
    <w:rsid w:val="00624211"/>
    <w:rsid w:val="006242EB"/>
    <w:rsid w:val="00624B3B"/>
    <w:rsid w:val="00625214"/>
    <w:rsid w:val="00625383"/>
    <w:rsid w:val="00625D7A"/>
    <w:rsid w:val="0062611C"/>
    <w:rsid w:val="00626E01"/>
    <w:rsid w:val="00632028"/>
    <w:rsid w:val="00633ECD"/>
    <w:rsid w:val="0063571E"/>
    <w:rsid w:val="006403E2"/>
    <w:rsid w:val="00641FB8"/>
    <w:rsid w:val="00642BA0"/>
    <w:rsid w:val="00645DB8"/>
    <w:rsid w:val="00647EE9"/>
    <w:rsid w:val="00654513"/>
    <w:rsid w:val="00654E38"/>
    <w:rsid w:val="00654F07"/>
    <w:rsid w:val="00655D04"/>
    <w:rsid w:val="00656137"/>
    <w:rsid w:val="00661FBD"/>
    <w:rsid w:val="00662DCA"/>
    <w:rsid w:val="00663858"/>
    <w:rsid w:val="00663BCF"/>
    <w:rsid w:val="006643C9"/>
    <w:rsid w:val="006650E7"/>
    <w:rsid w:val="00665A52"/>
    <w:rsid w:val="00670C44"/>
    <w:rsid w:val="00670F22"/>
    <w:rsid w:val="0067251A"/>
    <w:rsid w:val="00675091"/>
    <w:rsid w:val="00680A8B"/>
    <w:rsid w:val="00681896"/>
    <w:rsid w:val="006825FD"/>
    <w:rsid w:val="00683882"/>
    <w:rsid w:val="006904B0"/>
    <w:rsid w:val="006931AD"/>
    <w:rsid w:val="006947CB"/>
    <w:rsid w:val="006970F0"/>
    <w:rsid w:val="00697472"/>
    <w:rsid w:val="00697BAF"/>
    <w:rsid w:val="00697E38"/>
    <w:rsid w:val="006A0010"/>
    <w:rsid w:val="006A5541"/>
    <w:rsid w:val="006A720D"/>
    <w:rsid w:val="006A7C7E"/>
    <w:rsid w:val="006B1593"/>
    <w:rsid w:val="006B2C98"/>
    <w:rsid w:val="006B2EB2"/>
    <w:rsid w:val="006B782B"/>
    <w:rsid w:val="006C1649"/>
    <w:rsid w:val="006D35F1"/>
    <w:rsid w:val="006D3EBE"/>
    <w:rsid w:val="006D7A28"/>
    <w:rsid w:val="006E01D2"/>
    <w:rsid w:val="006E0483"/>
    <w:rsid w:val="006E0A09"/>
    <w:rsid w:val="006E150E"/>
    <w:rsid w:val="006E2343"/>
    <w:rsid w:val="006F0329"/>
    <w:rsid w:val="006F0F4E"/>
    <w:rsid w:val="006F1EBB"/>
    <w:rsid w:val="006F1F52"/>
    <w:rsid w:val="006F464C"/>
    <w:rsid w:val="006F49B5"/>
    <w:rsid w:val="006F58AA"/>
    <w:rsid w:val="006F648A"/>
    <w:rsid w:val="00700F64"/>
    <w:rsid w:val="00700FF6"/>
    <w:rsid w:val="00704D53"/>
    <w:rsid w:val="007055A9"/>
    <w:rsid w:val="007144BF"/>
    <w:rsid w:val="00714EEF"/>
    <w:rsid w:val="00715A8F"/>
    <w:rsid w:val="00725812"/>
    <w:rsid w:val="00732C4A"/>
    <w:rsid w:val="007339A7"/>
    <w:rsid w:val="00740CC6"/>
    <w:rsid w:val="00740E64"/>
    <w:rsid w:val="00741571"/>
    <w:rsid w:val="00741D30"/>
    <w:rsid w:val="00743D76"/>
    <w:rsid w:val="00746B01"/>
    <w:rsid w:val="00751279"/>
    <w:rsid w:val="007516B7"/>
    <w:rsid w:val="007519F3"/>
    <w:rsid w:val="00754730"/>
    <w:rsid w:val="0075539A"/>
    <w:rsid w:val="007561BA"/>
    <w:rsid w:val="00760FF6"/>
    <w:rsid w:val="0076139E"/>
    <w:rsid w:val="00761693"/>
    <w:rsid w:val="0076562B"/>
    <w:rsid w:val="007672EB"/>
    <w:rsid w:val="0077417A"/>
    <w:rsid w:val="007763D9"/>
    <w:rsid w:val="00783599"/>
    <w:rsid w:val="007845DD"/>
    <w:rsid w:val="007862AD"/>
    <w:rsid w:val="007863A4"/>
    <w:rsid w:val="007974F6"/>
    <w:rsid w:val="00797B6F"/>
    <w:rsid w:val="007A0496"/>
    <w:rsid w:val="007A0835"/>
    <w:rsid w:val="007A17C3"/>
    <w:rsid w:val="007A2F72"/>
    <w:rsid w:val="007A34F7"/>
    <w:rsid w:val="007A40A1"/>
    <w:rsid w:val="007A40D2"/>
    <w:rsid w:val="007A72BB"/>
    <w:rsid w:val="007B1612"/>
    <w:rsid w:val="007B2CF1"/>
    <w:rsid w:val="007C63B1"/>
    <w:rsid w:val="007C7AA8"/>
    <w:rsid w:val="007D0624"/>
    <w:rsid w:val="007D0C35"/>
    <w:rsid w:val="007D4105"/>
    <w:rsid w:val="007D54BB"/>
    <w:rsid w:val="007E3C70"/>
    <w:rsid w:val="007E4C39"/>
    <w:rsid w:val="007E564C"/>
    <w:rsid w:val="007F0147"/>
    <w:rsid w:val="007F2B70"/>
    <w:rsid w:val="007F2E21"/>
    <w:rsid w:val="007F31CF"/>
    <w:rsid w:val="007F557E"/>
    <w:rsid w:val="007F5EC0"/>
    <w:rsid w:val="008010C9"/>
    <w:rsid w:val="0080126B"/>
    <w:rsid w:val="00801617"/>
    <w:rsid w:val="00803A77"/>
    <w:rsid w:val="00803AE0"/>
    <w:rsid w:val="00803D84"/>
    <w:rsid w:val="008059F4"/>
    <w:rsid w:val="008067B7"/>
    <w:rsid w:val="00806F0F"/>
    <w:rsid w:val="008071D0"/>
    <w:rsid w:val="00810A06"/>
    <w:rsid w:val="0081532B"/>
    <w:rsid w:val="008168BF"/>
    <w:rsid w:val="008179C1"/>
    <w:rsid w:val="00820A2E"/>
    <w:rsid w:val="00821AB3"/>
    <w:rsid w:val="0082304A"/>
    <w:rsid w:val="008272C9"/>
    <w:rsid w:val="00827D20"/>
    <w:rsid w:val="00832F9F"/>
    <w:rsid w:val="008331E4"/>
    <w:rsid w:val="00833B84"/>
    <w:rsid w:val="0083550D"/>
    <w:rsid w:val="00840BCE"/>
    <w:rsid w:val="008442B7"/>
    <w:rsid w:val="0084583C"/>
    <w:rsid w:val="00846283"/>
    <w:rsid w:val="00851192"/>
    <w:rsid w:val="00853182"/>
    <w:rsid w:val="00853C0D"/>
    <w:rsid w:val="00854CF1"/>
    <w:rsid w:val="00855E66"/>
    <w:rsid w:val="0085604C"/>
    <w:rsid w:val="00860738"/>
    <w:rsid w:val="00860E0D"/>
    <w:rsid w:val="00861638"/>
    <w:rsid w:val="0086490E"/>
    <w:rsid w:val="00866457"/>
    <w:rsid w:val="00874658"/>
    <w:rsid w:val="00876297"/>
    <w:rsid w:val="00880DBC"/>
    <w:rsid w:val="00892CC9"/>
    <w:rsid w:val="008935DC"/>
    <w:rsid w:val="00896EA2"/>
    <w:rsid w:val="008A52C2"/>
    <w:rsid w:val="008A7212"/>
    <w:rsid w:val="008A7683"/>
    <w:rsid w:val="008B25CF"/>
    <w:rsid w:val="008B3C2D"/>
    <w:rsid w:val="008B4711"/>
    <w:rsid w:val="008B67DB"/>
    <w:rsid w:val="008C0028"/>
    <w:rsid w:val="008C139B"/>
    <w:rsid w:val="008C579A"/>
    <w:rsid w:val="008C79AE"/>
    <w:rsid w:val="008D39AD"/>
    <w:rsid w:val="008D536C"/>
    <w:rsid w:val="008E42AA"/>
    <w:rsid w:val="008E523A"/>
    <w:rsid w:val="008E5CC1"/>
    <w:rsid w:val="008E6762"/>
    <w:rsid w:val="008E71F0"/>
    <w:rsid w:val="008F0AD8"/>
    <w:rsid w:val="008F4028"/>
    <w:rsid w:val="008F53A1"/>
    <w:rsid w:val="008F7B61"/>
    <w:rsid w:val="00902584"/>
    <w:rsid w:val="00902D1D"/>
    <w:rsid w:val="00903197"/>
    <w:rsid w:val="00904594"/>
    <w:rsid w:val="0090711D"/>
    <w:rsid w:val="009138D0"/>
    <w:rsid w:val="00916935"/>
    <w:rsid w:val="009222A3"/>
    <w:rsid w:val="00924C1E"/>
    <w:rsid w:val="009251D1"/>
    <w:rsid w:val="00925410"/>
    <w:rsid w:val="00926B2D"/>
    <w:rsid w:val="00934277"/>
    <w:rsid w:val="00936147"/>
    <w:rsid w:val="009378EB"/>
    <w:rsid w:val="009407FF"/>
    <w:rsid w:val="00940DF5"/>
    <w:rsid w:val="00942926"/>
    <w:rsid w:val="00944F72"/>
    <w:rsid w:val="0094523E"/>
    <w:rsid w:val="00945D7E"/>
    <w:rsid w:val="0094670B"/>
    <w:rsid w:val="00950B21"/>
    <w:rsid w:val="00951BED"/>
    <w:rsid w:val="009573AA"/>
    <w:rsid w:val="00957ED4"/>
    <w:rsid w:val="00961BDE"/>
    <w:rsid w:val="00962DA3"/>
    <w:rsid w:val="009654DC"/>
    <w:rsid w:val="00965D27"/>
    <w:rsid w:val="00971EA1"/>
    <w:rsid w:val="009832D8"/>
    <w:rsid w:val="009833EE"/>
    <w:rsid w:val="00985B6D"/>
    <w:rsid w:val="009A2C59"/>
    <w:rsid w:val="009B0815"/>
    <w:rsid w:val="009B0E8B"/>
    <w:rsid w:val="009B23E6"/>
    <w:rsid w:val="009B256C"/>
    <w:rsid w:val="009B650F"/>
    <w:rsid w:val="009C3E9E"/>
    <w:rsid w:val="009C4206"/>
    <w:rsid w:val="009C72A9"/>
    <w:rsid w:val="009C7AD2"/>
    <w:rsid w:val="009D2DD5"/>
    <w:rsid w:val="009D391C"/>
    <w:rsid w:val="009D756A"/>
    <w:rsid w:val="009D7E04"/>
    <w:rsid w:val="009E20E0"/>
    <w:rsid w:val="009E43D4"/>
    <w:rsid w:val="009E515C"/>
    <w:rsid w:val="009E6A17"/>
    <w:rsid w:val="009F2237"/>
    <w:rsid w:val="009F4C69"/>
    <w:rsid w:val="009F5CBF"/>
    <w:rsid w:val="00A00E27"/>
    <w:rsid w:val="00A01EE7"/>
    <w:rsid w:val="00A02552"/>
    <w:rsid w:val="00A06B41"/>
    <w:rsid w:val="00A0767B"/>
    <w:rsid w:val="00A07B40"/>
    <w:rsid w:val="00A10D69"/>
    <w:rsid w:val="00A111F2"/>
    <w:rsid w:val="00A14A15"/>
    <w:rsid w:val="00A17C1D"/>
    <w:rsid w:val="00A22FD3"/>
    <w:rsid w:val="00A26665"/>
    <w:rsid w:val="00A267F3"/>
    <w:rsid w:val="00A27AE5"/>
    <w:rsid w:val="00A27ED9"/>
    <w:rsid w:val="00A362FD"/>
    <w:rsid w:val="00A37CFA"/>
    <w:rsid w:val="00A4159E"/>
    <w:rsid w:val="00A43B0E"/>
    <w:rsid w:val="00A445C2"/>
    <w:rsid w:val="00A44EB4"/>
    <w:rsid w:val="00A45FFF"/>
    <w:rsid w:val="00A47629"/>
    <w:rsid w:val="00A6293A"/>
    <w:rsid w:val="00A66B83"/>
    <w:rsid w:val="00A67A92"/>
    <w:rsid w:val="00A67AF2"/>
    <w:rsid w:val="00A72708"/>
    <w:rsid w:val="00A753B4"/>
    <w:rsid w:val="00A75E6A"/>
    <w:rsid w:val="00A76077"/>
    <w:rsid w:val="00A82D9A"/>
    <w:rsid w:val="00A83DED"/>
    <w:rsid w:val="00A849D9"/>
    <w:rsid w:val="00A85626"/>
    <w:rsid w:val="00A87CAC"/>
    <w:rsid w:val="00A90E34"/>
    <w:rsid w:val="00A91F50"/>
    <w:rsid w:val="00AA2249"/>
    <w:rsid w:val="00AA259E"/>
    <w:rsid w:val="00AA44AB"/>
    <w:rsid w:val="00AB1942"/>
    <w:rsid w:val="00AB54BE"/>
    <w:rsid w:val="00AC58FC"/>
    <w:rsid w:val="00AD38DC"/>
    <w:rsid w:val="00AD42BB"/>
    <w:rsid w:val="00AE38F9"/>
    <w:rsid w:val="00AE630A"/>
    <w:rsid w:val="00AE6765"/>
    <w:rsid w:val="00AE7D0C"/>
    <w:rsid w:val="00AF085C"/>
    <w:rsid w:val="00AF4C80"/>
    <w:rsid w:val="00B04745"/>
    <w:rsid w:val="00B0585B"/>
    <w:rsid w:val="00B06C72"/>
    <w:rsid w:val="00B07532"/>
    <w:rsid w:val="00B16303"/>
    <w:rsid w:val="00B17AB7"/>
    <w:rsid w:val="00B2454A"/>
    <w:rsid w:val="00B31FA7"/>
    <w:rsid w:val="00B37258"/>
    <w:rsid w:val="00B37826"/>
    <w:rsid w:val="00B37F6C"/>
    <w:rsid w:val="00B42184"/>
    <w:rsid w:val="00B43A5B"/>
    <w:rsid w:val="00B44643"/>
    <w:rsid w:val="00B4543D"/>
    <w:rsid w:val="00B47A21"/>
    <w:rsid w:val="00B502E1"/>
    <w:rsid w:val="00B514DC"/>
    <w:rsid w:val="00B52BFA"/>
    <w:rsid w:val="00B54207"/>
    <w:rsid w:val="00B5420B"/>
    <w:rsid w:val="00B5446D"/>
    <w:rsid w:val="00B56251"/>
    <w:rsid w:val="00B56560"/>
    <w:rsid w:val="00B57E07"/>
    <w:rsid w:val="00B57E61"/>
    <w:rsid w:val="00B609F1"/>
    <w:rsid w:val="00B6111B"/>
    <w:rsid w:val="00B61A2A"/>
    <w:rsid w:val="00B625DD"/>
    <w:rsid w:val="00B62842"/>
    <w:rsid w:val="00B640DA"/>
    <w:rsid w:val="00B65C0F"/>
    <w:rsid w:val="00B722CF"/>
    <w:rsid w:val="00B72EB4"/>
    <w:rsid w:val="00B80C0D"/>
    <w:rsid w:val="00B817EE"/>
    <w:rsid w:val="00B8274D"/>
    <w:rsid w:val="00B829F0"/>
    <w:rsid w:val="00B9522F"/>
    <w:rsid w:val="00BA02BC"/>
    <w:rsid w:val="00BA2825"/>
    <w:rsid w:val="00BA5373"/>
    <w:rsid w:val="00BA6898"/>
    <w:rsid w:val="00BA68C6"/>
    <w:rsid w:val="00BB0D94"/>
    <w:rsid w:val="00BB2071"/>
    <w:rsid w:val="00BB2358"/>
    <w:rsid w:val="00BB533A"/>
    <w:rsid w:val="00BB7A33"/>
    <w:rsid w:val="00BC137F"/>
    <w:rsid w:val="00BC1774"/>
    <w:rsid w:val="00BC4773"/>
    <w:rsid w:val="00BC6A0B"/>
    <w:rsid w:val="00BD0DC0"/>
    <w:rsid w:val="00BD109B"/>
    <w:rsid w:val="00BD1307"/>
    <w:rsid w:val="00BD1847"/>
    <w:rsid w:val="00BD4E3C"/>
    <w:rsid w:val="00BD5167"/>
    <w:rsid w:val="00BD5CD9"/>
    <w:rsid w:val="00BE0E41"/>
    <w:rsid w:val="00BE2753"/>
    <w:rsid w:val="00BE474E"/>
    <w:rsid w:val="00BF193F"/>
    <w:rsid w:val="00BF1C08"/>
    <w:rsid w:val="00BF3E59"/>
    <w:rsid w:val="00C00ED0"/>
    <w:rsid w:val="00C014EF"/>
    <w:rsid w:val="00C02458"/>
    <w:rsid w:val="00C02796"/>
    <w:rsid w:val="00C05483"/>
    <w:rsid w:val="00C11D35"/>
    <w:rsid w:val="00C123AF"/>
    <w:rsid w:val="00C136F7"/>
    <w:rsid w:val="00C14B6E"/>
    <w:rsid w:val="00C153AC"/>
    <w:rsid w:val="00C15623"/>
    <w:rsid w:val="00C22E94"/>
    <w:rsid w:val="00C23C19"/>
    <w:rsid w:val="00C24ED4"/>
    <w:rsid w:val="00C2793E"/>
    <w:rsid w:val="00C2795C"/>
    <w:rsid w:val="00C303ED"/>
    <w:rsid w:val="00C316E3"/>
    <w:rsid w:val="00C31D81"/>
    <w:rsid w:val="00C339EC"/>
    <w:rsid w:val="00C34AE8"/>
    <w:rsid w:val="00C34C65"/>
    <w:rsid w:val="00C34C72"/>
    <w:rsid w:val="00C36352"/>
    <w:rsid w:val="00C36A40"/>
    <w:rsid w:val="00C40191"/>
    <w:rsid w:val="00C40BB2"/>
    <w:rsid w:val="00C41FF3"/>
    <w:rsid w:val="00C439F8"/>
    <w:rsid w:val="00C43A32"/>
    <w:rsid w:val="00C44931"/>
    <w:rsid w:val="00C47E96"/>
    <w:rsid w:val="00C50635"/>
    <w:rsid w:val="00C5094F"/>
    <w:rsid w:val="00C54339"/>
    <w:rsid w:val="00C57DC2"/>
    <w:rsid w:val="00C6028A"/>
    <w:rsid w:val="00C6238E"/>
    <w:rsid w:val="00C629B0"/>
    <w:rsid w:val="00C6428C"/>
    <w:rsid w:val="00C651C8"/>
    <w:rsid w:val="00C66AFB"/>
    <w:rsid w:val="00C66D2D"/>
    <w:rsid w:val="00C70066"/>
    <w:rsid w:val="00C709B2"/>
    <w:rsid w:val="00C710EF"/>
    <w:rsid w:val="00C71610"/>
    <w:rsid w:val="00C76C66"/>
    <w:rsid w:val="00C816D7"/>
    <w:rsid w:val="00C817F1"/>
    <w:rsid w:val="00C81A8A"/>
    <w:rsid w:val="00C81B28"/>
    <w:rsid w:val="00C85C64"/>
    <w:rsid w:val="00C90629"/>
    <w:rsid w:val="00C91917"/>
    <w:rsid w:val="00C9451D"/>
    <w:rsid w:val="00CA25BD"/>
    <w:rsid w:val="00CA624B"/>
    <w:rsid w:val="00CA630E"/>
    <w:rsid w:val="00CB0193"/>
    <w:rsid w:val="00CB443C"/>
    <w:rsid w:val="00CB72F8"/>
    <w:rsid w:val="00CB731D"/>
    <w:rsid w:val="00CC29ED"/>
    <w:rsid w:val="00CC4462"/>
    <w:rsid w:val="00CC7FB3"/>
    <w:rsid w:val="00CD05D4"/>
    <w:rsid w:val="00CD1901"/>
    <w:rsid w:val="00CD43E9"/>
    <w:rsid w:val="00CD539A"/>
    <w:rsid w:val="00CD5CEC"/>
    <w:rsid w:val="00CD6FA0"/>
    <w:rsid w:val="00CD786E"/>
    <w:rsid w:val="00CE1DE7"/>
    <w:rsid w:val="00CE207F"/>
    <w:rsid w:val="00CE4924"/>
    <w:rsid w:val="00CE7BA1"/>
    <w:rsid w:val="00CF482B"/>
    <w:rsid w:val="00CF4C47"/>
    <w:rsid w:val="00CF4FD8"/>
    <w:rsid w:val="00CF715E"/>
    <w:rsid w:val="00D02295"/>
    <w:rsid w:val="00D02892"/>
    <w:rsid w:val="00D02E49"/>
    <w:rsid w:val="00D074CA"/>
    <w:rsid w:val="00D07B9B"/>
    <w:rsid w:val="00D10836"/>
    <w:rsid w:val="00D120B7"/>
    <w:rsid w:val="00D1227E"/>
    <w:rsid w:val="00D1283D"/>
    <w:rsid w:val="00D14DEA"/>
    <w:rsid w:val="00D16E9A"/>
    <w:rsid w:val="00D20013"/>
    <w:rsid w:val="00D21E18"/>
    <w:rsid w:val="00D24446"/>
    <w:rsid w:val="00D3351A"/>
    <w:rsid w:val="00D33FF6"/>
    <w:rsid w:val="00D4182B"/>
    <w:rsid w:val="00D422DD"/>
    <w:rsid w:val="00D468ED"/>
    <w:rsid w:val="00D475FA"/>
    <w:rsid w:val="00D55A76"/>
    <w:rsid w:val="00D56749"/>
    <w:rsid w:val="00D70136"/>
    <w:rsid w:val="00D71497"/>
    <w:rsid w:val="00D71E44"/>
    <w:rsid w:val="00D74053"/>
    <w:rsid w:val="00D746D1"/>
    <w:rsid w:val="00D74802"/>
    <w:rsid w:val="00D75F2C"/>
    <w:rsid w:val="00D82CA7"/>
    <w:rsid w:val="00D863A2"/>
    <w:rsid w:val="00D90381"/>
    <w:rsid w:val="00D91895"/>
    <w:rsid w:val="00D950C2"/>
    <w:rsid w:val="00D966F3"/>
    <w:rsid w:val="00DA0889"/>
    <w:rsid w:val="00DA294B"/>
    <w:rsid w:val="00DA3941"/>
    <w:rsid w:val="00DA79F2"/>
    <w:rsid w:val="00DB3B85"/>
    <w:rsid w:val="00DB4845"/>
    <w:rsid w:val="00DB67A3"/>
    <w:rsid w:val="00DC1649"/>
    <w:rsid w:val="00DC2516"/>
    <w:rsid w:val="00DC2E4E"/>
    <w:rsid w:val="00DC3F9F"/>
    <w:rsid w:val="00DC44B5"/>
    <w:rsid w:val="00DC5E95"/>
    <w:rsid w:val="00DC612F"/>
    <w:rsid w:val="00DC66A1"/>
    <w:rsid w:val="00DC73E0"/>
    <w:rsid w:val="00DD01C0"/>
    <w:rsid w:val="00DD1CBE"/>
    <w:rsid w:val="00DD35D2"/>
    <w:rsid w:val="00DD4178"/>
    <w:rsid w:val="00DD68D6"/>
    <w:rsid w:val="00DD7DAB"/>
    <w:rsid w:val="00DD7E54"/>
    <w:rsid w:val="00DE02A9"/>
    <w:rsid w:val="00DE0B5A"/>
    <w:rsid w:val="00DE0B90"/>
    <w:rsid w:val="00DE5D9D"/>
    <w:rsid w:val="00DF093E"/>
    <w:rsid w:val="00DF329C"/>
    <w:rsid w:val="00DF5199"/>
    <w:rsid w:val="00DF5700"/>
    <w:rsid w:val="00E010DB"/>
    <w:rsid w:val="00E012D1"/>
    <w:rsid w:val="00E0193A"/>
    <w:rsid w:val="00E0409D"/>
    <w:rsid w:val="00E04E99"/>
    <w:rsid w:val="00E0655C"/>
    <w:rsid w:val="00E07EA1"/>
    <w:rsid w:val="00E142F9"/>
    <w:rsid w:val="00E1441F"/>
    <w:rsid w:val="00E1501D"/>
    <w:rsid w:val="00E2048B"/>
    <w:rsid w:val="00E227BF"/>
    <w:rsid w:val="00E23CFD"/>
    <w:rsid w:val="00E2405F"/>
    <w:rsid w:val="00E246D2"/>
    <w:rsid w:val="00E277DE"/>
    <w:rsid w:val="00E3166F"/>
    <w:rsid w:val="00E37E45"/>
    <w:rsid w:val="00E43095"/>
    <w:rsid w:val="00E43AE7"/>
    <w:rsid w:val="00E450A9"/>
    <w:rsid w:val="00E5246F"/>
    <w:rsid w:val="00E55897"/>
    <w:rsid w:val="00E57AA9"/>
    <w:rsid w:val="00E600FB"/>
    <w:rsid w:val="00E6114A"/>
    <w:rsid w:val="00E706E0"/>
    <w:rsid w:val="00E7265E"/>
    <w:rsid w:val="00E76D04"/>
    <w:rsid w:val="00E80111"/>
    <w:rsid w:val="00E818A6"/>
    <w:rsid w:val="00E84772"/>
    <w:rsid w:val="00E84EC7"/>
    <w:rsid w:val="00E84F44"/>
    <w:rsid w:val="00E86FDE"/>
    <w:rsid w:val="00E874E3"/>
    <w:rsid w:val="00E87B12"/>
    <w:rsid w:val="00E9076C"/>
    <w:rsid w:val="00E912F3"/>
    <w:rsid w:val="00E91965"/>
    <w:rsid w:val="00E9342C"/>
    <w:rsid w:val="00E953F7"/>
    <w:rsid w:val="00E964E4"/>
    <w:rsid w:val="00EA17F7"/>
    <w:rsid w:val="00EA1FC8"/>
    <w:rsid w:val="00EA2050"/>
    <w:rsid w:val="00EA28C6"/>
    <w:rsid w:val="00EA65C2"/>
    <w:rsid w:val="00EA765D"/>
    <w:rsid w:val="00EB1F46"/>
    <w:rsid w:val="00EB3A92"/>
    <w:rsid w:val="00EB3D0F"/>
    <w:rsid w:val="00EB48C5"/>
    <w:rsid w:val="00EB4D2C"/>
    <w:rsid w:val="00EC57F8"/>
    <w:rsid w:val="00EC5C75"/>
    <w:rsid w:val="00EC60A4"/>
    <w:rsid w:val="00EC6DB6"/>
    <w:rsid w:val="00ED006F"/>
    <w:rsid w:val="00ED2BAB"/>
    <w:rsid w:val="00ED321B"/>
    <w:rsid w:val="00ED3D4B"/>
    <w:rsid w:val="00ED5663"/>
    <w:rsid w:val="00ED6AAE"/>
    <w:rsid w:val="00EE0B34"/>
    <w:rsid w:val="00EE3719"/>
    <w:rsid w:val="00EF0882"/>
    <w:rsid w:val="00EF26C3"/>
    <w:rsid w:val="00EF4842"/>
    <w:rsid w:val="00EF6B5D"/>
    <w:rsid w:val="00F04C18"/>
    <w:rsid w:val="00F05359"/>
    <w:rsid w:val="00F055C0"/>
    <w:rsid w:val="00F06A66"/>
    <w:rsid w:val="00F101F3"/>
    <w:rsid w:val="00F12098"/>
    <w:rsid w:val="00F2036F"/>
    <w:rsid w:val="00F21BAC"/>
    <w:rsid w:val="00F27A7A"/>
    <w:rsid w:val="00F34508"/>
    <w:rsid w:val="00F35B33"/>
    <w:rsid w:val="00F3796F"/>
    <w:rsid w:val="00F37BDA"/>
    <w:rsid w:val="00F37EB4"/>
    <w:rsid w:val="00F407AB"/>
    <w:rsid w:val="00F44428"/>
    <w:rsid w:val="00F451C7"/>
    <w:rsid w:val="00F456D8"/>
    <w:rsid w:val="00F46DD3"/>
    <w:rsid w:val="00F55421"/>
    <w:rsid w:val="00F56C17"/>
    <w:rsid w:val="00F576F0"/>
    <w:rsid w:val="00F606DB"/>
    <w:rsid w:val="00F61B69"/>
    <w:rsid w:val="00F626B1"/>
    <w:rsid w:val="00F6328B"/>
    <w:rsid w:val="00F65ABC"/>
    <w:rsid w:val="00F70F56"/>
    <w:rsid w:val="00F72631"/>
    <w:rsid w:val="00F7485A"/>
    <w:rsid w:val="00F74F51"/>
    <w:rsid w:val="00F802CA"/>
    <w:rsid w:val="00F8213D"/>
    <w:rsid w:val="00F86305"/>
    <w:rsid w:val="00F86547"/>
    <w:rsid w:val="00F87B0D"/>
    <w:rsid w:val="00F90F71"/>
    <w:rsid w:val="00F9103A"/>
    <w:rsid w:val="00F920BC"/>
    <w:rsid w:val="00F9276D"/>
    <w:rsid w:val="00F93AC4"/>
    <w:rsid w:val="00F960BF"/>
    <w:rsid w:val="00F9740B"/>
    <w:rsid w:val="00FA1920"/>
    <w:rsid w:val="00FA2D29"/>
    <w:rsid w:val="00FA3874"/>
    <w:rsid w:val="00FA49DF"/>
    <w:rsid w:val="00FB4958"/>
    <w:rsid w:val="00FB74C0"/>
    <w:rsid w:val="00FC11A2"/>
    <w:rsid w:val="00FC4163"/>
    <w:rsid w:val="00FC732A"/>
    <w:rsid w:val="00FC7BA0"/>
    <w:rsid w:val="00FD067C"/>
    <w:rsid w:val="00FD11E3"/>
    <w:rsid w:val="00FD4C2F"/>
    <w:rsid w:val="00FD7A2A"/>
    <w:rsid w:val="00FE782F"/>
    <w:rsid w:val="00FE7B33"/>
    <w:rsid w:val="00FE7B94"/>
    <w:rsid w:val="00FF08B9"/>
    <w:rsid w:val="00FF4902"/>
    <w:rsid w:val="00FF5176"/>
    <w:rsid w:val="00FF7F05"/>
    <w:rsid w:val="01022450"/>
    <w:rsid w:val="012707E5"/>
    <w:rsid w:val="014224F1"/>
    <w:rsid w:val="016519B8"/>
    <w:rsid w:val="01842E69"/>
    <w:rsid w:val="018819BD"/>
    <w:rsid w:val="01883468"/>
    <w:rsid w:val="01A0532E"/>
    <w:rsid w:val="01A33372"/>
    <w:rsid w:val="01B44181"/>
    <w:rsid w:val="01CB085B"/>
    <w:rsid w:val="01E069A9"/>
    <w:rsid w:val="01F27108"/>
    <w:rsid w:val="02181129"/>
    <w:rsid w:val="03006AC8"/>
    <w:rsid w:val="034158C5"/>
    <w:rsid w:val="036C58E1"/>
    <w:rsid w:val="039145E6"/>
    <w:rsid w:val="03F14361"/>
    <w:rsid w:val="03F661A5"/>
    <w:rsid w:val="049F5624"/>
    <w:rsid w:val="04C1532F"/>
    <w:rsid w:val="04DB07C0"/>
    <w:rsid w:val="04EA21C0"/>
    <w:rsid w:val="04F574FF"/>
    <w:rsid w:val="051B62AB"/>
    <w:rsid w:val="05485881"/>
    <w:rsid w:val="05526CD3"/>
    <w:rsid w:val="055D40BD"/>
    <w:rsid w:val="05D2621A"/>
    <w:rsid w:val="05DE64AF"/>
    <w:rsid w:val="05F35C4C"/>
    <w:rsid w:val="05FF324E"/>
    <w:rsid w:val="062C117B"/>
    <w:rsid w:val="066F79D4"/>
    <w:rsid w:val="068A167F"/>
    <w:rsid w:val="06941FE9"/>
    <w:rsid w:val="06AD6630"/>
    <w:rsid w:val="06D82C3A"/>
    <w:rsid w:val="06D84848"/>
    <w:rsid w:val="06F82C20"/>
    <w:rsid w:val="07131FA5"/>
    <w:rsid w:val="07321E6B"/>
    <w:rsid w:val="07421606"/>
    <w:rsid w:val="0786606E"/>
    <w:rsid w:val="07B5128A"/>
    <w:rsid w:val="07B94DA2"/>
    <w:rsid w:val="07F81AFD"/>
    <w:rsid w:val="07FB3286"/>
    <w:rsid w:val="080C528C"/>
    <w:rsid w:val="08113BBE"/>
    <w:rsid w:val="08224B62"/>
    <w:rsid w:val="082913BF"/>
    <w:rsid w:val="082A752B"/>
    <w:rsid w:val="084C32E2"/>
    <w:rsid w:val="086F5D79"/>
    <w:rsid w:val="087F66FC"/>
    <w:rsid w:val="089E4B8C"/>
    <w:rsid w:val="08F05960"/>
    <w:rsid w:val="0903400D"/>
    <w:rsid w:val="091E64BE"/>
    <w:rsid w:val="094D5FD8"/>
    <w:rsid w:val="0967096B"/>
    <w:rsid w:val="098103B5"/>
    <w:rsid w:val="099E2380"/>
    <w:rsid w:val="09A3791F"/>
    <w:rsid w:val="09AC777E"/>
    <w:rsid w:val="09BC0DBC"/>
    <w:rsid w:val="09D65B51"/>
    <w:rsid w:val="09D96423"/>
    <w:rsid w:val="09E6487F"/>
    <w:rsid w:val="0A2B4526"/>
    <w:rsid w:val="0A36246B"/>
    <w:rsid w:val="0A5E7AF6"/>
    <w:rsid w:val="0A6F5FF7"/>
    <w:rsid w:val="0A7D7D7B"/>
    <w:rsid w:val="0AB37DFC"/>
    <w:rsid w:val="0AB57E50"/>
    <w:rsid w:val="0AD965E7"/>
    <w:rsid w:val="0AFE5E71"/>
    <w:rsid w:val="0B337050"/>
    <w:rsid w:val="0B3C09F8"/>
    <w:rsid w:val="0B3D3456"/>
    <w:rsid w:val="0BD21F87"/>
    <w:rsid w:val="0C187DB6"/>
    <w:rsid w:val="0C1974A1"/>
    <w:rsid w:val="0C261DCE"/>
    <w:rsid w:val="0C30697B"/>
    <w:rsid w:val="0C7C3BA8"/>
    <w:rsid w:val="0CBD61E8"/>
    <w:rsid w:val="0CDE75C8"/>
    <w:rsid w:val="0D2D7316"/>
    <w:rsid w:val="0D305579"/>
    <w:rsid w:val="0DAE70B0"/>
    <w:rsid w:val="0DE726DF"/>
    <w:rsid w:val="0E576928"/>
    <w:rsid w:val="0E66388F"/>
    <w:rsid w:val="0E6E5D4B"/>
    <w:rsid w:val="0E8B4136"/>
    <w:rsid w:val="0E8B5194"/>
    <w:rsid w:val="0EA62364"/>
    <w:rsid w:val="0EC809FD"/>
    <w:rsid w:val="0F27086A"/>
    <w:rsid w:val="0F2A0401"/>
    <w:rsid w:val="0F4252BD"/>
    <w:rsid w:val="0F4E351F"/>
    <w:rsid w:val="0F6C0FEE"/>
    <w:rsid w:val="0F796B71"/>
    <w:rsid w:val="0F862AA2"/>
    <w:rsid w:val="0F902AB4"/>
    <w:rsid w:val="0FDA4A81"/>
    <w:rsid w:val="0FF756C0"/>
    <w:rsid w:val="102C272A"/>
    <w:rsid w:val="104019D3"/>
    <w:rsid w:val="10606175"/>
    <w:rsid w:val="10615F2E"/>
    <w:rsid w:val="108252A3"/>
    <w:rsid w:val="108A3EC5"/>
    <w:rsid w:val="10B012D9"/>
    <w:rsid w:val="10B159D4"/>
    <w:rsid w:val="10D45F1A"/>
    <w:rsid w:val="111A7D34"/>
    <w:rsid w:val="11204142"/>
    <w:rsid w:val="11237BEA"/>
    <w:rsid w:val="11301FEB"/>
    <w:rsid w:val="1142055C"/>
    <w:rsid w:val="11692E07"/>
    <w:rsid w:val="117D4B05"/>
    <w:rsid w:val="11805965"/>
    <w:rsid w:val="11BE7D95"/>
    <w:rsid w:val="11D12062"/>
    <w:rsid w:val="11E86BCE"/>
    <w:rsid w:val="120669D3"/>
    <w:rsid w:val="120A3E26"/>
    <w:rsid w:val="120F071E"/>
    <w:rsid w:val="121E07C1"/>
    <w:rsid w:val="12553C7F"/>
    <w:rsid w:val="126F0AA5"/>
    <w:rsid w:val="128919D4"/>
    <w:rsid w:val="12C40361"/>
    <w:rsid w:val="130D7E07"/>
    <w:rsid w:val="138008DC"/>
    <w:rsid w:val="13D61E18"/>
    <w:rsid w:val="13ED41C3"/>
    <w:rsid w:val="140727BD"/>
    <w:rsid w:val="141763E7"/>
    <w:rsid w:val="144C26B2"/>
    <w:rsid w:val="14786D7E"/>
    <w:rsid w:val="14892EDF"/>
    <w:rsid w:val="14C94128"/>
    <w:rsid w:val="14CF52C6"/>
    <w:rsid w:val="14CF7B49"/>
    <w:rsid w:val="14D62F94"/>
    <w:rsid w:val="14F270F0"/>
    <w:rsid w:val="14F67239"/>
    <w:rsid w:val="15CB4CED"/>
    <w:rsid w:val="15CB6DD1"/>
    <w:rsid w:val="15CF7903"/>
    <w:rsid w:val="15FF47E9"/>
    <w:rsid w:val="161779F3"/>
    <w:rsid w:val="163461C9"/>
    <w:rsid w:val="163550F7"/>
    <w:rsid w:val="164A53C7"/>
    <w:rsid w:val="1652472A"/>
    <w:rsid w:val="1663088C"/>
    <w:rsid w:val="166531EE"/>
    <w:rsid w:val="167F131F"/>
    <w:rsid w:val="16D46A8E"/>
    <w:rsid w:val="16E00282"/>
    <w:rsid w:val="16F62E15"/>
    <w:rsid w:val="17056EE2"/>
    <w:rsid w:val="172C7DD4"/>
    <w:rsid w:val="173827E5"/>
    <w:rsid w:val="173B7DB1"/>
    <w:rsid w:val="17557C22"/>
    <w:rsid w:val="17595843"/>
    <w:rsid w:val="176C6E18"/>
    <w:rsid w:val="178847A7"/>
    <w:rsid w:val="17A55E6D"/>
    <w:rsid w:val="17BF56BE"/>
    <w:rsid w:val="17C34F36"/>
    <w:rsid w:val="17CF584C"/>
    <w:rsid w:val="180A4C18"/>
    <w:rsid w:val="18103F78"/>
    <w:rsid w:val="18191B17"/>
    <w:rsid w:val="18227589"/>
    <w:rsid w:val="182B26F5"/>
    <w:rsid w:val="18402552"/>
    <w:rsid w:val="18407CBF"/>
    <w:rsid w:val="185E06D1"/>
    <w:rsid w:val="189554BC"/>
    <w:rsid w:val="18B20EC6"/>
    <w:rsid w:val="18B851FD"/>
    <w:rsid w:val="192A29D8"/>
    <w:rsid w:val="19413440"/>
    <w:rsid w:val="19481C56"/>
    <w:rsid w:val="19797718"/>
    <w:rsid w:val="197A2A23"/>
    <w:rsid w:val="19A3296E"/>
    <w:rsid w:val="19C37774"/>
    <w:rsid w:val="19E5585C"/>
    <w:rsid w:val="19F626D0"/>
    <w:rsid w:val="1A0228B4"/>
    <w:rsid w:val="1A3924B5"/>
    <w:rsid w:val="1A454E10"/>
    <w:rsid w:val="1A481C28"/>
    <w:rsid w:val="1AA56ACE"/>
    <w:rsid w:val="1B05152A"/>
    <w:rsid w:val="1B0803EE"/>
    <w:rsid w:val="1B1C5935"/>
    <w:rsid w:val="1B214453"/>
    <w:rsid w:val="1B2D2338"/>
    <w:rsid w:val="1B4E74CA"/>
    <w:rsid w:val="1B525270"/>
    <w:rsid w:val="1B5771AB"/>
    <w:rsid w:val="1B9C337D"/>
    <w:rsid w:val="1BD61509"/>
    <w:rsid w:val="1BF76176"/>
    <w:rsid w:val="1C203A9C"/>
    <w:rsid w:val="1C2403B8"/>
    <w:rsid w:val="1C3773D9"/>
    <w:rsid w:val="1C443B15"/>
    <w:rsid w:val="1C554928"/>
    <w:rsid w:val="1C770EFC"/>
    <w:rsid w:val="1C8C2FD7"/>
    <w:rsid w:val="1CA67605"/>
    <w:rsid w:val="1CBE05B7"/>
    <w:rsid w:val="1CC03ABA"/>
    <w:rsid w:val="1CC4222F"/>
    <w:rsid w:val="1CD1424B"/>
    <w:rsid w:val="1CEE2407"/>
    <w:rsid w:val="1D49078F"/>
    <w:rsid w:val="1D556C86"/>
    <w:rsid w:val="1D596426"/>
    <w:rsid w:val="1D78638D"/>
    <w:rsid w:val="1D8C2CB0"/>
    <w:rsid w:val="1D9803B1"/>
    <w:rsid w:val="1DA722BE"/>
    <w:rsid w:val="1DE91F56"/>
    <w:rsid w:val="1DF61EC7"/>
    <w:rsid w:val="1E0553F7"/>
    <w:rsid w:val="1E4871E8"/>
    <w:rsid w:val="1E551178"/>
    <w:rsid w:val="1E5708CA"/>
    <w:rsid w:val="1E8E2DB0"/>
    <w:rsid w:val="1EE7444D"/>
    <w:rsid w:val="1EEA6266"/>
    <w:rsid w:val="1EF856E7"/>
    <w:rsid w:val="1F434E10"/>
    <w:rsid w:val="1F5528BB"/>
    <w:rsid w:val="1F575EF7"/>
    <w:rsid w:val="1F66526C"/>
    <w:rsid w:val="1F9169E5"/>
    <w:rsid w:val="1FAE3FE5"/>
    <w:rsid w:val="1FB667E9"/>
    <w:rsid w:val="1FE15907"/>
    <w:rsid w:val="200243EE"/>
    <w:rsid w:val="20623B2B"/>
    <w:rsid w:val="20805C06"/>
    <w:rsid w:val="2086493C"/>
    <w:rsid w:val="20891F8B"/>
    <w:rsid w:val="209059F9"/>
    <w:rsid w:val="20955704"/>
    <w:rsid w:val="209A66F7"/>
    <w:rsid w:val="20A0611A"/>
    <w:rsid w:val="20B46D0A"/>
    <w:rsid w:val="20CF5B84"/>
    <w:rsid w:val="20D939E0"/>
    <w:rsid w:val="211E4C1E"/>
    <w:rsid w:val="21207F9C"/>
    <w:rsid w:val="216929AF"/>
    <w:rsid w:val="21731E43"/>
    <w:rsid w:val="217810D3"/>
    <w:rsid w:val="21871145"/>
    <w:rsid w:val="21A54CDA"/>
    <w:rsid w:val="21B535DD"/>
    <w:rsid w:val="225A32C6"/>
    <w:rsid w:val="229B291E"/>
    <w:rsid w:val="22B76683"/>
    <w:rsid w:val="22DC1635"/>
    <w:rsid w:val="22EF441E"/>
    <w:rsid w:val="22FB7F7F"/>
    <w:rsid w:val="22FE14C9"/>
    <w:rsid w:val="23004747"/>
    <w:rsid w:val="23153C4E"/>
    <w:rsid w:val="231B5250"/>
    <w:rsid w:val="23402FC6"/>
    <w:rsid w:val="234778A3"/>
    <w:rsid w:val="23C9733B"/>
    <w:rsid w:val="23EC2DA8"/>
    <w:rsid w:val="240D7F6A"/>
    <w:rsid w:val="242354EF"/>
    <w:rsid w:val="247510DB"/>
    <w:rsid w:val="24822C48"/>
    <w:rsid w:val="24F353B2"/>
    <w:rsid w:val="25194790"/>
    <w:rsid w:val="251D6AF8"/>
    <w:rsid w:val="251F0E43"/>
    <w:rsid w:val="253C7A57"/>
    <w:rsid w:val="25401C79"/>
    <w:rsid w:val="25A12C23"/>
    <w:rsid w:val="25A56287"/>
    <w:rsid w:val="25B6574E"/>
    <w:rsid w:val="25BD4D4B"/>
    <w:rsid w:val="25E44CFA"/>
    <w:rsid w:val="25F24998"/>
    <w:rsid w:val="264C6569"/>
    <w:rsid w:val="26553D2D"/>
    <w:rsid w:val="2691293C"/>
    <w:rsid w:val="26B03985"/>
    <w:rsid w:val="272A62F6"/>
    <w:rsid w:val="27361E88"/>
    <w:rsid w:val="27417518"/>
    <w:rsid w:val="275A7300"/>
    <w:rsid w:val="276E6B0C"/>
    <w:rsid w:val="27851515"/>
    <w:rsid w:val="27C57B24"/>
    <w:rsid w:val="27E95385"/>
    <w:rsid w:val="27FC4F79"/>
    <w:rsid w:val="27FFBA2E"/>
    <w:rsid w:val="28117E40"/>
    <w:rsid w:val="283335E0"/>
    <w:rsid w:val="287B5F95"/>
    <w:rsid w:val="28846079"/>
    <w:rsid w:val="289C18BC"/>
    <w:rsid w:val="28AE2013"/>
    <w:rsid w:val="28B720F4"/>
    <w:rsid w:val="28CD048D"/>
    <w:rsid w:val="28CE5985"/>
    <w:rsid w:val="28D0156E"/>
    <w:rsid w:val="28E84965"/>
    <w:rsid w:val="29587535"/>
    <w:rsid w:val="29595FC5"/>
    <w:rsid w:val="297353B3"/>
    <w:rsid w:val="29B15EA9"/>
    <w:rsid w:val="29CC3E39"/>
    <w:rsid w:val="2A1D6C10"/>
    <w:rsid w:val="2A2E6FCE"/>
    <w:rsid w:val="2A3B6454"/>
    <w:rsid w:val="2A6F6CAF"/>
    <w:rsid w:val="2A7744A6"/>
    <w:rsid w:val="2A8E3CE0"/>
    <w:rsid w:val="2A9610ED"/>
    <w:rsid w:val="2ACD7D1B"/>
    <w:rsid w:val="2AD31D53"/>
    <w:rsid w:val="2AFE5558"/>
    <w:rsid w:val="2B1C0A93"/>
    <w:rsid w:val="2B2D7D72"/>
    <w:rsid w:val="2B8904D3"/>
    <w:rsid w:val="2BBA11DD"/>
    <w:rsid w:val="2BFC1260"/>
    <w:rsid w:val="2C25375B"/>
    <w:rsid w:val="2C5C149A"/>
    <w:rsid w:val="2C6F4812"/>
    <w:rsid w:val="2C767EB4"/>
    <w:rsid w:val="2C8D144E"/>
    <w:rsid w:val="2CAF55A3"/>
    <w:rsid w:val="2CC8236D"/>
    <w:rsid w:val="2CCB3F36"/>
    <w:rsid w:val="2CF22587"/>
    <w:rsid w:val="2CF34C06"/>
    <w:rsid w:val="2CFC4834"/>
    <w:rsid w:val="2D173FF5"/>
    <w:rsid w:val="2D4B33DA"/>
    <w:rsid w:val="2D59417B"/>
    <w:rsid w:val="2D6E62FE"/>
    <w:rsid w:val="2D776C27"/>
    <w:rsid w:val="2DA232EE"/>
    <w:rsid w:val="2DC06478"/>
    <w:rsid w:val="2DCA0F48"/>
    <w:rsid w:val="2DCC589E"/>
    <w:rsid w:val="2DDE5899"/>
    <w:rsid w:val="2DF12E3D"/>
    <w:rsid w:val="2DFF39E6"/>
    <w:rsid w:val="2E0C2AFF"/>
    <w:rsid w:val="2E0C4DEE"/>
    <w:rsid w:val="2E0D278E"/>
    <w:rsid w:val="2E232138"/>
    <w:rsid w:val="2E3C72BF"/>
    <w:rsid w:val="2E5C2A17"/>
    <w:rsid w:val="2E743FD4"/>
    <w:rsid w:val="2E777F6E"/>
    <w:rsid w:val="2E8A623F"/>
    <w:rsid w:val="2E9A7984"/>
    <w:rsid w:val="2EB61572"/>
    <w:rsid w:val="2EC7325C"/>
    <w:rsid w:val="2F482DDF"/>
    <w:rsid w:val="2F5E7703"/>
    <w:rsid w:val="2F8E3967"/>
    <w:rsid w:val="2FAD19CD"/>
    <w:rsid w:val="2FC30697"/>
    <w:rsid w:val="2FDB716E"/>
    <w:rsid w:val="2FDC1914"/>
    <w:rsid w:val="2FF24A22"/>
    <w:rsid w:val="300667C6"/>
    <w:rsid w:val="301F3529"/>
    <w:rsid w:val="30207B0C"/>
    <w:rsid w:val="302E657E"/>
    <w:rsid w:val="302E7DEC"/>
    <w:rsid w:val="304F3C5B"/>
    <w:rsid w:val="30555D5A"/>
    <w:rsid w:val="31200821"/>
    <w:rsid w:val="31366FE9"/>
    <w:rsid w:val="31417402"/>
    <w:rsid w:val="31440550"/>
    <w:rsid w:val="3149002F"/>
    <w:rsid w:val="31A74402"/>
    <w:rsid w:val="31AF0699"/>
    <w:rsid w:val="31B715B0"/>
    <w:rsid w:val="31D26306"/>
    <w:rsid w:val="32222D43"/>
    <w:rsid w:val="322C6B63"/>
    <w:rsid w:val="32430FFB"/>
    <w:rsid w:val="326208FE"/>
    <w:rsid w:val="327C1D02"/>
    <w:rsid w:val="32894441"/>
    <w:rsid w:val="32B278A0"/>
    <w:rsid w:val="32CA6A4E"/>
    <w:rsid w:val="32D230D3"/>
    <w:rsid w:val="32D95B5A"/>
    <w:rsid w:val="33123701"/>
    <w:rsid w:val="33274A76"/>
    <w:rsid w:val="333A306D"/>
    <w:rsid w:val="333D1021"/>
    <w:rsid w:val="33611979"/>
    <w:rsid w:val="33AA0EA2"/>
    <w:rsid w:val="33B201E6"/>
    <w:rsid w:val="33C050F4"/>
    <w:rsid w:val="33D457FF"/>
    <w:rsid w:val="33F61664"/>
    <w:rsid w:val="341C6D80"/>
    <w:rsid w:val="34404ED7"/>
    <w:rsid w:val="3442504B"/>
    <w:rsid w:val="344B1C77"/>
    <w:rsid w:val="344E2131"/>
    <w:rsid w:val="346A458F"/>
    <w:rsid w:val="34863F18"/>
    <w:rsid w:val="34871673"/>
    <w:rsid w:val="34A33FE0"/>
    <w:rsid w:val="34BA7658"/>
    <w:rsid w:val="34C44572"/>
    <w:rsid w:val="34E130FF"/>
    <w:rsid w:val="34FD633B"/>
    <w:rsid w:val="356615EF"/>
    <w:rsid w:val="35705820"/>
    <w:rsid w:val="35764143"/>
    <w:rsid w:val="35A4298E"/>
    <w:rsid w:val="35BE7DBB"/>
    <w:rsid w:val="35D60BE7"/>
    <w:rsid w:val="35D82453"/>
    <w:rsid w:val="363F5D8A"/>
    <w:rsid w:val="364662F4"/>
    <w:rsid w:val="365732C7"/>
    <w:rsid w:val="36B347FD"/>
    <w:rsid w:val="36FA43B9"/>
    <w:rsid w:val="371736C4"/>
    <w:rsid w:val="37766DC8"/>
    <w:rsid w:val="378102EA"/>
    <w:rsid w:val="37817173"/>
    <w:rsid w:val="379466BC"/>
    <w:rsid w:val="37A663FD"/>
    <w:rsid w:val="37B4173F"/>
    <w:rsid w:val="37BA58E3"/>
    <w:rsid w:val="37D35566"/>
    <w:rsid w:val="37F850C7"/>
    <w:rsid w:val="38347A6F"/>
    <w:rsid w:val="38447F08"/>
    <w:rsid w:val="385E2BDF"/>
    <w:rsid w:val="388A546A"/>
    <w:rsid w:val="38A358CB"/>
    <w:rsid w:val="38C73460"/>
    <w:rsid w:val="38CF283F"/>
    <w:rsid w:val="38EA7D98"/>
    <w:rsid w:val="38F37B57"/>
    <w:rsid w:val="39104BAC"/>
    <w:rsid w:val="39172634"/>
    <w:rsid w:val="391E1E7A"/>
    <w:rsid w:val="392C7196"/>
    <w:rsid w:val="393A23DC"/>
    <w:rsid w:val="396B1633"/>
    <w:rsid w:val="399763CA"/>
    <w:rsid w:val="39BC263E"/>
    <w:rsid w:val="39CE58C9"/>
    <w:rsid w:val="39EA559C"/>
    <w:rsid w:val="3A1161C8"/>
    <w:rsid w:val="3A116A50"/>
    <w:rsid w:val="3A137DCB"/>
    <w:rsid w:val="3A255BB6"/>
    <w:rsid w:val="3A2C3682"/>
    <w:rsid w:val="3A5B0C48"/>
    <w:rsid w:val="3A81002D"/>
    <w:rsid w:val="3A9F58C9"/>
    <w:rsid w:val="3AEA6DAB"/>
    <w:rsid w:val="3B0A24EB"/>
    <w:rsid w:val="3B255E69"/>
    <w:rsid w:val="3B3F6BC7"/>
    <w:rsid w:val="3B6C6D09"/>
    <w:rsid w:val="3B9D2E91"/>
    <w:rsid w:val="3BA0603B"/>
    <w:rsid w:val="3BB73898"/>
    <w:rsid w:val="3BC21C9A"/>
    <w:rsid w:val="3BCE1685"/>
    <w:rsid w:val="3BD808EC"/>
    <w:rsid w:val="3BF55114"/>
    <w:rsid w:val="3C0412CE"/>
    <w:rsid w:val="3C074AB7"/>
    <w:rsid w:val="3C082B05"/>
    <w:rsid w:val="3C175640"/>
    <w:rsid w:val="3C222884"/>
    <w:rsid w:val="3C241864"/>
    <w:rsid w:val="3C2A31C7"/>
    <w:rsid w:val="3C543787"/>
    <w:rsid w:val="3C883718"/>
    <w:rsid w:val="3C9C7AF6"/>
    <w:rsid w:val="3CEC0482"/>
    <w:rsid w:val="3CF96E86"/>
    <w:rsid w:val="3D240DAA"/>
    <w:rsid w:val="3D270F90"/>
    <w:rsid w:val="3D4E29E8"/>
    <w:rsid w:val="3DA17CA0"/>
    <w:rsid w:val="3DC45F76"/>
    <w:rsid w:val="3DF5462E"/>
    <w:rsid w:val="3E3F3A5C"/>
    <w:rsid w:val="3E5EA7CB"/>
    <w:rsid w:val="3E9F334C"/>
    <w:rsid w:val="3EB209EE"/>
    <w:rsid w:val="3EC16864"/>
    <w:rsid w:val="3ED27A5A"/>
    <w:rsid w:val="3EE577FF"/>
    <w:rsid w:val="3F073FB4"/>
    <w:rsid w:val="3F334952"/>
    <w:rsid w:val="3F375D8E"/>
    <w:rsid w:val="3F4573BE"/>
    <w:rsid w:val="3F6A34AA"/>
    <w:rsid w:val="3F9470DC"/>
    <w:rsid w:val="3FB25FE2"/>
    <w:rsid w:val="3FBE5ADB"/>
    <w:rsid w:val="3FF75698"/>
    <w:rsid w:val="3FFE4568"/>
    <w:rsid w:val="40092ADD"/>
    <w:rsid w:val="40273E8A"/>
    <w:rsid w:val="40922B16"/>
    <w:rsid w:val="40F17CD8"/>
    <w:rsid w:val="40F40A75"/>
    <w:rsid w:val="411B6C41"/>
    <w:rsid w:val="4143359F"/>
    <w:rsid w:val="414C19A2"/>
    <w:rsid w:val="414F52C6"/>
    <w:rsid w:val="41676AB4"/>
    <w:rsid w:val="419B7A80"/>
    <w:rsid w:val="41CE710B"/>
    <w:rsid w:val="41E06866"/>
    <w:rsid w:val="41EC6815"/>
    <w:rsid w:val="41F02BD4"/>
    <w:rsid w:val="41F42F90"/>
    <w:rsid w:val="42154BAE"/>
    <w:rsid w:val="421B7BC4"/>
    <w:rsid w:val="424C2FD9"/>
    <w:rsid w:val="42621029"/>
    <w:rsid w:val="4295453E"/>
    <w:rsid w:val="433B4132"/>
    <w:rsid w:val="433E3F6A"/>
    <w:rsid w:val="43487777"/>
    <w:rsid w:val="436770A3"/>
    <w:rsid w:val="43685EA2"/>
    <w:rsid w:val="4380313A"/>
    <w:rsid w:val="43C226BA"/>
    <w:rsid w:val="43CB0156"/>
    <w:rsid w:val="43CD56CA"/>
    <w:rsid w:val="43E828F9"/>
    <w:rsid w:val="43F72231"/>
    <w:rsid w:val="44400DB8"/>
    <w:rsid w:val="447D2290"/>
    <w:rsid w:val="447E1DFB"/>
    <w:rsid w:val="44F521DC"/>
    <w:rsid w:val="45091C30"/>
    <w:rsid w:val="45176899"/>
    <w:rsid w:val="453212A8"/>
    <w:rsid w:val="454621A3"/>
    <w:rsid w:val="45661279"/>
    <w:rsid w:val="45710FED"/>
    <w:rsid w:val="457F2A42"/>
    <w:rsid w:val="45B34BE2"/>
    <w:rsid w:val="45E52447"/>
    <w:rsid w:val="46515F03"/>
    <w:rsid w:val="467C702F"/>
    <w:rsid w:val="46C2744B"/>
    <w:rsid w:val="46D71FE6"/>
    <w:rsid w:val="4710374A"/>
    <w:rsid w:val="47251A5B"/>
    <w:rsid w:val="47602E94"/>
    <w:rsid w:val="476814B2"/>
    <w:rsid w:val="4777377B"/>
    <w:rsid w:val="478A0415"/>
    <w:rsid w:val="47B31E12"/>
    <w:rsid w:val="47CC34D9"/>
    <w:rsid w:val="47DD4117"/>
    <w:rsid w:val="47EE32CC"/>
    <w:rsid w:val="47F96E1E"/>
    <w:rsid w:val="481918C7"/>
    <w:rsid w:val="481B3258"/>
    <w:rsid w:val="48274180"/>
    <w:rsid w:val="482A78A6"/>
    <w:rsid w:val="48966425"/>
    <w:rsid w:val="489B1E35"/>
    <w:rsid w:val="48A867E8"/>
    <w:rsid w:val="48BD2B6B"/>
    <w:rsid w:val="48C2394B"/>
    <w:rsid w:val="48E54FA5"/>
    <w:rsid w:val="492B0EAD"/>
    <w:rsid w:val="492F72BF"/>
    <w:rsid w:val="495B6B96"/>
    <w:rsid w:val="49B91E77"/>
    <w:rsid w:val="49E80EBE"/>
    <w:rsid w:val="49F423B8"/>
    <w:rsid w:val="4A212085"/>
    <w:rsid w:val="4A2F4392"/>
    <w:rsid w:val="4A59469F"/>
    <w:rsid w:val="4A5C36A4"/>
    <w:rsid w:val="4AA76A98"/>
    <w:rsid w:val="4AC42FA7"/>
    <w:rsid w:val="4B125CE2"/>
    <w:rsid w:val="4B3D0610"/>
    <w:rsid w:val="4B454957"/>
    <w:rsid w:val="4B4C1DFC"/>
    <w:rsid w:val="4B59019E"/>
    <w:rsid w:val="4B5F0D20"/>
    <w:rsid w:val="4B782CDC"/>
    <w:rsid w:val="4BAD7D32"/>
    <w:rsid w:val="4BDF16BD"/>
    <w:rsid w:val="4C060C0F"/>
    <w:rsid w:val="4C087364"/>
    <w:rsid w:val="4C4E31A9"/>
    <w:rsid w:val="4C684B59"/>
    <w:rsid w:val="4C871DB8"/>
    <w:rsid w:val="4C946A29"/>
    <w:rsid w:val="4CC96874"/>
    <w:rsid w:val="4CCB647B"/>
    <w:rsid w:val="4D157B84"/>
    <w:rsid w:val="4D2A72F1"/>
    <w:rsid w:val="4D4975AE"/>
    <w:rsid w:val="4D5432A5"/>
    <w:rsid w:val="4D68421D"/>
    <w:rsid w:val="4D900C6E"/>
    <w:rsid w:val="4D954D87"/>
    <w:rsid w:val="4DCB34AF"/>
    <w:rsid w:val="4E141D71"/>
    <w:rsid w:val="4E3C13B9"/>
    <w:rsid w:val="4E492C3D"/>
    <w:rsid w:val="4E531BC0"/>
    <w:rsid w:val="4E697602"/>
    <w:rsid w:val="4E7113B6"/>
    <w:rsid w:val="4E7805F4"/>
    <w:rsid w:val="4EAD6D9C"/>
    <w:rsid w:val="4EDF1907"/>
    <w:rsid w:val="4EEE58ED"/>
    <w:rsid w:val="4EFBC2F8"/>
    <w:rsid w:val="4F714FA1"/>
    <w:rsid w:val="4F763512"/>
    <w:rsid w:val="4F9D0377"/>
    <w:rsid w:val="4FB87F18"/>
    <w:rsid w:val="4FC122E5"/>
    <w:rsid w:val="503C5DA7"/>
    <w:rsid w:val="504A7CCC"/>
    <w:rsid w:val="504D12C9"/>
    <w:rsid w:val="506E16DE"/>
    <w:rsid w:val="507F159F"/>
    <w:rsid w:val="509B7E40"/>
    <w:rsid w:val="50C82E97"/>
    <w:rsid w:val="50D551D6"/>
    <w:rsid w:val="50FE1AA4"/>
    <w:rsid w:val="512114CB"/>
    <w:rsid w:val="51354413"/>
    <w:rsid w:val="513A5934"/>
    <w:rsid w:val="51710F06"/>
    <w:rsid w:val="51733290"/>
    <w:rsid w:val="518024E4"/>
    <w:rsid w:val="519D5EB9"/>
    <w:rsid w:val="51AA7DC4"/>
    <w:rsid w:val="51C35401"/>
    <w:rsid w:val="51EF2F63"/>
    <w:rsid w:val="51FE0D6E"/>
    <w:rsid w:val="5206030D"/>
    <w:rsid w:val="521E1DC7"/>
    <w:rsid w:val="526A0045"/>
    <w:rsid w:val="52832490"/>
    <w:rsid w:val="52A55EF5"/>
    <w:rsid w:val="52A66ABC"/>
    <w:rsid w:val="52A73A47"/>
    <w:rsid w:val="52C6234B"/>
    <w:rsid w:val="52FE2DB6"/>
    <w:rsid w:val="530E5BC1"/>
    <w:rsid w:val="53232216"/>
    <w:rsid w:val="532D102F"/>
    <w:rsid w:val="53472AD6"/>
    <w:rsid w:val="536B5669"/>
    <w:rsid w:val="53760194"/>
    <w:rsid w:val="53AA6D84"/>
    <w:rsid w:val="53CE3D31"/>
    <w:rsid w:val="53EB4884"/>
    <w:rsid w:val="54083235"/>
    <w:rsid w:val="54273E81"/>
    <w:rsid w:val="542B03F1"/>
    <w:rsid w:val="544814C3"/>
    <w:rsid w:val="544E4124"/>
    <w:rsid w:val="546A300E"/>
    <w:rsid w:val="54890277"/>
    <w:rsid w:val="551D498C"/>
    <w:rsid w:val="55633225"/>
    <w:rsid w:val="556C606F"/>
    <w:rsid w:val="5588094F"/>
    <w:rsid w:val="55C179EF"/>
    <w:rsid w:val="5646342B"/>
    <w:rsid w:val="56556EAB"/>
    <w:rsid w:val="56661B4F"/>
    <w:rsid w:val="566B09F8"/>
    <w:rsid w:val="56B934B6"/>
    <w:rsid w:val="56CE36A4"/>
    <w:rsid w:val="56DB5D26"/>
    <w:rsid w:val="56F55C7F"/>
    <w:rsid w:val="57297969"/>
    <w:rsid w:val="57576ED8"/>
    <w:rsid w:val="57731A2E"/>
    <w:rsid w:val="579D47B6"/>
    <w:rsid w:val="57B40121"/>
    <w:rsid w:val="57BA58AD"/>
    <w:rsid w:val="57FF1022"/>
    <w:rsid w:val="582A331A"/>
    <w:rsid w:val="583A4AD3"/>
    <w:rsid w:val="586B44C0"/>
    <w:rsid w:val="58704048"/>
    <w:rsid w:val="588B4D68"/>
    <w:rsid w:val="58BA3FAB"/>
    <w:rsid w:val="58CC44BC"/>
    <w:rsid w:val="58DA37D1"/>
    <w:rsid w:val="58DC779F"/>
    <w:rsid w:val="58E568AC"/>
    <w:rsid w:val="59232B6A"/>
    <w:rsid w:val="595E2319"/>
    <w:rsid w:val="59A34455"/>
    <w:rsid w:val="5AB4435C"/>
    <w:rsid w:val="5ACF7CF2"/>
    <w:rsid w:val="5AFF7BBE"/>
    <w:rsid w:val="5B251E87"/>
    <w:rsid w:val="5B2A73AC"/>
    <w:rsid w:val="5B4B3363"/>
    <w:rsid w:val="5B600B20"/>
    <w:rsid w:val="5B677A20"/>
    <w:rsid w:val="5B6F2EC4"/>
    <w:rsid w:val="5B8D6974"/>
    <w:rsid w:val="5BB827B9"/>
    <w:rsid w:val="5BC379A3"/>
    <w:rsid w:val="5BC5549E"/>
    <w:rsid w:val="5BCF63C7"/>
    <w:rsid w:val="5BFF5C07"/>
    <w:rsid w:val="5C337866"/>
    <w:rsid w:val="5C551EDA"/>
    <w:rsid w:val="5C5A1C17"/>
    <w:rsid w:val="5C62014C"/>
    <w:rsid w:val="5C6E3E55"/>
    <w:rsid w:val="5CAE15E3"/>
    <w:rsid w:val="5CC728D5"/>
    <w:rsid w:val="5CDC6150"/>
    <w:rsid w:val="5CF243F8"/>
    <w:rsid w:val="5D317F73"/>
    <w:rsid w:val="5D3B79D9"/>
    <w:rsid w:val="5D472462"/>
    <w:rsid w:val="5D515621"/>
    <w:rsid w:val="5D72222B"/>
    <w:rsid w:val="5D80415D"/>
    <w:rsid w:val="5D804F27"/>
    <w:rsid w:val="5DBD0569"/>
    <w:rsid w:val="5DBFF9E4"/>
    <w:rsid w:val="5E12429F"/>
    <w:rsid w:val="5E841283"/>
    <w:rsid w:val="5EB12C39"/>
    <w:rsid w:val="5F2E4774"/>
    <w:rsid w:val="5F3B6893"/>
    <w:rsid w:val="5F3D51CF"/>
    <w:rsid w:val="5F5D6700"/>
    <w:rsid w:val="5F6E6884"/>
    <w:rsid w:val="5F780178"/>
    <w:rsid w:val="5FA600E8"/>
    <w:rsid w:val="5FAB3BB8"/>
    <w:rsid w:val="5FD31193"/>
    <w:rsid w:val="5FE9635B"/>
    <w:rsid w:val="5FF00D75"/>
    <w:rsid w:val="5FF82345"/>
    <w:rsid w:val="5FF85214"/>
    <w:rsid w:val="5FFC747C"/>
    <w:rsid w:val="60207F04"/>
    <w:rsid w:val="602821CF"/>
    <w:rsid w:val="60453032"/>
    <w:rsid w:val="60514A9F"/>
    <w:rsid w:val="605468E7"/>
    <w:rsid w:val="606E56A4"/>
    <w:rsid w:val="607067D0"/>
    <w:rsid w:val="60A45FA4"/>
    <w:rsid w:val="60A76232"/>
    <w:rsid w:val="60D159A5"/>
    <w:rsid w:val="60D932D3"/>
    <w:rsid w:val="60DE6B1A"/>
    <w:rsid w:val="60E119FB"/>
    <w:rsid w:val="60E70F31"/>
    <w:rsid w:val="60F15B83"/>
    <w:rsid w:val="61463107"/>
    <w:rsid w:val="614C4F26"/>
    <w:rsid w:val="61566485"/>
    <w:rsid w:val="615E1233"/>
    <w:rsid w:val="617156A9"/>
    <w:rsid w:val="619C0E57"/>
    <w:rsid w:val="61D00D3E"/>
    <w:rsid w:val="61D60947"/>
    <w:rsid w:val="61EC7E3E"/>
    <w:rsid w:val="621F0284"/>
    <w:rsid w:val="624F32AC"/>
    <w:rsid w:val="62685D90"/>
    <w:rsid w:val="62945969"/>
    <w:rsid w:val="62AE4D58"/>
    <w:rsid w:val="62EA6C3F"/>
    <w:rsid w:val="63483F0E"/>
    <w:rsid w:val="63556314"/>
    <w:rsid w:val="63697D6A"/>
    <w:rsid w:val="638A135B"/>
    <w:rsid w:val="63936295"/>
    <w:rsid w:val="63955CA6"/>
    <w:rsid w:val="641A55BD"/>
    <w:rsid w:val="6426273F"/>
    <w:rsid w:val="64275926"/>
    <w:rsid w:val="643563FA"/>
    <w:rsid w:val="645E7078"/>
    <w:rsid w:val="64836EB1"/>
    <w:rsid w:val="648C543B"/>
    <w:rsid w:val="64AD1EF0"/>
    <w:rsid w:val="64BA1892"/>
    <w:rsid w:val="64CE7499"/>
    <w:rsid w:val="64E9279D"/>
    <w:rsid w:val="651D2487"/>
    <w:rsid w:val="653511FC"/>
    <w:rsid w:val="653D1756"/>
    <w:rsid w:val="654B3E73"/>
    <w:rsid w:val="656A7223"/>
    <w:rsid w:val="657E7F74"/>
    <w:rsid w:val="658F129B"/>
    <w:rsid w:val="65BF6C45"/>
    <w:rsid w:val="65C63C68"/>
    <w:rsid w:val="65DD5380"/>
    <w:rsid w:val="65F35721"/>
    <w:rsid w:val="66542198"/>
    <w:rsid w:val="667751E4"/>
    <w:rsid w:val="667F3388"/>
    <w:rsid w:val="66AB5C09"/>
    <w:rsid w:val="66B53CB9"/>
    <w:rsid w:val="66BE66DD"/>
    <w:rsid w:val="66C355CB"/>
    <w:rsid w:val="66F132BE"/>
    <w:rsid w:val="67305992"/>
    <w:rsid w:val="674E7C4A"/>
    <w:rsid w:val="676C1E7F"/>
    <w:rsid w:val="676E5BF7"/>
    <w:rsid w:val="67826FF1"/>
    <w:rsid w:val="679F4A2F"/>
    <w:rsid w:val="67A36C5B"/>
    <w:rsid w:val="67B01CAC"/>
    <w:rsid w:val="67B1772D"/>
    <w:rsid w:val="67C61A4C"/>
    <w:rsid w:val="67FB10DE"/>
    <w:rsid w:val="684E58C1"/>
    <w:rsid w:val="688569A2"/>
    <w:rsid w:val="68C937F3"/>
    <w:rsid w:val="68E61E93"/>
    <w:rsid w:val="68F03A86"/>
    <w:rsid w:val="693C2592"/>
    <w:rsid w:val="693C578C"/>
    <w:rsid w:val="696F7F93"/>
    <w:rsid w:val="697125DA"/>
    <w:rsid w:val="69792E00"/>
    <w:rsid w:val="699776AF"/>
    <w:rsid w:val="69BF37A7"/>
    <w:rsid w:val="69FF0E42"/>
    <w:rsid w:val="6A022064"/>
    <w:rsid w:val="6A1A6936"/>
    <w:rsid w:val="6A626179"/>
    <w:rsid w:val="6AB15A99"/>
    <w:rsid w:val="6AC5684F"/>
    <w:rsid w:val="6AEC301A"/>
    <w:rsid w:val="6B261C24"/>
    <w:rsid w:val="6B4738DF"/>
    <w:rsid w:val="6B6F5E18"/>
    <w:rsid w:val="6B726E90"/>
    <w:rsid w:val="6B7D28AC"/>
    <w:rsid w:val="6B9B5BF9"/>
    <w:rsid w:val="6BA10F3B"/>
    <w:rsid w:val="6BB35AC8"/>
    <w:rsid w:val="6BE7BE23"/>
    <w:rsid w:val="6BF70BD1"/>
    <w:rsid w:val="6C141DD0"/>
    <w:rsid w:val="6C15710A"/>
    <w:rsid w:val="6C3D6737"/>
    <w:rsid w:val="6C3E27AC"/>
    <w:rsid w:val="6C416D9E"/>
    <w:rsid w:val="6C443479"/>
    <w:rsid w:val="6C7C5D96"/>
    <w:rsid w:val="6C8B0FF9"/>
    <w:rsid w:val="6C8D581D"/>
    <w:rsid w:val="6CC85DA9"/>
    <w:rsid w:val="6CCC404E"/>
    <w:rsid w:val="6CE1032F"/>
    <w:rsid w:val="6CE94ACA"/>
    <w:rsid w:val="6CFA46F6"/>
    <w:rsid w:val="6D7076B8"/>
    <w:rsid w:val="6D7766A6"/>
    <w:rsid w:val="6D88547B"/>
    <w:rsid w:val="6D9433CF"/>
    <w:rsid w:val="6DAB24ED"/>
    <w:rsid w:val="6DAF3B3D"/>
    <w:rsid w:val="6DC006B4"/>
    <w:rsid w:val="6DC24EEE"/>
    <w:rsid w:val="6DEC07A8"/>
    <w:rsid w:val="6DFFCC2C"/>
    <w:rsid w:val="6E1113A9"/>
    <w:rsid w:val="6E517C93"/>
    <w:rsid w:val="6E684063"/>
    <w:rsid w:val="6EBE1E3F"/>
    <w:rsid w:val="6ED01DC1"/>
    <w:rsid w:val="6EF14CFB"/>
    <w:rsid w:val="6EF57B8C"/>
    <w:rsid w:val="6EF61A2E"/>
    <w:rsid w:val="6F065D13"/>
    <w:rsid w:val="6F2B6AC3"/>
    <w:rsid w:val="6F2F413A"/>
    <w:rsid w:val="6F3B1E30"/>
    <w:rsid w:val="6F567934"/>
    <w:rsid w:val="6F6716DB"/>
    <w:rsid w:val="6FA80942"/>
    <w:rsid w:val="6FC41F27"/>
    <w:rsid w:val="6FC54822"/>
    <w:rsid w:val="6FE16C48"/>
    <w:rsid w:val="700554C7"/>
    <w:rsid w:val="70281198"/>
    <w:rsid w:val="70425F0C"/>
    <w:rsid w:val="70575B74"/>
    <w:rsid w:val="70951216"/>
    <w:rsid w:val="70B437C7"/>
    <w:rsid w:val="70BC19AB"/>
    <w:rsid w:val="70BF3441"/>
    <w:rsid w:val="70C22EAB"/>
    <w:rsid w:val="70D340EB"/>
    <w:rsid w:val="712F289B"/>
    <w:rsid w:val="716F5157"/>
    <w:rsid w:val="718A79D3"/>
    <w:rsid w:val="718E2F87"/>
    <w:rsid w:val="719A116C"/>
    <w:rsid w:val="71B21C77"/>
    <w:rsid w:val="71C4033C"/>
    <w:rsid w:val="71C801FE"/>
    <w:rsid w:val="71CB3CCA"/>
    <w:rsid w:val="71DE2805"/>
    <w:rsid w:val="71F1119B"/>
    <w:rsid w:val="72482ECC"/>
    <w:rsid w:val="7263218B"/>
    <w:rsid w:val="726F7C81"/>
    <w:rsid w:val="7298446F"/>
    <w:rsid w:val="72B8241C"/>
    <w:rsid w:val="72EF7B9B"/>
    <w:rsid w:val="72F522E4"/>
    <w:rsid w:val="7304153C"/>
    <w:rsid w:val="73776286"/>
    <w:rsid w:val="73992FB6"/>
    <w:rsid w:val="73CB43CD"/>
    <w:rsid w:val="73D6189B"/>
    <w:rsid w:val="73E34FB6"/>
    <w:rsid w:val="73ED340A"/>
    <w:rsid w:val="73FA42D5"/>
    <w:rsid w:val="745330CC"/>
    <w:rsid w:val="748527D2"/>
    <w:rsid w:val="74A0563A"/>
    <w:rsid w:val="74A40F3B"/>
    <w:rsid w:val="74DC38FB"/>
    <w:rsid w:val="754F2CA7"/>
    <w:rsid w:val="75527EEC"/>
    <w:rsid w:val="755502BA"/>
    <w:rsid w:val="758F436B"/>
    <w:rsid w:val="75927074"/>
    <w:rsid w:val="75A901DF"/>
    <w:rsid w:val="75BB778B"/>
    <w:rsid w:val="75BE41ED"/>
    <w:rsid w:val="75E21136"/>
    <w:rsid w:val="75EF348B"/>
    <w:rsid w:val="76202734"/>
    <w:rsid w:val="76262F21"/>
    <w:rsid w:val="76985EA2"/>
    <w:rsid w:val="76B50E2E"/>
    <w:rsid w:val="76E50783"/>
    <w:rsid w:val="76FB321F"/>
    <w:rsid w:val="770A76EF"/>
    <w:rsid w:val="773D6723"/>
    <w:rsid w:val="773EDF55"/>
    <w:rsid w:val="773F6C53"/>
    <w:rsid w:val="77680519"/>
    <w:rsid w:val="777D56B0"/>
    <w:rsid w:val="77857AD3"/>
    <w:rsid w:val="7788023D"/>
    <w:rsid w:val="77984C34"/>
    <w:rsid w:val="77B34420"/>
    <w:rsid w:val="77D45F4A"/>
    <w:rsid w:val="77F0288E"/>
    <w:rsid w:val="78023B59"/>
    <w:rsid w:val="781607D3"/>
    <w:rsid w:val="78166004"/>
    <w:rsid w:val="783C6272"/>
    <w:rsid w:val="784334CD"/>
    <w:rsid w:val="78476440"/>
    <w:rsid w:val="784F3EEE"/>
    <w:rsid w:val="787B5B51"/>
    <w:rsid w:val="78861966"/>
    <w:rsid w:val="78CD7DB8"/>
    <w:rsid w:val="793748BE"/>
    <w:rsid w:val="794C73BE"/>
    <w:rsid w:val="796F6CE8"/>
    <w:rsid w:val="79891112"/>
    <w:rsid w:val="79951709"/>
    <w:rsid w:val="79DA2290"/>
    <w:rsid w:val="79E177C8"/>
    <w:rsid w:val="79F94BD0"/>
    <w:rsid w:val="79FF1F73"/>
    <w:rsid w:val="7A3C7DD6"/>
    <w:rsid w:val="7A3D68A0"/>
    <w:rsid w:val="7A512DFD"/>
    <w:rsid w:val="7A835D6F"/>
    <w:rsid w:val="7AD47ACF"/>
    <w:rsid w:val="7ADA324A"/>
    <w:rsid w:val="7AED06C1"/>
    <w:rsid w:val="7AF358B3"/>
    <w:rsid w:val="7B6349AC"/>
    <w:rsid w:val="7B7D4B0E"/>
    <w:rsid w:val="7BC148A9"/>
    <w:rsid w:val="7BCB1412"/>
    <w:rsid w:val="7BF479F3"/>
    <w:rsid w:val="7C0D37D8"/>
    <w:rsid w:val="7C1156AC"/>
    <w:rsid w:val="7C541A59"/>
    <w:rsid w:val="7C6E6F4A"/>
    <w:rsid w:val="7C9106EB"/>
    <w:rsid w:val="7CF4298E"/>
    <w:rsid w:val="7CFC361E"/>
    <w:rsid w:val="7D2528FB"/>
    <w:rsid w:val="7D2A018E"/>
    <w:rsid w:val="7DADE6E3"/>
    <w:rsid w:val="7DB17695"/>
    <w:rsid w:val="7DB40F9E"/>
    <w:rsid w:val="7DBC52CC"/>
    <w:rsid w:val="7DC2FED9"/>
    <w:rsid w:val="7DDF11A4"/>
    <w:rsid w:val="7E3F7995"/>
    <w:rsid w:val="7E5A5C46"/>
    <w:rsid w:val="7E6318C3"/>
    <w:rsid w:val="7E845069"/>
    <w:rsid w:val="7E9645F3"/>
    <w:rsid w:val="7EAB552B"/>
    <w:rsid w:val="7ED379A0"/>
    <w:rsid w:val="7F130AD8"/>
    <w:rsid w:val="7F1E1C3B"/>
    <w:rsid w:val="7F514E35"/>
    <w:rsid w:val="7F657B78"/>
    <w:rsid w:val="7F8414F9"/>
    <w:rsid w:val="7F9134E2"/>
    <w:rsid w:val="7FB07C38"/>
    <w:rsid w:val="7FD72E92"/>
    <w:rsid w:val="7FEB6F1E"/>
    <w:rsid w:val="99FEE58D"/>
    <w:rsid w:val="9FDFDEBE"/>
    <w:rsid w:val="B45A1CAD"/>
    <w:rsid w:val="BDFCB2A9"/>
    <w:rsid w:val="BEBA5D2B"/>
    <w:rsid w:val="BF3712CA"/>
    <w:rsid w:val="BF3F7276"/>
    <w:rsid w:val="BFDD8787"/>
    <w:rsid w:val="CFCA35F2"/>
    <w:rsid w:val="DEBB165A"/>
    <w:rsid w:val="E5BB601E"/>
    <w:rsid w:val="E77FDEC2"/>
    <w:rsid w:val="E7AE1A0A"/>
    <w:rsid w:val="F42FEB0C"/>
    <w:rsid w:val="F9BBF56D"/>
    <w:rsid w:val="FE6D3C49"/>
    <w:rsid w:val="FE7FE423"/>
    <w:rsid w:val="FEBD117F"/>
    <w:rsid w:val="FFDB6990"/>
    <w:rsid w:val="FFEFF014"/>
    <w:rsid w:val="FFF9CD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0"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semiHidden="0" w:name="Body Text 2"/>
    <w:lsdException w:qFormat="1" w:unhideWhenUsed="0" w:uiPriority="99" w:semiHidden="0" w:name="Body Text 3"/>
    <w:lsdException w:qFormat="1" w:uiPriority="99" w:semiHidden="0" w:name="Body Text Indent 2"/>
    <w:lsdException w:qFormat="1"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7"/>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68"/>
    <w:qFormat/>
    <w:uiPriority w:val="0"/>
    <w:pPr>
      <w:keepNext/>
      <w:keepLines/>
      <w:numPr>
        <w:ilvl w:val="0"/>
        <w:numId w:val="1"/>
      </w:numPr>
      <w:tabs>
        <w:tab w:val="left" w:pos="425"/>
      </w:tabs>
      <w:adjustRightInd w:val="0"/>
      <w:snapToGrid w:val="0"/>
      <w:spacing w:line="360" w:lineRule="auto"/>
      <w:outlineLvl w:val="1"/>
    </w:pPr>
    <w:rPr>
      <w:rFonts w:ascii="宋体" w:hAnsi="Arial"/>
      <w:b/>
      <w:sz w:val="28"/>
      <w:szCs w:val="28"/>
    </w:rPr>
  </w:style>
  <w:style w:type="paragraph" w:styleId="4">
    <w:name w:val="heading 3"/>
    <w:basedOn w:val="1"/>
    <w:next w:val="1"/>
    <w:link w:val="69"/>
    <w:qFormat/>
    <w:uiPriority w:val="0"/>
    <w:pPr>
      <w:keepNext/>
      <w:keepLines/>
      <w:spacing w:before="260" w:after="260" w:line="416" w:lineRule="auto"/>
      <w:outlineLvl w:val="2"/>
    </w:pPr>
    <w:rPr>
      <w:b/>
      <w:bCs/>
      <w:sz w:val="32"/>
      <w:szCs w:val="32"/>
    </w:rPr>
  </w:style>
  <w:style w:type="paragraph" w:styleId="5">
    <w:name w:val="heading 4"/>
    <w:basedOn w:val="1"/>
    <w:next w:val="1"/>
    <w:link w:val="70"/>
    <w:qFormat/>
    <w:uiPriority w:val="0"/>
    <w:pPr>
      <w:keepNext/>
      <w:keepLines/>
      <w:widowControl/>
      <w:tabs>
        <w:tab w:val="left" w:pos="864"/>
        <w:tab w:val="left" w:pos="1680"/>
      </w:tabs>
      <w:spacing w:before="280" w:after="290" w:line="374" w:lineRule="auto"/>
      <w:ind w:left="1680" w:hanging="420"/>
      <w:jc w:val="left"/>
      <w:outlineLvl w:val="3"/>
    </w:pPr>
    <w:rPr>
      <w:rFonts w:ascii="Arial" w:hAnsi="Arial" w:eastAsia="黑体"/>
      <w:b/>
      <w:sz w:val="28"/>
      <w:szCs w:val="24"/>
    </w:rPr>
  </w:style>
  <w:style w:type="paragraph" w:styleId="6">
    <w:name w:val="heading 5"/>
    <w:basedOn w:val="1"/>
    <w:next w:val="1"/>
    <w:link w:val="71"/>
    <w:qFormat/>
    <w:uiPriority w:val="0"/>
    <w:pPr>
      <w:keepNext/>
      <w:keepLines/>
      <w:widowControl/>
      <w:tabs>
        <w:tab w:val="left" w:pos="1008"/>
        <w:tab w:val="left" w:pos="2100"/>
      </w:tabs>
      <w:spacing w:before="280" w:after="290" w:line="374" w:lineRule="auto"/>
      <w:ind w:left="2100" w:hanging="420"/>
      <w:jc w:val="left"/>
      <w:outlineLvl w:val="4"/>
    </w:pPr>
    <w:rPr>
      <w:b/>
      <w:sz w:val="28"/>
      <w:szCs w:val="24"/>
    </w:rPr>
  </w:style>
  <w:style w:type="paragraph" w:styleId="7">
    <w:name w:val="heading 6"/>
    <w:basedOn w:val="1"/>
    <w:next w:val="1"/>
    <w:link w:val="72"/>
    <w:qFormat/>
    <w:uiPriority w:val="0"/>
    <w:pPr>
      <w:keepNext/>
      <w:keepLines/>
      <w:widowControl/>
      <w:tabs>
        <w:tab w:val="left" w:pos="1152"/>
        <w:tab w:val="left" w:pos="2520"/>
      </w:tabs>
      <w:spacing w:before="240" w:after="64" w:line="319" w:lineRule="auto"/>
      <w:ind w:left="2520" w:hanging="420"/>
      <w:jc w:val="left"/>
      <w:outlineLvl w:val="5"/>
    </w:pPr>
    <w:rPr>
      <w:rFonts w:ascii="Arial" w:hAnsi="Arial" w:eastAsia="黑体"/>
      <w:b/>
      <w:sz w:val="24"/>
      <w:szCs w:val="24"/>
    </w:rPr>
  </w:style>
  <w:style w:type="paragraph" w:styleId="8">
    <w:name w:val="heading 7"/>
    <w:basedOn w:val="1"/>
    <w:next w:val="1"/>
    <w:link w:val="73"/>
    <w:qFormat/>
    <w:uiPriority w:val="0"/>
    <w:pPr>
      <w:keepNext/>
      <w:keepLines/>
      <w:widowControl/>
      <w:tabs>
        <w:tab w:val="left" w:pos="1296"/>
        <w:tab w:val="left" w:pos="2940"/>
      </w:tabs>
      <w:spacing w:before="240" w:after="64" w:line="319" w:lineRule="auto"/>
      <w:ind w:left="2940" w:hanging="420"/>
      <w:jc w:val="left"/>
      <w:outlineLvl w:val="6"/>
    </w:pPr>
    <w:rPr>
      <w:b/>
      <w:sz w:val="24"/>
      <w:szCs w:val="24"/>
    </w:rPr>
  </w:style>
  <w:style w:type="paragraph" w:styleId="9">
    <w:name w:val="heading 8"/>
    <w:basedOn w:val="1"/>
    <w:next w:val="1"/>
    <w:link w:val="74"/>
    <w:qFormat/>
    <w:uiPriority w:val="0"/>
    <w:pPr>
      <w:keepNext/>
      <w:keepLines/>
      <w:widowControl/>
      <w:tabs>
        <w:tab w:val="left" w:pos="1440"/>
        <w:tab w:val="left" w:pos="3360"/>
      </w:tabs>
      <w:spacing w:before="240" w:after="64" w:line="319" w:lineRule="auto"/>
      <w:ind w:left="3360" w:hanging="420"/>
      <w:jc w:val="left"/>
      <w:outlineLvl w:val="7"/>
    </w:pPr>
    <w:rPr>
      <w:rFonts w:ascii="Arial" w:hAnsi="Arial" w:eastAsia="黑体"/>
      <w:sz w:val="24"/>
      <w:szCs w:val="24"/>
    </w:rPr>
  </w:style>
  <w:style w:type="paragraph" w:styleId="10">
    <w:name w:val="heading 9"/>
    <w:basedOn w:val="1"/>
    <w:next w:val="1"/>
    <w:link w:val="75"/>
    <w:qFormat/>
    <w:uiPriority w:val="0"/>
    <w:pPr>
      <w:keepNext/>
      <w:keepLines/>
      <w:widowControl/>
      <w:tabs>
        <w:tab w:val="left" w:pos="1584"/>
        <w:tab w:val="left" w:pos="3780"/>
      </w:tabs>
      <w:spacing w:before="240" w:after="64" w:line="319" w:lineRule="auto"/>
      <w:ind w:left="3780" w:hanging="420"/>
      <w:jc w:val="left"/>
      <w:outlineLvl w:val="8"/>
    </w:pPr>
    <w:rPr>
      <w:rFonts w:ascii="Arial" w:hAnsi="Arial" w:eastAsia="黑体"/>
      <w:szCs w:val="24"/>
    </w:rPr>
  </w:style>
  <w:style w:type="character" w:default="1" w:styleId="55">
    <w:name w:val="Default Paragraph Font"/>
    <w:unhideWhenUsed/>
    <w:qFormat/>
    <w:uiPriority w:val="0"/>
    <w:rPr>
      <w:kern w:val="2"/>
      <w:sz w:val="24"/>
      <w:szCs w:val="24"/>
    </w:rPr>
  </w:style>
  <w:style w:type="table" w:default="1" w:styleId="53">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spacing w:line="360" w:lineRule="auto"/>
      <w:ind w:left="100" w:leftChars="400" w:hanging="200" w:hangingChars="200"/>
    </w:pPr>
    <w:rPr>
      <w:rFonts w:ascii="Calibri" w:hAnsi="Calibri"/>
      <w:sz w:val="24"/>
      <w:szCs w:val="22"/>
    </w:rPr>
  </w:style>
  <w:style w:type="paragraph" w:styleId="12">
    <w:name w:val="toc 7"/>
    <w:basedOn w:val="1"/>
    <w:next w:val="1"/>
    <w:unhideWhenUsed/>
    <w:qFormat/>
    <w:uiPriority w:val="39"/>
    <w:pPr>
      <w:ind w:left="2520" w:leftChars="1200"/>
    </w:pPr>
    <w:rPr>
      <w:rFonts w:ascii="Calibri" w:hAnsi="Calibri" w:eastAsia="宋体" w:cs="Times New Roman"/>
      <w:szCs w:val="22"/>
    </w:rPr>
  </w:style>
  <w:style w:type="paragraph" w:styleId="13">
    <w:name w:val="table of authorities"/>
    <w:basedOn w:val="1"/>
    <w:next w:val="1"/>
    <w:unhideWhenUsed/>
    <w:qFormat/>
    <w:uiPriority w:val="99"/>
    <w:pPr>
      <w:ind w:left="420" w:leftChars="200"/>
    </w:pPr>
  </w:style>
  <w:style w:type="paragraph" w:styleId="14">
    <w:name w:val="Normal Indent"/>
    <w:basedOn w:val="1"/>
    <w:link w:val="76"/>
    <w:qFormat/>
    <w:uiPriority w:val="0"/>
    <w:pPr>
      <w:ind w:firstLine="420" w:firstLineChars="200"/>
    </w:pPr>
  </w:style>
  <w:style w:type="paragraph" w:styleId="15">
    <w:name w:val="caption"/>
    <w:basedOn w:val="1"/>
    <w:next w:val="1"/>
    <w:qFormat/>
    <w:uiPriority w:val="0"/>
    <w:pPr>
      <w:spacing w:line="360" w:lineRule="auto"/>
      <w:ind w:firstLine="200" w:firstLineChars="200"/>
    </w:pPr>
    <w:rPr>
      <w:rFonts w:ascii="Arial" w:hAnsi="Arial" w:eastAsia="黑体" w:cs="Arial"/>
      <w:sz w:val="20"/>
    </w:rPr>
  </w:style>
  <w:style w:type="paragraph" w:styleId="16">
    <w:name w:val="Document Map"/>
    <w:basedOn w:val="1"/>
    <w:link w:val="77"/>
    <w:qFormat/>
    <w:uiPriority w:val="99"/>
    <w:pPr>
      <w:shd w:val="clear" w:color="auto" w:fill="000080"/>
    </w:pPr>
    <w:rPr>
      <w:szCs w:val="21"/>
    </w:rPr>
  </w:style>
  <w:style w:type="paragraph" w:styleId="17">
    <w:name w:val="toa heading"/>
    <w:basedOn w:val="1"/>
    <w:next w:val="1"/>
    <w:unhideWhenUsed/>
    <w:qFormat/>
    <w:uiPriority w:val="99"/>
    <w:pPr>
      <w:spacing w:before="120"/>
    </w:pPr>
    <w:rPr>
      <w:rFonts w:ascii="Cambria" w:hAnsi="Cambria" w:cs="Times New Roman"/>
      <w:sz w:val="24"/>
      <w:szCs w:val="24"/>
    </w:rPr>
  </w:style>
  <w:style w:type="paragraph" w:styleId="18">
    <w:name w:val="annotation text"/>
    <w:basedOn w:val="1"/>
    <w:link w:val="78"/>
    <w:unhideWhenUsed/>
    <w:qFormat/>
    <w:uiPriority w:val="99"/>
    <w:pPr>
      <w:jc w:val="left"/>
    </w:pPr>
    <w:rPr>
      <w:szCs w:val="24"/>
    </w:rPr>
  </w:style>
  <w:style w:type="paragraph" w:styleId="19">
    <w:name w:val="Body Text 3"/>
    <w:basedOn w:val="1"/>
    <w:link w:val="79"/>
    <w:qFormat/>
    <w:uiPriority w:val="99"/>
    <w:pPr>
      <w:spacing w:after="120"/>
    </w:pPr>
    <w:rPr>
      <w:sz w:val="16"/>
      <w:szCs w:val="16"/>
    </w:rPr>
  </w:style>
  <w:style w:type="paragraph" w:styleId="20">
    <w:name w:val="Body Text"/>
    <w:basedOn w:val="1"/>
    <w:next w:val="5"/>
    <w:link w:val="66"/>
    <w:qFormat/>
    <w:uiPriority w:val="99"/>
    <w:pPr>
      <w:spacing w:after="120"/>
    </w:pPr>
    <w:rPr>
      <w:szCs w:val="24"/>
    </w:rPr>
  </w:style>
  <w:style w:type="paragraph" w:styleId="21">
    <w:name w:val="Body Text Indent"/>
    <w:basedOn w:val="1"/>
    <w:next w:val="22"/>
    <w:link w:val="64"/>
    <w:qFormat/>
    <w:uiPriority w:val="99"/>
    <w:pPr>
      <w:spacing w:after="120"/>
      <w:ind w:left="420" w:leftChars="200"/>
    </w:pPr>
    <w:rPr>
      <w:szCs w:val="24"/>
    </w:rPr>
  </w:style>
  <w:style w:type="paragraph" w:styleId="22">
    <w:name w:val="envelope return"/>
    <w:basedOn w:val="1"/>
    <w:qFormat/>
    <w:uiPriority w:val="0"/>
    <w:pPr>
      <w:snapToGrid w:val="0"/>
    </w:pPr>
    <w:rPr>
      <w:rFonts w:ascii="Arial" w:hAnsi="Arial" w:eastAsia="宋体" w:cs="Times New Roman"/>
      <w:szCs w:val="24"/>
      <w:lang w:bidi="ar-SA"/>
    </w:rPr>
  </w:style>
  <w:style w:type="paragraph" w:styleId="23">
    <w:name w:val="List 2"/>
    <w:basedOn w:val="1"/>
    <w:qFormat/>
    <w:uiPriority w:val="0"/>
    <w:pPr>
      <w:ind w:left="100" w:leftChars="200" w:hanging="200" w:hangingChars="200"/>
    </w:pPr>
  </w:style>
  <w:style w:type="paragraph" w:styleId="24">
    <w:name w:val="toc 5"/>
    <w:basedOn w:val="1"/>
    <w:next w:val="1"/>
    <w:unhideWhenUsed/>
    <w:qFormat/>
    <w:uiPriority w:val="39"/>
    <w:pPr>
      <w:ind w:left="1680" w:leftChars="800"/>
    </w:pPr>
    <w:rPr>
      <w:rFonts w:ascii="Calibri" w:hAnsi="Calibri" w:eastAsia="宋体" w:cs="Times New Roman"/>
      <w:szCs w:val="22"/>
    </w:rPr>
  </w:style>
  <w:style w:type="paragraph" w:styleId="25">
    <w:name w:val="toc 3"/>
    <w:basedOn w:val="1"/>
    <w:next w:val="1"/>
    <w:unhideWhenUsed/>
    <w:qFormat/>
    <w:uiPriority w:val="39"/>
    <w:pPr>
      <w:ind w:left="420"/>
      <w:jc w:val="left"/>
    </w:pPr>
    <w:rPr>
      <w:sz w:val="24"/>
    </w:rPr>
  </w:style>
  <w:style w:type="paragraph" w:styleId="26">
    <w:name w:val="Plain Text"/>
    <w:basedOn w:val="1"/>
    <w:next w:val="1"/>
    <w:link w:val="80"/>
    <w:qFormat/>
    <w:uiPriority w:val="0"/>
    <w:rPr>
      <w:rFonts w:ascii="宋体" w:hAnsi="Courier New"/>
      <w:szCs w:val="24"/>
    </w:rPr>
  </w:style>
  <w:style w:type="paragraph" w:styleId="27">
    <w:name w:val="toc 8"/>
    <w:basedOn w:val="1"/>
    <w:next w:val="1"/>
    <w:unhideWhenUsed/>
    <w:qFormat/>
    <w:uiPriority w:val="39"/>
    <w:pPr>
      <w:ind w:left="2940" w:leftChars="1400"/>
    </w:pPr>
    <w:rPr>
      <w:rFonts w:ascii="Calibri" w:hAnsi="Calibri" w:eastAsia="宋体" w:cs="Times New Roman"/>
      <w:szCs w:val="22"/>
    </w:rPr>
  </w:style>
  <w:style w:type="paragraph" w:styleId="28">
    <w:name w:val="Date"/>
    <w:basedOn w:val="1"/>
    <w:next w:val="1"/>
    <w:link w:val="81"/>
    <w:qFormat/>
    <w:uiPriority w:val="99"/>
    <w:rPr>
      <w:rFonts w:ascii="宋体"/>
      <w:sz w:val="24"/>
      <w:szCs w:val="24"/>
    </w:rPr>
  </w:style>
  <w:style w:type="paragraph" w:styleId="29">
    <w:name w:val="Body Text Indent 2"/>
    <w:basedOn w:val="1"/>
    <w:link w:val="82"/>
    <w:unhideWhenUsed/>
    <w:qFormat/>
    <w:uiPriority w:val="99"/>
    <w:pPr>
      <w:spacing w:after="120" w:line="480" w:lineRule="auto"/>
      <w:ind w:left="420" w:leftChars="200"/>
    </w:pPr>
    <w:rPr>
      <w:szCs w:val="24"/>
    </w:rPr>
  </w:style>
  <w:style w:type="paragraph" w:styleId="30">
    <w:name w:val="Balloon Text"/>
    <w:basedOn w:val="1"/>
    <w:link w:val="83"/>
    <w:qFormat/>
    <w:uiPriority w:val="99"/>
    <w:rPr>
      <w:sz w:val="18"/>
      <w:szCs w:val="18"/>
    </w:rPr>
  </w:style>
  <w:style w:type="paragraph" w:styleId="31">
    <w:name w:val="footer"/>
    <w:basedOn w:val="1"/>
    <w:link w:val="84"/>
    <w:unhideWhenUsed/>
    <w:qFormat/>
    <w:uiPriority w:val="99"/>
    <w:pPr>
      <w:tabs>
        <w:tab w:val="center" w:pos="4153"/>
        <w:tab w:val="right" w:pos="8306"/>
      </w:tabs>
      <w:snapToGrid w:val="0"/>
      <w:jc w:val="left"/>
    </w:pPr>
    <w:rPr>
      <w:sz w:val="18"/>
      <w:szCs w:val="24"/>
    </w:rPr>
  </w:style>
  <w:style w:type="paragraph" w:styleId="32">
    <w:name w:val="header"/>
    <w:basedOn w:val="1"/>
    <w:link w:val="8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3">
    <w:name w:val="toc 1"/>
    <w:basedOn w:val="1"/>
    <w:next w:val="1"/>
    <w:qFormat/>
    <w:uiPriority w:val="39"/>
    <w:pPr>
      <w:tabs>
        <w:tab w:val="right" w:leader="dot" w:pos="8302"/>
      </w:tabs>
      <w:spacing w:line="360" w:lineRule="auto"/>
    </w:pPr>
    <w:rPr>
      <w:rFonts w:ascii="黑体" w:hAnsi="宋体" w:eastAsia="黑体"/>
      <w:sz w:val="24"/>
      <w:szCs w:val="24"/>
    </w:rPr>
  </w:style>
  <w:style w:type="paragraph" w:styleId="34">
    <w:name w:val="toc 4"/>
    <w:basedOn w:val="1"/>
    <w:next w:val="1"/>
    <w:unhideWhenUsed/>
    <w:qFormat/>
    <w:uiPriority w:val="39"/>
    <w:pPr>
      <w:ind w:left="1260" w:leftChars="600"/>
    </w:pPr>
    <w:rPr>
      <w:rFonts w:ascii="Calibri" w:hAnsi="Calibri" w:eastAsia="宋体" w:cs="Times New Roman"/>
      <w:szCs w:val="22"/>
    </w:rPr>
  </w:style>
  <w:style w:type="paragraph" w:styleId="35">
    <w:name w:val="index heading"/>
    <w:basedOn w:val="1"/>
    <w:next w:val="36"/>
    <w:unhideWhenUsed/>
    <w:qFormat/>
    <w:uiPriority w:val="99"/>
  </w:style>
  <w:style w:type="paragraph" w:styleId="36">
    <w:name w:val="index 1"/>
    <w:basedOn w:val="1"/>
    <w:next w:val="1"/>
    <w:unhideWhenUsed/>
    <w:qFormat/>
    <w:uiPriority w:val="99"/>
    <w:pPr>
      <w:spacing w:line="200" w:lineRule="atLeast"/>
      <w:jc w:val="center"/>
    </w:pPr>
    <w:rPr>
      <w:rFonts w:ascii="宋体" w:hAnsi="宋体"/>
    </w:rPr>
  </w:style>
  <w:style w:type="paragraph" w:styleId="37">
    <w:name w:val="Subtitle"/>
    <w:basedOn w:val="1"/>
    <w:next w:val="1"/>
    <w:link w:val="86"/>
    <w:qFormat/>
    <w:uiPriority w:val="11"/>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spacing w:line="360" w:lineRule="auto"/>
      <w:ind w:left="200" w:hanging="200" w:hangingChars="200"/>
    </w:pPr>
    <w:rPr>
      <w:rFonts w:ascii="Calibri" w:hAnsi="Calibri"/>
      <w:sz w:val="24"/>
      <w:szCs w:val="22"/>
    </w:rPr>
  </w:style>
  <w:style w:type="paragraph" w:styleId="39">
    <w:name w:val="toc 6"/>
    <w:basedOn w:val="1"/>
    <w:next w:val="1"/>
    <w:unhideWhenUsed/>
    <w:qFormat/>
    <w:uiPriority w:val="39"/>
    <w:pPr>
      <w:ind w:left="2100" w:leftChars="1000"/>
    </w:pPr>
    <w:rPr>
      <w:rFonts w:ascii="Calibri" w:hAnsi="Calibri" w:eastAsia="宋体" w:cs="Times New Roman"/>
      <w:szCs w:val="22"/>
    </w:rPr>
  </w:style>
  <w:style w:type="paragraph" w:styleId="40">
    <w:name w:val="List 5"/>
    <w:basedOn w:val="1"/>
    <w:qFormat/>
    <w:uiPriority w:val="0"/>
    <w:pPr>
      <w:spacing w:line="360" w:lineRule="auto"/>
      <w:ind w:left="100" w:leftChars="800" w:hanging="200" w:hangingChars="200"/>
    </w:pPr>
    <w:rPr>
      <w:rFonts w:ascii="Calibri" w:hAnsi="Calibri"/>
      <w:sz w:val="24"/>
      <w:szCs w:val="22"/>
    </w:rPr>
  </w:style>
  <w:style w:type="paragraph" w:styleId="41">
    <w:name w:val="Body Text Indent 3"/>
    <w:basedOn w:val="1"/>
    <w:link w:val="87"/>
    <w:unhideWhenUsed/>
    <w:qFormat/>
    <w:uiPriority w:val="0"/>
    <w:pPr>
      <w:spacing w:line="360" w:lineRule="auto"/>
      <w:ind w:firstLine="420"/>
    </w:pPr>
    <w:rPr>
      <w:rFonts w:ascii="宋体"/>
      <w:szCs w:val="24"/>
    </w:rPr>
  </w:style>
  <w:style w:type="paragraph" w:styleId="42">
    <w:name w:val="table of figures"/>
    <w:basedOn w:val="1"/>
    <w:next w:val="1"/>
    <w:qFormat/>
    <w:uiPriority w:val="0"/>
    <w:pPr>
      <w:ind w:left="200" w:leftChars="200" w:hanging="200" w:hangingChars="200"/>
    </w:pPr>
    <w:rPr>
      <w:rFonts w:ascii="Calibri" w:hAnsi="Calibri"/>
    </w:rPr>
  </w:style>
  <w:style w:type="paragraph" w:styleId="43">
    <w:name w:val="toc 2"/>
    <w:basedOn w:val="1"/>
    <w:next w:val="1"/>
    <w:qFormat/>
    <w:uiPriority w:val="39"/>
    <w:pPr>
      <w:tabs>
        <w:tab w:val="left" w:pos="540"/>
        <w:tab w:val="right" w:leader="middleDot" w:pos="8460"/>
      </w:tabs>
      <w:spacing w:line="360" w:lineRule="auto"/>
      <w:ind w:right="244" w:rightChars="116"/>
    </w:pPr>
    <w:rPr>
      <w:rFonts w:ascii="宋体"/>
      <w:sz w:val="36"/>
    </w:rPr>
  </w:style>
  <w:style w:type="paragraph" w:styleId="44">
    <w:name w:val="toc 9"/>
    <w:basedOn w:val="1"/>
    <w:next w:val="1"/>
    <w:unhideWhenUsed/>
    <w:qFormat/>
    <w:uiPriority w:val="39"/>
    <w:pPr>
      <w:ind w:left="3360" w:leftChars="1600"/>
    </w:pPr>
    <w:rPr>
      <w:rFonts w:ascii="Calibri" w:hAnsi="Calibri" w:eastAsia="宋体" w:cs="Times New Roman"/>
      <w:szCs w:val="22"/>
    </w:rPr>
  </w:style>
  <w:style w:type="paragraph" w:styleId="45">
    <w:name w:val="Body Text 2"/>
    <w:basedOn w:val="1"/>
    <w:link w:val="88"/>
    <w:unhideWhenUsed/>
    <w:qFormat/>
    <w:uiPriority w:val="99"/>
    <w:pPr>
      <w:spacing w:after="120" w:afterLines="0" w:line="480" w:lineRule="auto"/>
    </w:pPr>
    <w:rPr>
      <w:szCs w:val="24"/>
    </w:rPr>
  </w:style>
  <w:style w:type="paragraph" w:styleId="46">
    <w:name w:val="List 4"/>
    <w:basedOn w:val="1"/>
    <w:qFormat/>
    <w:uiPriority w:val="0"/>
    <w:pPr>
      <w:spacing w:line="360" w:lineRule="auto"/>
      <w:ind w:left="100" w:leftChars="600" w:hanging="200" w:hangingChars="200"/>
    </w:pPr>
    <w:rPr>
      <w:rFonts w:ascii="Calibri" w:hAnsi="Calibri"/>
      <w:sz w:val="24"/>
      <w:szCs w:val="22"/>
    </w:rPr>
  </w:style>
  <w:style w:type="paragraph" w:styleId="47">
    <w:name w:val="HTML Preformatted"/>
    <w:basedOn w:val="1"/>
    <w:link w:val="8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szCs w:val="24"/>
    </w:rPr>
  </w:style>
  <w:style w:type="paragraph" w:styleId="48">
    <w:name w:val="Normal (Web)"/>
    <w:basedOn w:val="1"/>
    <w:unhideWhenUsed/>
    <w:qFormat/>
    <w:uiPriority w:val="99"/>
    <w:rPr>
      <w:sz w:val="24"/>
      <w:szCs w:val="24"/>
    </w:rPr>
  </w:style>
  <w:style w:type="paragraph" w:styleId="49">
    <w:name w:val="Title"/>
    <w:basedOn w:val="1"/>
    <w:next w:val="1"/>
    <w:link w:val="90"/>
    <w:qFormat/>
    <w:uiPriority w:val="99"/>
    <w:pPr>
      <w:widowControl/>
      <w:spacing w:before="240" w:after="60"/>
      <w:jc w:val="center"/>
      <w:outlineLvl w:val="0"/>
    </w:pPr>
    <w:rPr>
      <w:rFonts w:ascii="Cambria" w:hAnsi="Cambria"/>
      <w:b/>
      <w:bCs/>
      <w:sz w:val="32"/>
      <w:szCs w:val="32"/>
    </w:rPr>
  </w:style>
  <w:style w:type="paragraph" w:styleId="50">
    <w:name w:val="annotation subject"/>
    <w:basedOn w:val="18"/>
    <w:next w:val="18"/>
    <w:link w:val="91"/>
    <w:qFormat/>
    <w:uiPriority w:val="99"/>
    <w:rPr>
      <w:b/>
      <w:bCs/>
    </w:rPr>
  </w:style>
  <w:style w:type="paragraph" w:styleId="51">
    <w:name w:val="Body Text First Indent"/>
    <w:basedOn w:val="20"/>
    <w:link w:val="92"/>
    <w:qFormat/>
    <w:uiPriority w:val="0"/>
    <w:pPr>
      <w:ind w:firstLine="420" w:firstLineChars="100"/>
    </w:pPr>
  </w:style>
  <w:style w:type="paragraph" w:styleId="52">
    <w:name w:val="Body Text First Indent 2"/>
    <w:basedOn w:val="21"/>
    <w:next w:val="20"/>
    <w:link w:val="65"/>
    <w:qFormat/>
    <w:uiPriority w:val="0"/>
    <w:pPr>
      <w:spacing w:line="360" w:lineRule="auto"/>
      <w:ind w:firstLine="420" w:firstLineChars="200"/>
    </w:pPr>
    <w:rPr>
      <w:kern w:val="0"/>
      <w:sz w:val="24"/>
      <w:szCs w:val="20"/>
    </w:rPr>
  </w:style>
  <w:style w:type="table" w:styleId="54">
    <w:name w:val="Table Grid"/>
    <w:basedOn w:val="53"/>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qFormat/>
    <w:uiPriority w:val="0"/>
    <w:rPr>
      <w:rFonts w:eastAsia="仿宋"/>
      <w:b/>
      <w:bCs/>
      <w:sz w:val="30"/>
    </w:rPr>
  </w:style>
  <w:style w:type="character" w:styleId="57">
    <w:name w:val="page number"/>
    <w:unhideWhenUsed/>
    <w:qFormat/>
    <w:uiPriority w:val="0"/>
  </w:style>
  <w:style w:type="character" w:styleId="58">
    <w:name w:val="FollowedHyperlink"/>
    <w:unhideWhenUsed/>
    <w:qFormat/>
    <w:uiPriority w:val="99"/>
    <w:rPr>
      <w:rFonts w:ascii="Tahoma" w:hAnsi="Tahoma" w:eastAsia="Tahoma" w:cs="Tahoma"/>
      <w:color w:val="666666"/>
      <w:kern w:val="2"/>
      <w:sz w:val="18"/>
      <w:szCs w:val="18"/>
      <w:u w:val="none"/>
    </w:rPr>
  </w:style>
  <w:style w:type="character" w:styleId="59">
    <w:name w:val="Emphasis"/>
    <w:qFormat/>
    <w:uiPriority w:val="20"/>
    <w:rPr>
      <w:i/>
      <w:color w:val="1F2D3D"/>
      <w:kern w:val="2"/>
      <w:sz w:val="24"/>
      <w:szCs w:val="24"/>
      <w:bdr w:val="single" w:color="BFCBD9" w:sz="6" w:space="0"/>
      <w:shd w:val="clear" w:color="auto" w:fill="FFFFFF"/>
    </w:rPr>
  </w:style>
  <w:style w:type="character" w:styleId="60">
    <w:name w:val="Hyperlink"/>
    <w:unhideWhenUsed/>
    <w:qFormat/>
    <w:uiPriority w:val="99"/>
    <w:rPr>
      <w:rFonts w:hint="default" w:ascii="Tahoma" w:hAnsi="Tahoma" w:eastAsia="Tahoma" w:cs="Tahoma"/>
      <w:color w:val="666666"/>
      <w:kern w:val="2"/>
      <w:sz w:val="18"/>
      <w:szCs w:val="18"/>
      <w:u w:val="none"/>
    </w:rPr>
  </w:style>
  <w:style w:type="character" w:styleId="61">
    <w:name w:val="HTML Code"/>
    <w:unhideWhenUsed/>
    <w:qFormat/>
    <w:uiPriority w:val="99"/>
    <w:rPr>
      <w:rFonts w:ascii="Consolas" w:hAnsi="Consolas" w:eastAsia="Consolas" w:cs="Consolas"/>
      <w:color w:val="DD1144"/>
      <w:kern w:val="2"/>
      <w:sz w:val="18"/>
      <w:szCs w:val="18"/>
      <w:bdr w:val="single" w:color="E1E1E8" w:sz="6" w:space="0"/>
      <w:shd w:val="clear" w:color="auto" w:fill="F7F7F9"/>
    </w:rPr>
  </w:style>
  <w:style w:type="character" w:styleId="62">
    <w:name w:val="annotation reference"/>
    <w:qFormat/>
    <w:uiPriority w:val="0"/>
    <w:rPr>
      <w:kern w:val="2"/>
      <w:sz w:val="21"/>
      <w:szCs w:val="21"/>
    </w:rPr>
  </w:style>
  <w:style w:type="character" w:styleId="63">
    <w:name w:val="HTML Cite"/>
    <w:unhideWhenUsed/>
    <w:qFormat/>
    <w:uiPriority w:val="99"/>
    <w:rPr>
      <w:kern w:val="2"/>
      <w:sz w:val="24"/>
      <w:szCs w:val="24"/>
    </w:rPr>
  </w:style>
  <w:style w:type="character" w:customStyle="1" w:styleId="64">
    <w:name w:val="正文文本缩进 字符"/>
    <w:link w:val="21"/>
    <w:qFormat/>
    <w:uiPriority w:val="99"/>
    <w:rPr>
      <w:kern w:val="2"/>
      <w:sz w:val="21"/>
      <w:szCs w:val="24"/>
    </w:rPr>
  </w:style>
  <w:style w:type="character" w:customStyle="1" w:styleId="65">
    <w:name w:val="正文首行缩进 2 字符"/>
    <w:link w:val="52"/>
    <w:qFormat/>
    <w:uiPriority w:val="0"/>
    <w:rPr>
      <w:rFonts w:ascii="Calibri" w:hAnsi="Calibri"/>
      <w:sz w:val="24"/>
    </w:rPr>
  </w:style>
  <w:style w:type="character" w:customStyle="1" w:styleId="66">
    <w:name w:val="正文文本 字符"/>
    <w:link w:val="20"/>
    <w:qFormat/>
    <w:uiPriority w:val="99"/>
    <w:rPr>
      <w:kern w:val="2"/>
      <w:sz w:val="21"/>
      <w:szCs w:val="24"/>
    </w:rPr>
  </w:style>
  <w:style w:type="character" w:customStyle="1" w:styleId="67">
    <w:name w:val="标题 1 字符"/>
    <w:link w:val="2"/>
    <w:qFormat/>
    <w:uiPriority w:val="99"/>
    <w:rPr>
      <w:b/>
      <w:bCs/>
      <w:kern w:val="44"/>
      <w:sz w:val="44"/>
      <w:szCs w:val="44"/>
    </w:rPr>
  </w:style>
  <w:style w:type="character" w:customStyle="1" w:styleId="68">
    <w:name w:val="标题 2 字符"/>
    <w:link w:val="3"/>
    <w:qFormat/>
    <w:uiPriority w:val="0"/>
    <w:rPr>
      <w:rFonts w:ascii="宋体" w:hAnsi="Arial"/>
      <w:b/>
      <w:kern w:val="2"/>
      <w:sz w:val="28"/>
      <w:szCs w:val="28"/>
    </w:rPr>
  </w:style>
  <w:style w:type="character" w:customStyle="1" w:styleId="69">
    <w:name w:val="标题 3 字符"/>
    <w:link w:val="4"/>
    <w:qFormat/>
    <w:uiPriority w:val="0"/>
    <w:rPr>
      <w:b/>
      <w:bCs/>
      <w:kern w:val="2"/>
      <w:sz w:val="32"/>
      <w:szCs w:val="32"/>
    </w:rPr>
  </w:style>
  <w:style w:type="character" w:customStyle="1" w:styleId="70">
    <w:name w:val="标题 4 字符"/>
    <w:link w:val="5"/>
    <w:qFormat/>
    <w:uiPriority w:val="0"/>
    <w:rPr>
      <w:rFonts w:ascii="Arial" w:hAnsi="Arial" w:eastAsia="黑体"/>
      <w:b/>
      <w:kern w:val="2"/>
      <w:sz w:val="28"/>
      <w:szCs w:val="24"/>
    </w:rPr>
  </w:style>
  <w:style w:type="character" w:customStyle="1" w:styleId="71">
    <w:name w:val="标题 5 字符"/>
    <w:link w:val="6"/>
    <w:qFormat/>
    <w:uiPriority w:val="0"/>
    <w:rPr>
      <w:b/>
      <w:kern w:val="2"/>
      <w:sz w:val="28"/>
      <w:szCs w:val="24"/>
    </w:rPr>
  </w:style>
  <w:style w:type="character" w:customStyle="1" w:styleId="72">
    <w:name w:val="标题 6 字符"/>
    <w:link w:val="7"/>
    <w:qFormat/>
    <w:uiPriority w:val="0"/>
    <w:rPr>
      <w:rFonts w:ascii="Arial" w:hAnsi="Arial" w:eastAsia="黑体"/>
      <w:b/>
      <w:kern w:val="2"/>
      <w:sz w:val="24"/>
      <w:szCs w:val="24"/>
    </w:rPr>
  </w:style>
  <w:style w:type="character" w:customStyle="1" w:styleId="73">
    <w:name w:val="标题 7 字符"/>
    <w:link w:val="8"/>
    <w:qFormat/>
    <w:uiPriority w:val="0"/>
    <w:rPr>
      <w:b/>
      <w:kern w:val="2"/>
      <w:sz w:val="24"/>
      <w:szCs w:val="24"/>
    </w:rPr>
  </w:style>
  <w:style w:type="character" w:customStyle="1" w:styleId="74">
    <w:name w:val="标题 8 字符"/>
    <w:link w:val="9"/>
    <w:qFormat/>
    <w:uiPriority w:val="0"/>
    <w:rPr>
      <w:rFonts w:ascii="Arial" w:hAnsi="Arial" w:eastAsia="黑体"/>
      <w:kern w:val="2"/>
      <w:sz w:val="24"/>
      <w:szCs w:val="24"/>
    </w:rPr>
  </w:style>
  <w:style w:type="character" w:customStyle="1" w:styleId="75">
    <w:name w:val="标题 9 字符"/>
    <w:link w:val="10"/>
    <w:qFormat/>
    <w:uiPriority w:val="0"/>
    <w:rPr>
      <w:rFonts w:ascii="Arial" w:hAnsi="Arial" w:eastAsia="黑体"/>
      <w:kern w:val="2"/>
      <w:sz w:val="21"/>
      <w:szCs w:val="24"/>
    </w:rPr>
  </w:style>
  <w:style w:type="character" w:customStyle="1" w:styleId="76">
    <w:name w:val="正文缩进 字符"/>
    <w:link w:val="14"/>
    <w:qFormat/>
    <w:uiPriority w:val="0"/>
    <w:rPr>
      <w:kern w:val="2"/>
      <w:sz w:val="21"/>
    </w:rPr>
  </w:style>
  <w:style w:type="character" w:customStyle="1" w:styleId="77">
    <w:name w:val="文档结构图 字符"/>
    <w:link w:val="16"/>
    <w:qFormat/>
    <w:uiPriority w:val="99"/>
    <w:rPr>
      <w:kern w:val="2"/>
      <w:sz w:val="21"/>
      <w:szCs w:val="21"/>
      <w:shd w:val="clear" w:color="auto" w:fill="000080"/>
    </w:rPr>
  </w:style>
  <w:style w:type="character" w:customStyle="1" w:styleId="78">
    <w:name w:val="批注文字 字符"/>
    <w:link w:val="18"/>
    <w:qFormat/>
    <w:uiPriority w:val="99"/>
    <w:rPr>
      <w:kern w:val="2"/>
      <w:sz w:val="21"/>
      <w:szCs w:val="24"/>
    </w:rPr>
  </w:style>
  <w:style w:type="character" w:customStyle="1" w:styleId="79">
    <w:name w:val="正文文本 3 字符"/>
    <w:link w:val="19"/>
    <w:qFormat/>
    <w:uiPriority w:val="99"/>
    <w:rPr>
      <w:kern w:val="2"/>
      <w:sz w:val="16"/>
      <w:szCs w:val="16"/>
    </w:rPr>
  </w:style>
  <w:style w:type="character" w:customStyle="1" w:styleId="80">
    <w:name w:val="纯文本 字符"/>
    <w:link w:val="26"/>
    <w:qFormat/>
    <w:uiPriority w:val="0"/>
    <w:rPr>
      <w:rFonts w:ascii="宋体" w:hAnsi="Courier New"/>
      <w:kern w:val="2"/>
      <w:sz w:val="21"/>
      <w:szCs w:val="24"/>
    </w:rPr>
  </w:style>
  <w:style w:type="character" w:customStyle="1" w:styleId="81">
    <w:name w:val="日期 字符"/>
    <w:link w:val="28"/>
    <w:qFormat/>
    <w:uiPriority w:val="99"/>
    <w:rPr>
      <w:rFonts w:ascii="宋体"/>
      <w:kern w:val="2"/>
      <w:sz w:val="24"/>
      <w:szCs w:val="24"/>
    </w:rPr>
  </w:style>
  <w:style w:type="character" w:customStyle="1" w:styleId="82">
    <w:name w:val="正文文本缩进 2 字符"/>
    <w:link w:val="29"/>
    <w:qFormat/>
    <w:uiPriority w:val="99"/>
    <w:rPr>
      <w:kern w:val="2"/>
      <w:sz w:val="21"/>
      <w:szCs w:val="24"/>
    </w:rPr>
  </w:style>
  <w:style w:type="character" w:customStyle="1" w:styleId="83">
    <w:name w:val="批注框文本 字符"/>
    <w:link w:val="30"/>
    <w:qFormat/>
    <w:uiPriority w:val="99"/>
    <w:rPr>
      <w:kern w:val="2"/>
      <w:sz w:val="18"/>
      <w:szCs w:val="18"/>
    </w:rPr>
  </w:style>
  <w:style w:type="character" w:customStyle="1" w:styleId="84">
    <w:name w:val="页脚 字符"/>
    <w:link w:val="31"/>
    <w:qFormat/>
    <w:uiPriority w:val="99"/>
    <w:rPr>
      <w:kern w:val="2"/>
      <w:sz w:val="18"/>
      <w:szCs w:val="24"/>
    </w:rPr>
  </w:style>
  <w:style w:type="character" w:customStyle="1" w:styleId="85">
    <w:name w:val="页眉 字符"/>
    <w:link w:val="32"/>
    <w:qFormat/>
    <w:uiPriority w:val="99"/>
    <w:rPr>
      <w:kern w:val="2"/>
      <w:sz w:val="18"/>
    </w:rPr>
  </w:style>
  <w:style w:type="character" w:customStyle="1" w:styleId="86">
    <w:name w:val="副标题 字符"/>
    <w:link w:val="37"/>
    <w:qFormat/>
    <w:uiPriority w:val="11"/>
    <w:rPr>
      <w:rFonts w:ascii="Cambria" w:hAnsi="Cambria" w:cs="Times New Roman"/>
      <w:b/>
      <w:bCs/>
      <w:kern w:val="28"/>
      <w:sz w:val="32"/>
      <w:szCs w:val="32"/>
    </w:rPr>
  </w:style>
  <w:style w:type="character" w:customStyle="1" w:styleId="87">
    <w:name w:val="正文文本缩进 3 字符"/>
    <w:link w:val="41"/>
    <w:qFormat/>
    <w:uiPriority w:val="0"/>
    <w:rPr>
      <w:rFonts w:ascii="宋体"/>
      <w:kern w:val="2"/>
      <w:sz w:val="21"/>
      <w:szCs w:val="24"/>
    </w:rPr>
  </w:style>
  <w:style w:type="character" w:customStyle="1" w:styleId="88">
    <w:name w:val="正文文本 2 字符"/>
    <w:link w:val="45"/>
    <w:qFormat/>
    <w:uiPriority w:val="99"/>
    <w:rPr>
      <w:kern w:val="2"/>
      <w:sz w:val="21"/>
      <w:szCs w:val="24"/>
    </w:rPr>
  </w:style>
  <w:style w:type="character" w:customStyle="1" w:styleId="89">
    <w:name w:val="HTML 预设格式 字符"/>
    <w:link w:val="47"/>
    <w:qFormat/>
    <w:uiPriority w:val="99"/>
    <w:rPr>
      <w:rFonts w:ascii="宋体"/>
      <w:kern w:val="2"/>
      <w:sz w:val="24"/>
      <w:szCs w:val="24"/>
    </w:rPr>
  </w:style>
  <w:style w:type="character" w:customStyle="1" w:styleId="90">
    <w:name w:val="标题 字符"/>
    <w:link w:val="49"/>
    <w:qFormat/>
    <w:uiPriority w:val="99"/>
    <w:rPr>
      <w:rFonts w:ascii="Cambria" w:hAnsi="Cambria"/>
      <w:b/>
      <w:bCs/>
      <w:kern w:val="2"/>
      <w:sz w:val="32"/>
      <w:szCs w:val="32"/>
    </w:rPr>
  </w:style>
  <w:style w:type="character" w:customStyle="1" w:styleId="91">
    <w:name w:val="批注主题 字符"/>
    <w:link w:val="50"/>
    <w:qFormat/>
    <w:uiPriority w:val="99"/>
    <w:rPr>
      <w:b/>
      <w:bCs/>
      <w:kern w:val="2"/>
      <w:sz w:val="21"/>
      <w:szCs w:val="24"/>
    </w:rPr>
  </w:style>
  <w:style w:type="character" w:customStyle="1" w:styleId="92">
    <w:name w:val="正文首行缩进 字符"/>
    <w:link w:val="51"/>
    <w:qFormat/>
    <w:uiPriority w:val="0"/>
  </w:style>
  <w:style w:type="character" w:customStyle="1" w:styleId="93">
    <w:name w:val="纯文本 Char2"/>
    <w:qFormat/>
    <w:uiPriority w:val="0"/>
    <w:rPr>
      <w:rFonts w:ascii="宋体" w:hAnsi="Courier New"/>
      <w:szCs w:val="21"/>
    </w:rPr>
  </w:style>
  <w:style w:type="character" w:customStyle="1" w:styleId="94">
    <w:name w:val="map-site-country-active"/>
    <w:qFormat/>
    <w:uiPriority w:val="0"/>
  </w:style>
  <w:style w:type="character" w:customStyle="1" w:styleId="95">
    <w:name w:val="font51"/>
    <w:qFormat/>
    <w:uiPriority w:val="0"/>
    <w:rPr>
      <w:rFonts w:hint="default" w:ascii="Times New Roman" w:hAnsi="Times New Roman" w:cs="Times New Roman"/>
      <w:color w:val="000000"/>
      <w:sz w:val="22"/>
      <w:szCs w:val="22"/>
      <w:u w:val="none"/>
    </w:rPr>
  </w:style>
  <w:style w:type="character" w:customStyle="1" w:styleId="96">
    <w:name w:val="样式 表格文字 Char + 段前: 0.5 行 Char"/>
    <w:link w:val="97"/>
    <w:qFormat/>
    <w:uiPriority w:val="0"/>
    <w:rPr>
      <w:kern w:val="2"/>
      <w:sz w:val="24"/>
    </w:rPr>
  </w:style>
  <w:style w:type="paragraph" w:customStyle="1" w:styleId="97">
    <w:name w:val="样式 表格文字 Char + 段前: 0.5 行"/>
    <w:basedOn w:val="1"/>
    <w:link w:val="96"/>
    <w:qFormat/>
    <w:uiPriority w:val="0"/>
    <w:pPr>
      <w:spacing w:beforeLines="50"/>
      <w:jc w:val="center"/>
    </w:pPr>
    <w:rPr>
      <w:sz w:val="24"/>
    </w:rPr>
  </w:style>
  <w:style w:type="character" w:customStyle="1" w:styleId="98">
    <w:name w:val="p141_0"/>
    <w:qFormat/>
    <w:uiPriority w:val="0"/>
    <w:rPr>
      <w:rFonts w:ascii="Calibri" w:hAnsi="Calibri"/>
      <w:sz w:val="21"/>
      <w:szCs w:val="21"/>
    </w:rPr>
  </w:style>
  <w:style w:type="character" w:customStyle="1" w:styleId="99">
    <w:name w:val="he_font18px"/>
    <w:qFormat/>
    <w:uiPriority w:val="0"/>
  </w:style>
  <w:style w:type="character" w:customStyle="1" w:styleId="100">
    <w:name w:val="Heading 1 Char"/>
    <w:qFormat/>
    <w:uiPriority w:val="9"/>
    <w:rPr>
      <w:b/>
      <w:bCs/>
      <w:kern w:val="44"/>
      <w:sz w:val="44"/>
      <w:szCs w:val="44"/>
    </w:rPr>
  </w:style>
  <w:style w:type="character" w:customStyle="1" w:styleId="101">
    <w:name w:val="cityname"/>
    <w:qFormat/>
    <w:uiPriority w:val="0"/>
    <w:rPr>
      <w:b/>
      <w:kern w:val="2"/>
      <w:sz w:val="21"/>
      <w:szCs w:val="21"/>
    </w:rPr>
  </w:style>
  <w:style w:type="character" w:customStyle="1" w:styleId="102">
    <w:name w:val="Comment Subject Char"/>
    <w:semiHidden/>
    <w:qFormat/>
    <w:uiPriority w:val="99"/>
    <w:rPr>
      <w:rFonts w:eastAsia="宋体"/>
      <w:b/>
      <w:bCs/>
      <w:kern w:val="2"/>
      <w:sz w:val="21"/>
      <w:szCs w:val="21"/>
      <w:lang w:val="en-US" w:eastAsia="zh-CN"/>
    </w:rPr>
  </w:style>
  <w:style w:type="character" w:customStyle="1" w:styleId="103">
    <w:name w:val="标题 Char3"/>
    <w:qFormat/>
    <w:uiPriority w:val="10"/>
    <w:rPr>
      <w:rFonts w:ascii="Cambria" w:hAnsi="Cambria" w:eastAsia="宋体" w:cs="黑体"/>
      <w:b/>
      <w:bCs/>
      <w:sz w:val="32"/>
      <w:szCs w:val="32"/>
    </w:rPr>
  </w:style>
  <w:style w:type="character" w:customStyle="1" w:styleId="104">
    <w:name w:val="Document Map Char"/>
    <w:semiHidden/>
    <w:qFormat/>
    <w:uiPriority w:val="99"/>
    <w:rPr>
      <w:sz w:val="16"/>
      <w:szCs w:val="0"/>
    </w:rPr>
  </w:style>
  <w:style w:type="character" w:customStyle="1" w:styleId="105">
    <w:name w:val="map-site-country"/>
    <w:qFormat/>
    <w:uiPriority w:val="0"/>
  </w:style>
  <w:style w:type="character" w:customStyle="1" w:styleId="106">
    <w:name w:val="批注框文本 Char2"/>
    <w:semiHidden/>
    <w:qFormat/>
    <w:uiPriority w:val="99"/>
    <w:rPr>
      <w:rFonts w:ascii="Calibri" w:hAnsi="Calibri" w:eastAsia="宋体" w:cs="Times New Roman"/>
      <w:sz w:val="18"/>
      <w:szCs w:val="18"/>
    </w:rPr>
  </w:style>
  <w:style w:type="character" w:customStyle="1" w:styleId="107">
    <w:name w:val="纯文本 Char1"/>
    <w:link w:val="108"/>
    <w:qFormat/>
    <w:uiPriority w:val="99"/>
    <w:rPr>
      <w:rFonts w:ascii="宋体" w:hAnsi="Courier New"/>
      <w:szCs w:val="21"/>
    </w:rPr>
  </w:style>
  <w:style w:type="paragraph" w:customStyle="1" w:styleId="108">
    <w:name w:val="纯文本1"/>
    <w:basedOn w:val="1"/>
    <w:link w:val="107"/>
    <w:qFormat/>
    <w:uiPriority w:val="99"/>
    <w:pPr>
      <w:spacing w:afterLines="50" w:line="400" w:lineRule="exact"/>
      <w:ind w:left="284"/>
    </w:pPr>
    <w:rPr>
      <w:rFonts w:ascii="宋体" w:hAnsi="Courier New"/>
      <w:kern w:val="0"/>
      <w:sz w:val="20"/>
      <w:szCs w:val="21"/>
    </w:rPr>
  </w:style>
  <w:style w:type="character" w:customStyle="1" w:styleId="109">
    <w:name w:val="页脚 Char1"/>
    <w:qFormat/>
    <w:uiPriority w:val="99"/>
    <w:rPr>
      <w:sz w:val="18"/>
      <w:szCs w:val="18"/>
    </w:rPr>
  </w:style>
  <w:style w:type="character" w:customStyle="1" w:styleId="110">
    <w:name w:val="页眉 Char2"/>
    <w:semiHidden/>
    <w:qFormat/>
    <w:uiPriority w:val="99"/>
    <w:rPr>
      <w:rFonts w:ascii="Calibri" w:hAnsi="Calibri" w:eastAsia="宋体" w:cs="Times New Roman"/>
      <w:sz w:val="18"/>
      <w:szCs w:val="18"/>
    </w:rPr>
  </w:style>
  <w:style w:type="character" w:customStyle="1" w:styleId="111">
    <w:name w:val="def"/>
    <w:qFormat/>
    <w:uiPriority w:val="0"/>
  </w:style>
  <w:style w:type="character" w:customStyle="1" w:styleId="112">
    <w:name w:val="正文文本 Char1"/>
    <w:qFormat/>
    <w:uiPriority w:val="99"/>
    <w:rPr>
      <w:sz w:val="24"/>
    </w:rPr>
  </w:style>
  <w:style w:type="character" w:customStyle="1" w:styleId="113">
    <w:name w:val="Body Text Indent 3 Char"/>
    <w:semiHidden/>
    <w:qFormat/>
    <w:uiPriority w:val="99"/>
    <w:rPr>
      <w:sz w:val="16"/>
      <w:szCs w:val="16"/>
    </w:rPr>
  </w:style>
  <w:style w:type="character" w:customStyle="1" w:styleId="114">
    <w:name w:val="s21"/>
    <w:qFormat/>
    <w:uiPriority w:val="0"/>
    <w:rPr>
      <w:b/>
      <w:color w:val="000000"/>
    </w:rPr>
  </w:style>
  <w:style w:type="character" w:customStyle="1" w:styleId="115">
    <w:name w:val="hover16"/>
    <w:qFormat/>
    <w:uiPriority w:val="0"/>
    <w:rPr>
      <w:color w:val="FF0000"/>
      <w:kern w:val="2"/>
      <w:sz w:val="24"/>
      <w:szCs w:val="24"/>
    </w:rPr>
  </w:style>
  <w:style w:type="character" w:customStyle="1" w:styleId="116">
    <w:name w:val="批注文字 Char1"/>
    <w:qFormat/>
    <w:uiPriority w:val="0"/>
  </w:style>
  <w:style w:type="character" w:customStyle="1" w:styleId="117">
    <w:name w:val="Date Char"/>
    <w:semiHidden/>
    <w:qFormat/>
    <w:uiPriority w:val="99"/>
    <w:rPr>
      <w:szCs w:val="21"/>
    </w:rPr>
  </w:style>
  <w:style w:type="character" w:customStyle="1" w:styleId="118">
    <w:name w:val="批注主题 Char1"/>
    <w:semiHidden/>
    <w:qFormat/>
    <w:uiPriority w:val="99"/>
    <w:rPr>
      <w:rFonts w:ascii="Calibri" w:hAnsi="Calibri" w:eastAsia="宋体" w:cs="Times New Roman"/>
      <w:b/>
      <w:bCs/>
      <w:sz w:val="24"/>
    </w:rPr>
  </w:style>
  <w:style w:type="character" w:customStyle="1" w:styleId="119">
    <w:name w:val="Heading 3 Char"/>
    <w:semiHidden/>
    <w:qFormat/>
    <w:uiPriority w:val="9"/>
    <w:rPr>
      <w:b/>
      <w:bCs/>
      <w:sz w:val="32"/>
      <w:szCs w:val="32"/>
    </w:rPr>
  </w:style>
  <w:style w:type="character" w:customStyle="1" w:styleId="120">
    <w:name w:val="日期 Char1"/>
    <w:qFormat/>
    <w:uiPriority w:val="99"/>
    <w:rPr>
      <w:rFonts w:ascii="宋体"/>
      <w:kern w:val="2"/>
      <w:sz w:val="21"/>
      <w:szCs w:val="24"/>
    </w:rPr>
  </w:style>
  <w:style w:type="character" w:customStyle="1" w:styleId="121">
    <w:name w:val="15"/>
    <w:qFormat/>
    <w:uiPriority w:val="0"/>
    <w:rPr>
      <w:rFonts w:hint="default" w:ascii="Times New Roman" w:hAnsi="Times New Roman" w:cs="Times New Roman"/>
    </w:rPr>
  </w:style>
  <w:style w:type="character" w:customStyle="1" w:styleId="122">
    <w:name w:val="map-site"/>
    <w:qFormat/>
    <w:uiPriority w:val="0"/>
  </w:style>
  <w:style w:type="character" w:customStyle="1" w:styleId="123">
    <w:name w:val="Body Text Indent Char"/>
    <w:semiHidden/>
    <w:qFormat/>
    <w:uiPriority w:val="99"/>
    <w:rPr>
      <w:szCs w:val="21"/>
    </w:rPr>
  </w:style>
  <w:style w:type="character" w:customStyle="1" w:styleId="124">
    <w:name w:val="标题 Char1"/>
    <w:qFormat/>
    <w:uiPriority w:val="10"/>
    <w:rPr>
      <w:rFonts w:ascii="Cambria" w:hAnsi="Cambria" w:cs="Times New Roman"/>
      <w:b/>
      <w:bCs/>
      <w:kern w:val="2"/>
      <w:sz w:val="32"/>
      <w:szCs w:val="32"/>
    </w:rPr>
  </w:style>
  <w:style w:type="character" w:customStyle="1" w:styleId="125">
    <w:name w:val="Footer Char"/>
    <w:semiHidden/>
    <w:qFormat/>
    <w:uiPriority w:val="99"/>
    <w:rPr>
      <w:sz w:val="18"/>
      <w:szCs w:val="18"/>
    </w:rPr>
  </w:style>
  <w:style w:type="character" w:customStyle="1" w:styleId="126">
    <w:name w:val="16"/>
    <w:qFormat/>
    <w:uiPriority w:val="0"/>
    <w:rPr>
      <w:rFonts w:hint="default" w:ascii="Times New Roman" w:hAnsi="Times New Roman" w:cs="Times New Roman"/>
    </w:rPr>
  </w:style>
  <w:style w:type="character" w:customStyle="1" w:styleId="127">
    <w:name w:val="eng1"/>
    <w:qFormat/>
    <w:uiPriority w:val="0"/>
    <w:rPr>
      <w:rFonts w:hint="default" w:ascii="Tahoma" w:hAnsi="Tahoma" w:cs="Tahoma"/>
      <w:kern w:val="2"/>
      <w:sz w:val="16"/>
      <w:szCs w:val="16"/>
    </w:rPr>
  </w:style>
  <w:style w:type="character" w:customStyle="1" w:styleId="128">
    <w:name w:val="bbs_title1"/>
    <w:qFormat/>
    <w:uiPriority w:val="0"/>
    <w:rPr>
      <w:color w:val="0000CC"/>
      <w:sz w:val="23"/>
      <w:szCs w:val="23"/>
    </w:rPr>
  </w:style>
  <w:style w:type="character" w:customStyle="1" w:styleId="129">
    <w:name w:val="active7"/>
    <w:qFormat/>
    <w:uiPriority w:val="0"/>
    <w:rPr>
      <w:color w:val="FF0000"/>
      <w:kern w:val="2"/>
      <w:sz w:val="24"/>
      <w:szCs w:val="24"/>
    </w:rPr>
  </w:style>
  <w:style w:type="character" w:customStyle="1" w:styleId="130">
    <w:name w:val="文档结构图 Char1"/>
    <w:qFormat/>
    <w:uiPriority w:val="0"/>
    <w:rPr>
      <w:rFonts w:ascii="宋体"/>
      <w:kern w:val="2"/>
      <w:sz w:val="18"/>
      <w:szCs w:val="18"/>
    </w:rPr>
  </w:style>
  <w:style w:type="character" w:customStyle="1" w:styleId="131">
    <w:name w:val="正文文本缩进 Char2"/>
    <w:semiHidden/>
    <w:qFormat/>
    <w:uiPriority w:val="99"/>
    <w:rPr>
      <w:rFonts w:ascii="Calibri" w:hAnsi="Calibri" w:eastAsia="宋体" w:cs="Times New Roman"/>
      <w:sz w:val="24"/>
    </w:rPr>
  </w:style>
  <w:style w:type="character" w:customStyle="1" w:styleId="132">
    <w:name w:val="样式 样式 标题 4H4PIM 4bulletblbbh4sect 1.2.3.4Ref Heading 1rh1... + 五号 Char Char"/>
    <w:qFormat/>
    <w:uiPriority w:val="0"/>
    <w:rPr>
      <w:rFonts w:ascii="宋体" w:hAnsi="宋体" w:eastAsia="宋体" w:cs="宋体"/>
      <w:bCs/>
      <w:kern w:val="2"/>
      <w:sz w:val="21"/>
      <w:lang w:val="en-US" w:eastAsia="zh-CN" w:bidi="ar-SA"/>
    </w:rPr>
  </w:style>
  <w:style w:type="character" w:customStyle="1" w:styleId="133">
    <w:name w:val="正文文本缩进 Char3"/>
    <w:qFormat/>
    <w:uiPriority w:val="99"/>
    <w:rPr>
      <w:rFonts w:ascii="Calibri" w:hAnsi="Calibri" w:eastAsia="宋体" w:cs="Times New Roman"/>
      <w:sz w:val="24"/>
    </w:rPr>
  </w:style>
  <w:style w:type="character" w:customStyle="1" w:styleId="134">
    <w:name w:val="正文文本缩进 2 Char1"/>
    <w:link w:val="135"/>
    <w:qFormat/>
    <w:uiPriority w:val="99"/>
    <w:rPr>
      <w:szCs w:val="24"/>
    </w:rPr>
  </w:style>
  <w:style w:type="paragraph" w:customStyle="1" w:styleId="135">
    <w:name w:val="正文文本缩进 21"/>
    <w:basedOn w:val="1"/>
    <w:link w:val="134"/>
    <w:qFormat/>
    <w:uiPriority w:val="99"/>
    <w:pPr>
      <w:spacing w:after="120" w:line="480" w:lineRule="auto"/>
      <w:ind w:left="420" w:leftChars="200"/>
    </w:pPr>
    <w:rPr>
      <w:kern w:val="0"/>
      <w:sz w:val="20"/>
      <w:szCs w:val="24"/>
    </w:rPr>
  </w:style>
  <w:style w:type="character" w:customStyle="1" w:styleId="136">
    <w:name w:val="Heading 2 Char"/>
    <w:semiHidden/>
    <w:qFormat/>
    <w:uiPriority w:val="9"/>
    <w:rPr>
      <w:rFonts w:ascii="Cambria" w:hAnsi="Cambria" w:eastAsia="宋体" w:cs="Times New Roman"/>
      <w:b/>
      <w:bCs/>
      <w:sz w:val="32"/>
      <w:szCs w:val="32"/>
    </w:rPr>
  </w:style>
  <w:style w:type="character" w:customStyle="1" w:styleId="137">
    <w:name w:val="日期 Char3"/>
    <w:semiHidden/>
    <w:qFormat/>
    <w:uiPriority w:val="99"/>
    <w:rPr>
      <w:rFonts w:ascii="Calibri" w:hAnsi="Calibri" w:eastAsia="宋体" w:cs="Times New Roman"/>
      <w:sz w:val="24"/>
    </w:rPr>
  </w:style>
  <w:style w:type="character" w:customStyle="1" w:styleId="138">
    <w:name w:val="正文首行缩进 2 Char1"/>
    <w:semiHidden/>
    <w:qFormat/>
    <w:uiPriority w:val="99"/>
    <w:rPr>
      <w:rFonts w:ascii="Calibri" w:hAnsi="Calibri" w:eastAsia="宋体" w:cs="Times New Roman"/>
      <w:sz w:val="24"/>
    </w:rPr>
  </w:style>
  <w:style w:type="character" w:customStyle="1" w:styleId="139">
    <w:name w:val="Plain Text Char"/>
    <w:semiHidden/>
    <w:qFormat/>
    <w:uiPriority w:val="99"/>
    <w:rPr>
      <w:rFonts w:ascii="宋体" w:hAnsi="Courier New" w:cs="Courier New"/>
      <w:szCs w:val="21"/>
    </w:rPr>
  </w:style>
  <w:style w:type="character" w:customStyle="1" w:styleId="140">
    <w:name w:val="批注框文本 Char1"/>
    <w:semiHidden/>
    <w:qFormat/>
    <w:uiPriority w:val="99"/>
    <w:rPr>
      <w:rFonts w:ascii="Calibri" w:hAnsi="Calibri" w:eastAsia="宋体" w:cs="Times New Roman"/>
      <w:sz w:val="18"/>
      <w:szCs w:val="18"/>
    </w:rPr>
  </w:style>
  <w:style w:type="character" w:customStyle="1" w:styleId="141">
    <w:name w:val="正文文本缩进 3 Char1"/>
    <w:qFormat/>
    <w:uiPriority w:val="99"/>
    <w:rPr>
      <w:sz w:val="16"/>
      <w:szCs w:val="16"/>
    </w:rPr>
  </w:style>
  <w:style w:type="character" w:customStyle="1" w:styleId="142">
    <w:name w:val="font01"/>
    <w:qFormat/>
    <w:uiPriority w:val="0"/>
    <w:rPr>
      <w:rFonts w:hint="eastAsia" w:ascii="宋体" w:hAnsi="宋体" w:eastAsia="宋体" w:cs="宋体"/>
      <w:color w:val="000000"/>
      <w:sz w:val="22"/>
      <w:szCs w:val="22"/>
      <w:u w:val="none"/>
    </w:rPr>
  </w:style>
  <w:style w:type="character" w:customStyle="1" w:styleId="143">
    <w:name w:val="正文文本缩进 Char1"/>
    <w:qFormat/>
    <w:uiPriority w:val="99"/>
    <w:rPr>
      <w:sz w:val="24"/>
    </w:rPr>
  </w:style>
  <w:style w:type="character" w:customStyle="1" w:styleId="144">
    <w:name w:val="正文文本缩进 3 Char2"/>
    <w:qFormat/>
    <w:uiPriority w:val="0"/>
    <w:rPr>
      <w:sz w:val="16"/>
      <w:szCs w:val="16"/>
    </w:rPr>
  </w:style>
  <w:style w:type="character" w:customStyle="1" w:styleId="145">
    <w:name w:val="Body Text 2 Char"/>
    <w:semiHidden/>
    <w:qFormat/>
    <w:uiPriority w:val="99"/>
    <w:rPr>
      <w:szCs w:val="21"/>
    </w:rPr>
  </w:style>
  <w:style w:type="character" w:customStyle="1" w:styleId="146">
    <w:name w:val="Balloon Text Char"/>
    <w:semiHidden/>
    <w:qFormat/>
    <w:uiPriority w:val="99"/>
    <w:rPr>
      <w:sz w:val="16"/>
      <w:szCs w:val="0"/>
    </w:rPr>
  </w:style>
  <w:style w:type="character" w:customStyle="1" w:styleId="147">
    <w:name w:val="map-site-province-active"/>
    <w:qFormat/>
    <w:uiPriority w:val="0"/>
  </w:style>
  <w:style w:type="character" w:customStyle="1" w:styleId="148">
    <w:name w:val="Body Text Indent 2 Char"/>
    <w:semiHidden/>
    <w:qFormat/>
    <w:uiPriority w:val="99"/>
    <w:rPr>
      <w:szCs w:val="21"/>
    </w:rPr>
  </w:style>
  <w:style w:type="character" w:customStyle="1" w:styleId="149">
    <w:name w:val="content2"/>
    <w:qFormat/>
    <w:uiPriority w:val="0"/>
  </w:style>
  <w:style w:type="character" w:customStyle="1" w:styleId="150">
    <w:name w:val="font31"/>
    <w:qFormat/>
    <w:uiPriority w:val="0"/>
    <w:rPr>
      <w:rFonts w:hint="eastAsia" w:ascii="宋体" w:hAnsi="宋体" w:eastAsia="宋体" w:cs="宋体"/>
      <w:color w:val="000000"/>
      <w:sz w:val="24"/>
      <w:szCs w:val="24"/>
    </w:rPr>
  </w:style>
  <w:style w:type="character" w:customStyle="1" w:styleId="151">
    <w:name w:val="contenttitle"/>
    <w:qFormat/>
    <w:uiPriority w:val="0"/>
  </w:style>
  <w:style w:type="character" w:customStyle="1" w:styleId="152">
    <w:name w:val="批注文字 Char2"/>
    <w:qFormat/>
    <w:uiPriority w:val="99"/>
    <w:rPr>
      <w:rFonts w:ascii="Calibri" w:hAnsi="Calibri" w:eastAsia="宋体" w:cs="Times New Roman"/>
      <w:sz w:val="24"/>
    </w:rPr>
  </w:style>
  <w:style w:type="character" w:customStyle="1" w:styleId="153">
    <w:name w:val="页码1"/>
    <w:qFormat/>
    <w:uiPriority w:val="0"/>
  </w:style>
  <w:style w:type="character" w:customStyle="1" w:styleId="154">
    <w:name w:val="页脚 Char2"/>
    <w:semiHidden/>
    <w:qFormat/>
    <w:uiPriority w:val="99"/>
    <w:rPr>
      <w:rFonts w:ascii="Calibri" w:hAnsi="Calibri" w:eastAsia="宋体" w:cs="Times New Roman"/>
      <w:sz w:val="18"/>
      <w:szCs w:val="18"/>
    </w:rPr>
  </w:style>
  <w:style w:type="character" w:customStyle="1" w:styleId="155">
    <w:name w:val="Font Style17"/>
    <w:qFormat/>
    <w:uiPriority w:val="0"/>
    <w:rPr>
      <w:rFonts w:ascii="黑体" w:eastAsia="黑体" w:cs="黑体"/>
      <w:sz w:val="28"/>
      <w:szCs w:val="28"/>
    </w:rPr>
  </w:style>
  <w:style w:type="character" w:customStyle="1" w:styleId="156">
    <w:name w:val="正文文本缩进 2 Char3"/>
    <w:semiHidden/>
    <w:qFormat/>
    <w:uiPriority w:val="99"/>
    <w:rPr>
      <w:rFonts w:ascii="Calibri" w:hAnsi="Calibri" w:eastAsia="宋体" w:cs="Times New Roman"/>
      <w:sz w:val="24"/>
    </w:rPr>
  </w:style>
  <w:style w:type="character" w:customStyle="1" w:styleId="157">
    <w:name w:val="标题 2 Char1"/>
    <w:qFormat/>
    <w:uiPriority w:val="0"/>
    <w:rPr>
      <w:rFonts w:ascii="Arial" w:hAnsi="Arial" w:eastAsia="黑体" w:cs="Times New Roman"/>
      <w:b/>
      <w:kern w:val="0"/>
      <w:sz w:val="32"/>
      <w:szCs w:val="20"/>
    </w:rPr>
  </w:style>
  <w:style w:type="character" w:customStyle="1" w:styleId="158">
    <w:name w:val="标题 Char2"/>
    <w:qFormat/>
    <w:uiPriority w:val="0"/>
    <w:rPr>
      <w:rFonts w:ascii="Cambria" w:hAnsi="Cambria" w:cs="Times New Roman"/>
      <w:b/>
      <w:bCs/>
      <w:kern w:val="2"/>
      <w:sz w:val="32"/>
      <w:szCs w:val="32"/>
    </w:rPr>
  </w:style>
  <w:style w:type="character" w:customStyle="1" w:styleId="159">
    <w:name w:val="副标题 Char1"/>
    <w:qFormat/>
    <w:uiPriority w:val="11"/>
    <w:rPr>
      <w:rFonts w:ascii="Cambria" w:hAnsi="Cambria" w:eastAsia="宋体" w:cs="Times New Roman"/>
      <w:b/>
      <w:bCs/>
      <w:kern w:val="28"/>
      <w:sz w:val="32"/>
      <w:szCs w:val="32"/>
    </w:rPr>
  </w:style>
  <w:style w:type="character" w:customStyle="1" w:styleId="160">
    <w:name w:val="文档结构图 Char4"/>
    <w:semiHidden/>
    <w:qFormat/>
    <w:uiPriority w:val="99"/>
    <w:rPr>
      <w:rFonts w:ascii="宋体" w:eastAsia="宋体"/>
      <w:sz w:val="18"/>
      <w:szCs w:val="18"/>
    </w:rPr>
  </w:style>
  <w:style w:type="character" w:customStyle="1" w:styleId="161">
    <w:name w:val="font71"/>
    <w:qFormat/>
    <w:uiPriority w:val="0"/>
    <w:rPr>
      <w:rFonts w:ascii="Wingdings" w:hAnsi="Wingdings" w:cs="Wingdings"/>
      <w:color w:val="000000"/>
      <w:sz w:val="22"/>
      <w:szCs w:val="22"/>
      <w:u w:val="none"/>
    </w:rPr>
  </w:style>
  <w:style w:type="character" w:customStyle="1" w:styleId="162">
    <w:name w:val="Comment Text Char"/>
    <w:semiHidden/>
    <w:qFormat/>
    <w:uiPriority w:val="99"/>
    <w:rPr>
      <w:szCs w:val="21"/>
    </w:rPr>
  </w:style>
  <w:style w:type="character" w:customStyle="1" w:styleId="163">
    <w:name w:val="times"/>
    <w:qFormat/>
    <w:uiPriority w:val="0"/>
    <w:rPr>
      <w:color w:val="3399FF"/>
      <w:kern w:val="2"/>
      <w:sz w:val="24"/>
      <w:szCs w:val="24"/>
      <w:bdr w:val="single" w:color="D1EDF8" w:sz="6" w:space="0"/>
      <w:shd w:val="clear" w:color="auto" w:fill="EAF9FF"/>
    </w:rPr>
  </w:style>
  <w:style w:type="character" w:customStyle="1" w:styleId="164">
    <w:name w:val="页脚 Char Char"/>
    <w:qFormat/>
    <w:uiPriority w:val="0"/>
    <w:rPr>
      <w:rFonts w:ascii="Times New Roman" w:hAnsi="Times New Roman" w:eastAsia="宋体" w:cs="Times New Roman"/>
      <w:sz w:val="18"/>
      <w:szCs w:val="18"/>
    </w:rPr>
  </w:style>
  <w:style w:type="character" w:customStyle="1" w:styleId="165">
    <w:name w:val="Header Char"/>
    <w:semiHidden/>
    <w:qFormat/>
    <w:uiPriority w:val="99"/>
    <w:rPr>
      <w:sz w:val="18"/>
      <w:szCs w:val="18"/>
    </w:rPr>
  </w:style>
  <w:style w:type="character" w:customStyle="1" w:styleId="166">
    <w:name w:val="Body Text 3 Char"/>
    <w:semiHidden/>
    <w:qFormat/>
    <w:uiPriority w:val="99"/>
    <w:rPr>
      <w:sz w:val="16"/>
      <w:szCs w:val="16"/>
    </w:rPr>
  </w:style>
  <w:style w:type="character" w:customStyle="1" w:styleId="167">
    <w:name w:val="正文文本 2 Char1"/>
    <w:qFormat/>
    <w:uiPriority w:val="0"/>
    <w:rPr>
      <w:szCs w:val="24"/>
    </w:rPr>
  </w:style>
  <w:style w:type="character" w:customStyle="1" w:styleId="168">
    <w:name w:val="正文文本缩进 3 Char4"/>
    <w:semiHidden/>
    <w:qFormat/>
    <w:uiPriority w:val="99"/>
    <w:rPr>
      <w:sz w:val="16"/>
      <w:szCs w:val="16"/>
    </w:rPr>
  </w:style>
  <w:style w:type="character" w:customStyle="1" w:styleId="169">
    <w:name w:val="Char Char12"/>
    <w:qFormat/>
    <w:locked/>
    <w:uiPriority w:val="99"/>
    <w:rPr>
      <w:rFonts w:ascii="宋体" w:eastAsia="宋体" w:cs="宋体"/>
      <w:sz w:val="24"/>
      <w:szCs w:val="24"/>
    </w:rPr>
  </w:style>
  <w:style w:type="character" w:customStyle="1" w:styleId="170">
    <w:name w:val="标题 Char4"/>
    <w:qFormat/>
    <w:uiPriority w:val="10"/>
    <w:rPr>
      <w:rFonts w:ascii="Cambria" w:hAnsi="Cambria" w:eastAsia="宋体" w:cs="Times New Roman"/>
      <w:b/>
      <w:bCs/>
      <w:sz w:val="32"/>
      <w:szCs w:val="32"/>
    </w:rPr>
  </w:style>
  <w:style w:type="character" w:customStyle="1" w:styleId="171">
    <w:name w:val="日期 Char Char"/>
    <w:qFormat/>
    <w:uiPriority w:val="0"/>
    <w:rPr>
      <w:kern w:val="2"/>
      <w:sz w:val="21"/>
    </w:rPr>
  </w:style>
  <w:style w:type="character" w:customStyle="1" w:styleId="172">
    <w:name w:val="map-site-province"/>
    <w:qFormat/>
    <w:uiPriority w:val="0"/>
  </w:style>
  <w:style w:type="character" w:customStyle="1" w:styleId="173">
    <w:name w:val="HTML Preformatted Char"/>
    <w:semiHidden/>
    <w:qFormat/>
    <w:uiPriority w:val="99"/>
    <w:rPr>
      <w:rFonts w:ascii="Courier New" w:hAnsi="Courier New" w:cs="Courier New"/>
      <w:sz w:val="20"/>
      <w:szCs w:val="20"/>
    </w:rPr>
  </w:style>
  <w:style w:type="character" w:customStyle="1" w:styleId="174">
    <w:name w:val="正文文本缩进 2 Char2"/>
    <w:qFormat/>
    <w:uiPriority w:val="0"/>
    <w:rPr>
      <w:sz w:val="24"/>
    </w:rPr>
  </w:style>
  <w:style w:type="character" w:customStyle="1" w:styleId="175">
    <w:name w:val="日期 Char2"/>
    <w:qFormat/>
    <w:uiPriority w:val="0"/>
    <w:rPr>
      <w:rFonts w:ascii="Times New Roman" w:hAnsi="Times New Roman"/>
      <w:spacing w:val="30"/>
      <w:sz w:val="28"/>
      <w:szCs w:val="24"/>
    </w:rPr>
  </w:style>
  <w:style w:type="character" w:customStyle="1" w:styleId="176">
    <w:name w:val="纯文本 Char4"/>
    <w:qFormat/>
    <w:uiPriority w:val="0"/>
    <w:rPr>
      <w:rFonts w:ascii="宋体" w:hAnsi="Courier New" w:eastAsia="宋体" w:cs="Courier New"/>
      <w:szCs w:val="21"/>
    </w:rPr>
  </w:style>
  <w:style w:type="character" w:customStyle="1" w:styleId="177">
    <w:name w:val="正文文本 Char2"/>
    <w:semiHidden/>
    <w:qFormat/>
    <w:uiPriority w:val="99"/>
    <w:rPr>
      <w:rFonts w:ascii="Calibri" w:hAnsi="Calibri" w:eastAsia="宋体" w:cs="Times New Roman"/>
      <w:sz w:val="24"/>
    </w:rPr>
  </w:style>
  <w:style w:type="character" w:customStyle="1" w:styleId="178">
    <w:name w:val="纯文本 Char5"/>
    <w:semiHidden/>
    <w:qFormat/>
    <w:uiPriority w:val="99"/>
    <w:rPr>
      <w:rFonts w:ascii="宋体" w:hAnsi="Courier New" w:eastAsia="宋体" w:cs="Courier New"/>
      <w:szCs w:val="21"/>
    </w:rPr>
  </w:style>
  <w:style w:type="character" w:customStyle="1" w:styleId="179">
    <w:name w:val="font61"/>
    <w:qFormat/>
    <w:uiPriority w:val="0"/>
    <w:rPr>
      <w:rFonts w:hint="default" w:ascii="Calibri" w:hAnsi="Calibri" w:cs="Calibri"/>
      <w:color w:val="000000"/>
      <w:sz w:val="22"/>
      <w:szCs w:val="22"/>
      <w:u w:val="none"/>
    </w:rPr>
  </w:style>
  <w:style w:type="character" w:customStyle="1" w:styleId="180">
    <w:name w:val="font41"/>
    <w:qFormat/>
    <w:uiPriority w:val="0"/>
    <w:rPr>
      <w:rFonts w:hint="default" w:ascii="Times New Roman" w:hAnsi="Times New Roman" w:cs="Times New Roman"/>
      <w:color w:val="000000"/>
      <w:sz w:val="22"/>
      <w:szCs w:val="22"/>
      <w:u w:val="none"/>
      <w:vertAlign w:val="subscript"/>
    </w:rPr>
  </w:style>
  <w:style w:type="character" w:customStyle="1" w:styleId="181">
    <w:name w:val="font11"/>
    <w:qFormat/>
    <w:uiPriority w:val="0"/>
    <w:rPr>
      <w:rFonts w:hint="eastAsia" w:ascii="宋体" w:hAnsi="宋体" w:eastAsia="宋体" w:cs="宋体"/>
      <w:color w:val="000000"/>
      <w:sz w:val="22"/>
      <w:szCs w:val="22"/>
      <w:u w:val="none"/>
    </w:rPr>
  </w:style>
  <w:style w:type="character" w:customStyle="1" w:styleId="182">
    <w:name w:val="正文文本 2 Char3"/>
    <w:semiHidden/>
    <w:qFormat/>
    <w:uiPriority w:val="99"/>
    <w:rPr>
      <w:rFonts w:ascii="Calibri" w:hAnsi="Calibri" w:eastAsia="宋体" w:cs="Times New Roman"/>
      <w:sz w:val="24"/>
    </w:rPr>
  </w:style>
  <w:style w:type="character" w:customStyle="1" w:styleId="183">
    <w:name w:val="文档结构图 Char3"/>
    <w:semiHidden/>
    <w:qFormat/>
    <w:uiPriority w:val="99"/>
    <w:rPr>
      <w:rFonts w:ascii="宋体" w:hAnsi="Calibri" w:eastAsia="宋体" w:cs="Times New Roman"/>
      <w:sz w:val="18"/>
      <w:szCs w:val="18"/>
    </w:rPr>
  </w:style>
  <w:style w:type="character" w:customStyle="1" w:styleId="184">
    <w:name w:val="批注主题 Char2"/>
    <w:semiHidden/>
    <w:qFormat/>
    <w:uiPriority w:val="99"/>
    <w:rPr>
      <w:rFonts w:ascii="Calibri" w:hAnsi="Calibri" w:eastAsia="宋体" w:cs="Times New Roman"/>
      <w:b/>
      <w:bCs/>
      <w:sz w:val="24"/>
    </w:rPr>
  </w:style>
  <w:style w:type="character" w:customStyle="1" w:styleId="185">
    <w:name w:val="正文首行缩进 2 Char2"/>
    <w:semiHidden/>
    <w:qFormat/>
    <w:uiPriority w:val="99"/>
  </w:style>
  <w:style w:type="character" w:customStyle="1" w:styleId="186">
    <w:name w:val="Char Char"/>
    <w:qFormat/>
    <w:uiPriority w:val="0"/>
    <w:rPr>
      <w:rFonts w:ascii="楷体_GB2312" w:eastAsia="楷体_GB2312"/>
      <w:kern w:val="2"/>
      <w:sz w:val="28"/>
      <w:lang w:val="en-US" w:eastAsia="zh-CN" w:bidi="ar-SA"/>
    </w:rPr>
  </w:style>
  <w:style w:type="character" w:customStyle="1" w:styleId="187">
    <w:name w:val="正文文本 2 Char2"/>
    <w:qFormat/>
    <w:uiPriority w:val="0"/>
    <w:rPr>
      <w:sz w:val="24"/>
    </w:rPr>
  </w:style>
  <w:style w:type="character" w:customStyle="1" w:styleId="188">
    <w:name w:val="c-icon13"/>
    <w:qFormat/>
    <w:uiPriority w:val="0"/>
  </w:style>
  <w:style w:type="character" w:customStyle="1" w:styleId="189">
    <w:name w:val="Body Text Char"/>
    <w:semiHidden/>
    <w:qFormat/>
    <w:uiPriority w:val="99"/>
    <w:rPr>
      <w:szCs w:val="21"/>
    </w:rPr>
  </w:style>
  <w:style w:type="character" w:customStyle="1" w:styleId="190">
    <w:name w:val="纯文本 Char3"/>
    <w:qFormat/>
    <w:uiPriority w:val="0"/>
    <w:rPr>
      <w:rFonts w:ascii="宋体" w:hAnsi="Courier New" w:cs="Courier New"/>
      <w:kern w:val="2"/>
      <w:sz w:val="21"/>
      <w:szCs w:val="21"/>
    </w:rPr>
  </w:style>
  <w:style w:type="character" w:customStyle="1" w:styleId="191">
    <w:name w:val="ask-title"/>
    <w:qFormat/>
    <w:uiPriority w:val="99"/>
  </w:style>
  <w:style w:type="character" w:customStyle="1" w:styleId="192">
    <w:name w:val="文档结构图 Char2"/>
    <w:qFormat/>
    <w:uiPriority w:val="0"/>
    <w:rPr>
      <w:rFonts w:ascii="宋体" w:eastAsia="宋体"/>
      <w:sz w:val="18"/>
      <w:szCs w:val="18"/>
    </w:rPr>
  </w:style>
  <w:style w:type="character" w:customStyle="1" w:styleId="193">
    <w:name w:val="times1"/>
    <w:qFormat/>
    <w:uiPriority w:val="0"/>
    <w:rPr>
      <w:color w:val="CDCDCD"/>
      <w:kern w:val="2"/>
      <w:sz w:val="24"/>
      <w:szCs w:val="24"/>
      <w:bdr w:val="single" w:color="CDCDCD" w:sz="6" w:space="0"/>
      <w:shd w:val="clear" w:color="auto" w:fill="EFEFEF"/>
    </w:rPr>
  </w:style>
  <w:style w:type="character" w:customStyle="1" w:styleId="194">
    <w:name w:val="font21"/>
    <w:qFormat/>
    <w:uiPriority w:val="0"/>
    <w:rPr>
      <w:rFonts w:hint="default" w:ascii="Times New Roman" w:hAnsi="Times New Roman" w:cs="Times New Roman"/>
      <w:color w:val="000000"/>
      <w:sz w:val="22"/>
      <w:szCs w:val="22"/>
      <w:u w:val="none"/>
    </w:rPr>
  </w:style>
  <w:style w:type="character" w:customStyle="1" w:styleId="195">
    <w:name w:val="highlight"/>
    <w:qFormat/>
    <w:uiPriority w:val="0"/>
  </w:style>
  <w:style w:type="character" w:customStyle="1" w:styleId="196">
    <w:name w:val="正文文本缩进 3 Char3"/>
    <w:semiHidden/>
    <w:qFormat/>
    <w:uiPriority w:val="99"/>
    <w:rPr>
      <w:rFonts w:ascii="Calibri" w:hAnsi="Calibri" w:eastAsia="宋体" w:cs="Times New Roman"/>
      <w:sz w:val="16"/>
      <w:szCs w:val="16"/>
    </w:rPr>
  </w:style>
  <w:style w:type="character" w:customStyle="1" w:styleId="197">
    <w:name w:val="页眉 Char1"/>
    <w:qFormat/>
    <w:uiPriority w:val="99"/>
    <w:rPr>
      <w:sz w:val="18"/>
      <w:szCs w:val="18"/>
    </w:rPr>
  </w:style>
  <w:style w:type="character" w:customStyle="1" w:styleId="198">
    <w:name w:val="apple-converted-space"/>
    <w:qFormat/>
    <w:uiPriority w:val="0"/>
  </w:style>
  <w:style w:type="character" w:customStyle="1" w:styleId="199">
    <w:name w:val="样式 四号 加粗"/>
    <w:qFormat/>
    <w:uiPriority w:val="0"/>
    <w:rPr>
      <w:b/>
      <w:bCs/>
      <w:sz w:val="28"/>
    </w:rPr>
  </w:style>
  <w:style w:type="character" w:customStyle="1" w:styleId="200">
    <w:name w:val="_Style 199"/>
    <w:qFormat/>
    <w:uiPriority w:val="0"/>
    <w:rPr>
      <w:b/>
      <w:bCs/>
      <w:smallCaps/>
      <w:spacing w:val="5"/>
      <w:kern w:val="2"/>
      <w:sz w:val="24"/>
      <w:szCs w:val="24"/>
    </w:rPr>
  </w:style>
  <w:style w:type="character" w:customStyle="1" w:styleId="201">
    <w:name w:val="纯文本 Char6"/>
    <w:semiHidden/>
    <w:qFormat/>
    <w:uiPriority w:val="99"/>
    <w:rPr>
      <w:rFonts w:ascii="宋体" w:hAnsi="Courier New" w:eastAsia="宋体" w:cs="Courier New"/>
      <w:szCs w:val="21"/>
    </w:rPr>
  </w:style>
  <w:style w:type="paragraph" w:customStyle="1" w:styleId="202">
    <w:name w:val="_Style 161"/>
    <w:basedOn w:val="1"/>
    <w:qFormat/>
    <w:uiPriority w:val="0"/>
    <w:rPr>
      <w:rFonts w:eastAsia="Times New Roman"/>
      <w:sz w:val="24"/>
      <w:szCs w:val="24"/>
    </w:rPr>
  </w:style>
  <w:style w:type="paragraph" w:customStyle="1" w:styleId="203">
    <w:name w:val="项目"/>
    <w:basedOn w:val="14"/>
    <w:qFormat/>
    <w:uiPriority w:val="0"/>
    <w:pPr>
      <w:keepNext/>
      <w:keepLines/>
      <w:numPr>
        <w:ilvl w:val="0"/>
        <w:numId w:val="2"/>
      </w:numPr>
    </w:pPr>
    <w:rPr>
      <w:sz w:val="24"/>
    </w:rPr>
  </w:style>
  <w:style w:type="paragraph" w:customStyle="1" w:styleId="204">
    <w:name w:val="Header 1"/>
    <w:basedOn w:val="1"/>
    <w:qFormat/>
    <w:uiPriority w:val="0"/>
    <w:pPr>
      <w:widowControl/>
      <w:spacing w:after="240"/>
    </w:pPr>
    <w:rPr>
      <w:kern w:val="0"/>
      <w:sz w:val="24"/>
      <w:lang w:val="en-GB"/>
    </w:rPr>
  </w:style>
  <w:style w:type="paragraph" w:customStyle="1" w:styleId="205">
    <w:name w:val="_Style 2"/>
    <w:basedOn w:val="1"/>
    <w:qFormat/>
    <w:uiPriority w:val="0"/>
    <w:pPr>
      <w:tabs>
        <w:tab w:val="left" w:pos="360"/>
      </w:tabs>
    </w:pPr>
    <w:rPr>
      <w:sz w:val="24"/>
      <w:szCs w:val="24"/>
    </w:rPr>
  </w:style>
  <w:style w:type="paragraph" w:customStyle="1" w:styleId="206">
    <w:name w:val="标书正文格式"/>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07">
    <w:name w:val="Table Contents"/>
    <w:basedOn w:val="1"/>
    <w:qFormat/>
    <w:uiPriority w:val="0"/>
    <w:pPr>
      <w:suppressLineNumbers/>
    </w:pPr>
  </w:style>
  <w:style w:type="paragraph" w:customStyle="1" w:styleId="208">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0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s23"/>
    <w:basedOn w:val="1"/>
    <w:qFormat/>
    <w:uiPriority w:val="0"/>
    <w:pPr>
      <w:widowControl/>
      <w:spacing w:before="100" w:beforeAutospacing="1" w:after="100" w:afterAutospacing="1"/>
      <w:jc w:val="left"/>
    </w:pPr>
    <w:rPr>
      <w:rFonts w:ascii="宋体" w:hAnsi="宋体" w:cs="宋体"/>
      <w:kern w:val="0"/>
    </w:rPr>
  </w:style>
  <w:style w:type="paragraph" w:customStyle="1" w:styleId="211">
    <w:name w:val="默认段落字体 Para Char"/>
    <w:basedOn w:val="1"/>
    <w:qFormat/>
    <w:uiPriority w:val="0"/>
    <w:rPr>
      <w:szCs w:val="24"/>
    </w:rPr>
  </w:style>
  <w:style w:type="paragraph" w:customStyle="1" w:styleId="212">
    <w:name w:val="_Style 16"/>
    <w:basedOn w:val="213"/>
    <w:qFormat/>
    <w:uiPriority w:val="0"/>
  </w:style>
  <w:style w:type="paragraph" w:customStyle="1" w:styleId="21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214">
    <w:name w:val="CM11"/>
    <w:basedOn w:val="215"/>
    <w:next w:val="215"/>
    <w:qFormat/>
    <w:uiPriority w:val="0"/>
    <w:rPr>
      <w:rFonts w:cs="Times New Roman"/>
      <w:color w:val="auto"/>
    </w:rPr>
  </w:style>
  <w:style w:type="paragraph" w:customStyle="1" w:styleId="21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16">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普通 (Web)"/>
    <w:basedOn w:val="1"/>
    <w:qFormat/>
    <w:uiPriority w:val="99"/>
    <w:pPr>
      <w:spacing w:before="100" w:beforeAutospacing="1" w:after="100" w:afterAutospacing="1" w:line="360" w:lineRule="auto"/>
      <w:jc w:val="left"/>
    </w:pPr>
    <w:rPr>
      <w:rFonts w:ascii="宋体" w:cs="宋体"/>
      <w:kern w:val="0"/>
      <w:sz w:val="28"/>
      <w:szCs w:val="28"/>
    </w:rPr>
  </w:style>
  <w:style w:type="paragraph" w:customStyle="1" w:styleId="218">
    <w:name w:val="批注框文本 Char Char"/>
    <w:basedOn w:val="1"/>
    <w:qFormat/>
    <w:uiPriority w:val="0"/>
    <w:pPr>
      <w:widowControl/>
      <w:jc w:val="left"/>
    </w:pPr>
    <w:rPr>
      <w:kern w:val="0"/>
      <w:sz w:val="18"/>
    </w:rPr>
  </w:style>
  <w:style w:type="paragraph" w:customStyle="1" w:styleId="219">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20">
    <w:name w:val="列出段落11"/>
    <w:basedOn w:val="1"/>
    <w:qFormat/>
    <w:uiPriority w:val="0"/>
    <w:pPr>
      <w:ind w:firstLine="420" w:firstLineChars="200"/>
    </w:pPr>
    <w:rPr>
      <w:rFonts w:ascii="Calibri" w:hAnsi="Calibri"/>
      <w:szCs w:val="22"/>
    </w:rPr>
  </w:style>
  <w:style w:type="paragraph" w:customStyle="1" w:styleId="221">
    <w:name w:val="不缩进"/>
    <w:basedOn w:val="1"/>
    <w:qFormat/>
    <w:uiPriority w:val="0"/>
    <w:pPr>
      <w:snapToGrid w:val="0"/>
      <w:jc w:val="center"/>
      <w:textAlignment w:val="top"/>
    </w:pPr>
    <w:rPr>
      <w:rFonts w:eastAsia="楷体_GB2312"/>
      <w:sz w:val="28"/>
    </w:rPr>
  </w:style>
  <w:style w:type="paragraph" w:customStyle="1" w:styleId="222">
    <w:name w:val="表格文字"/>
    <w:basedOn w:val="1"/>
    <w:qFormat/>
    <w:uiPriority w:val="0"/>
    <w:pPr>
      <w:spacing w:before="25" w:after="25"/>
      <w:jc w:val="left"/>
    </w:pPr>
    <w:rPr>
      <w:bCs/>
      <w:spacing w:val="10"/>
      <w:kern w:val="0"/>
      <w:sz w:val="24"/>
      <w:szCs w:val="20"/>
    </w:rPr>
  </w:style>
  <w:style w:type="paragraph" w:customStyle="1" w:styleId="223">
    <w:name w:val="Char Char Char Char Char Char Char"/>
    <w:basedOn w:val="16"/>
    <w:qFormat/>
    <w:uiPriority w:val="99"/>
    <w:pPr>
      <w:spacing w:line="360" w:lineRule="auto"/>
    </w:pPr>
    <w:rPr>
      <w:rFonts w:ascii="Tahoma" w:hAnsi="Tahoma" w:cs="Tahoma"/>
      <w:sz w:val="24"/>
      <w:szCs w:val="24"/>
    </w:rPr>
  </w:style>
  <w:style w:type="paragraph" w:customStyle="1" w:styleId="224">
    <w:name w:val="标题 61"/>
    <w:basedOn w:val="1"/>
    <w:next w:val="1"/>
    <w:qFormat/>
    <w:uiPriority w:val="0"/>
    <w:pPr>
      <w:keepNext/>
      <w:keepLines/>
      <w:tabs>
        <w:tab w:val="left" w:pos="4589"/>
      </w:tabs>
      <w:spacing w:before="240" w:line="317" w:lineRule="auto"/>
      <w:ind w:left="3000"/>
      <w:outlineLvl w:val="5"/>
    </w:pPr>
    <w:rPr>
      <w:rFonts w:ascii="Arial" w:hAnsi="Arial" w:eastAsia="黑体"/>
      <w:b/>
      <w:bCs/>
      <w:kern w:val="0"/>
      <w:sz w:val="24"/>
      <w:szCs w:val="24"/>
    </w:rPr>
  </w:style>
  <w:style w:type="paragraph" w:customStyle="1" w:styleId="225">
    <w:name w:val="正文 New New New New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6">
    <w:name w:val="_Style 225"/>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7">
    <w:name w:val="00"/>
    <w:basedOn w:val="1"/>
    <w:qFormat/>
    <w:uiPriority w:val="0"/>
    <w:pPr>
      <w:spacing w:line="400" w:lineRule="exact"/>
    </w:pPr>
    <w:rPr>
      <w:rFonts w:ascii="宋体" w:hAnsi="宋体"/>
      <w:kern w:val="0"/>
      <w:sz w:val="24"/>
      <w:szCs w:val="24"/>
    </w:rPr>
  </w:style>
  <w:style w:type="paragraph" w:customStyle="1" w:styleId="228">
    <w:name w:val="_Style 12"/>
    <w:basedOn w:val="1"/>
    <w:qFormat/>
    <w:uiPriority w:val="0"/>
    <w:pPr>
      <w:spacing w:line="360" w:lineRule="auto"/>
    </w:pPr>
  </w:style>
  <w:style w:type="paragraph" w:customStyle="1" w:styleId="229">
    <w:name w:val="样式2"/>
    <w:basedOn w:val="1"/>
    <w:qFormat/>
    <w:uiPriority w:val="99"/>
    <w:pPr>
      <w:adjustRightInd w:val="0"/>
      <w:spacing w:line="410" w:lineRule="atLeast"/>
      <w:jc w:val="left"/>
      <w:textAlignment w:val="baseline"/>
    </w:pPr>
    <w:rPr>
      <w:kern w:val="0"/>
      <w:sz w:val="24"/>
    </w:rPr>
  </w:style>
  <w:style w:type="paragraph" w:customStyle="1" w:styleId="230">
    <w:name w:val="Char Char Char1 Char Char Char Char"/>
    <w:basedOn w:val="1"/>
    <w:qFormat/>
    <w:uiPriority w:val="99"/>
    <w:rPr>
      <w:sz w:val="30"/>
      <w:szCs w:val="30"/>
    </w:rPr>
  </w:style>
  <w:style w:type="paragraph" w:customStyle="1" w:styleId="231">
    <w:name w:val="Char"/>
    <w:basedOn w:val="1"/>
    <w:qFormat/>
    <w:uiPriority w:val="99"/>
    <w:pPr>
      <w:tabs>
        <w:tab w:val="left" w:pos="960"/>
      </w:tabs>
      <w:ind w:left="960" w:hanging="480"/>
    </w:pPr>
    <w:rPr>
      <w:szCs w:val="21"/>
    </w:rPr>
  </w:style>
  <w:style w:type="paragraph" w:customStyle="1" w:styleId="2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3">
    <w:name w:val="Char1 Char Char Char"/>
    <w:basedOn w:val="1"/>
    <w:qFormat/>
    <w:uiPriority w:val="0"/>
    <w:rPr>
      <w:rFonts w:eastAsia="Times New Roman"/>
      <w:kern w:val="0"/>
      <w:sz w:val="20"/>
    </w:rPr>
  </w:style>
  <w:style w:type="paragraph" w:styleId="234">
    <w:name w:val="List Paragraph"/>
    <w:basedOn w:val="1"/>
    <w:qFormat/>
    <w:uiPriority w:val="34"/>
    <w:pPr>
      <w:ind w:firstLine="420" w:firstLineChars="200"/>
    </w:pPr>
  </w:style>
  <w:style w:type="paragraph" w:customStyle="1" w:styleId="235">
    <w:name w:val="标书正文1"/>
    <w:basedOn w:val="1"/>
    <w:next w:val="236"/>
    <w:qFormat/>
    <w:uiPriority w:val="0"/>
    <w:pPr>
      <w:tabs>
        <w:tab w:val="left" w:pos="5730"/>
        <w:tab w:val="left" w:pos="8280"/>
      </w:tabs>
      <w:adjustRightInd w:val="0"/>
      <w:snapToGrid w:val="0"/>
      <w:spacing w:line="360" w:lineRule="auto"/>
      <w:ind w:firstLine="480" w:firstLineChars="200"/>
      <w:jc w:val="left"/>
    </w:pPr>
    <w:rPr>
      <w:rFonts w:ascii="仿宋" w:hAnsi="仿宋" w:eastAsia="仿宋"/>
    </w:rPr>
  </w:style>
  <w:style w:type="paragraph" w:customStyle="1" w:styleId="236">
    <w:name w:val="文档正文"/>
    <w:basedOn w:val="1"/>
    <w:qFormat/>
    <w:uiPriority w:val="0"/>
    <w:pPr>
      <w:spacing w:line="360" w:lineRule="auto"/>
    </w:pPr>
    <w:rPr>
      <w:rFonts w:ascii="Arial" w:hAnsi="Arial" w:cs="Arial"/>
    </w:rPr>
  </w:style>
  <w:style w:type="paragraph" w:customStyle="1" w:styleId="237">
    <w:name w:val="p0"/>
    <w:qFormat/>
    <w:uiPriority w:val="0"/>
    <w:rPr>
      <w:rFonts w:ascii="Times New Roman" w:hAnsi="Times New Roman" w:eastAsia="宋体" w:cs="Times New Roman"/>
      <w:szCs w:val="21"/>
      <w:lang w:val="en-US" w:eastAsia="zh-CN" w:bidi="ar-SA"/>
    </w:rPr>
  </w:style>
  <w:style w:type="paragraph" w:customStyle="1" w:styleId="238">
    <w:name w:val="标题 31"/>
    <w:basedOn w:val="1"/>
    <w:next w:val="1"/>
    <w:qFormat/>
    <w:uiPriority w:val="0"/>
    <w:pPr>
      <w:tabs>
        <w:tab w:val="left" w:pos="3329"/>
      </w:tabs>
      <w:spacing w:beforeLines="150" w:line="400" w:lineRule="exact"/>
      <w:ind w:left="1740"/>
      <w:jc w:val="left"/>
      <w:outlineLvl w:val="2"/>
    </w:pPr>
    <w:rPr>
      <w:b/>
      <w:bCs/>
      <w:i/>
      <w:kern w:val="0"/>
      <w:sz w:val="28"/>
      <w:szCs w:val="32"/>
    </w:rPr>
  </w:style>
  <w:style w:type="paragraph" w:customStyle="1" w:styleId="239">
    <w:name w:val=" Char Char1 Char Char Char Char"/>
    <w:basedOn w:val="16"/>
    <w:qFormat/>
    <w:uiPriority w:val="0"/>
    <w:rPr>
      <w:rFonts w:ascii="Tahoma" w:hAnsi="Tahoma"/>
      <w:kern w:val="0"/>
      <w:sz w:val="24"/>
      <w:szCs w:val="24"/>
    </w:rPr>
  </w:style>
  <w:style w:type="paragraph" w:customStyle="1" w:styleId="240">
    <w:name w:val="正文(首行缩进2字)"/>
    <w:basedOn w:val="1"/>
    <w:next w:val="1"/>
    <w:qFormat/>
    <w:uiPriority w:val="0"/>
    <w:pPr>
      <w:adjustRightInd w:val="0"/>
      <w:spacing w:line="360" w:lineRule="auto"/>
      <w:ind w:left="541" w:leftChars="229" w:hanging="60" w:hangingChars="25"/>
      <w:jc w:val="left"/>
      <w:textAlignment w:val="baseline"/>
    </w:pPr>
    <w:rPr>
      <w:color w:val="000000"/>
      <w:kern w:val="0"/>
      <w:sz w:val="28"/>
      <w:szCs w:val="21"/>
    </w:rPr>
  </w:style>
  <w:style w:type="paragraph" w:customStyle="1" w:styleId="241">
    <w:name w:val="标题 3 New"/>
    <w:basedOn w:val="1"/>
    <w:next w:val="1"/>
    <w:qFormat/>
    <w:uiPriority w:val="0"/>
    <w:pPr>
      <w:numPr>
        <w:ilvl w:val="1"/>
        <w:numId w:val="3"/>
      </w:numPr>
      <w:tabs>
        <w:tab w:val="left" w:pos="425"/>
        <w:tab w:val="left" w:pos="851"/>
      </w:tabs>
      <w:spacing w:line="360" w:lineRule="auto"/>
      <w:outlineLvl w:val="2"/>
    </w:pPr>
    <w:rPr>
      <w:rFonts w:ascii="宋体"/>
    </w:rPr>
  </w:style>
  <w:style w:type="paragraph" w:customStyle="1" w:styleId="242">
    <w:name w:val="日期1"/>
    <w:basedOn w:val="1"/>
    <w:next w:val="1"/>
    <w:qFormat/>
    <w:uiPriority w:val="0"/>
    <w:rPr>
      <w:rFonts w:ascii="宋体" w:hAnsi="Calibri"/>
      <w:b/>
      <w:kern w:val="0"/>
      <w:sz w:val="44"/>
    </w:rPr>
  </w:style>
  <w:style w:type="paragraph" w:customStyle="1" w:styleId="243">
    <w:name w:val="附录标识"/>
    <w:basedOn w:val="1"/>
    <w:qFormat/>
    <w:uiPriority w:val="99"/>
    <w:pPr>
      <w:widowControl/>
      <w:shd w:val="clear" w:color="auto" w:fill="FFFFFF"/>
      <w:tabs>
        <w:tab w:val="left" w:pos="360"/>
        <w:tab w:val="left" w:pos="6405"/>
      </w:tabs>
      <w:spacing w:before="640" w:after="200"/>
      <w:jc w:val="center"/>
      <w:outlineLvl w:val="0"/>
    </w:pPr>
    <w:rPr>
      <w:rFonts w:ascii="黑体" w:eastAsia="黑体" w:cs="黑体"/>
      <w:kern w:val="0"/>
      <w:szCs w:val="21"/>
    </w:rPr>
  </w:style>
  <w:style w:type="paragraph" w:customStyle="1" w:styleId="244">
    <w:name w:val="正文文本 21"/>
    <w:basedOn w:val="1"/>
    <w:qFormat/>
    <w:uiPriority w:val="0"/>
    <w:pPr>
      <w:spacing w:after="120" w:line="480" w:lineRule="auto"/>
    </w:pPr>
    <w:rPr>
      <w:rFonts w:ascii="Calibri" w:hAnsi="Calibri"/>
      <w:kern w:val="0"/>
      <w:sz w:val="20"/>
      <w:szCs w:val="24"/>
    </w:rPr>
  </w:style>
  <w:style w:type="paragraph" w:customStyle="1" w:styleId="245">
    <w:name w:val=" Char Char Char Char Char Char Char"/>
    <w:basedOn w:val="1"/>
    <w:qFormat/>
    <w:uiPriority w:val="0"/>
    <w:pPr>
      <w:tabs>
        <w:tab w:val="left" w:pos="0"/>
      </w:tabs>
      <w:outlineLvl w:val="0"/>
    </w:pPr>
    <w:rPr>
      <w:szCs w:val="24"/>
    </w:rPr>
  </w:style>
  <w:style w:type="paragraph" w:customStyle="1" w:styleId="246">
    <w:name w:val=" Char"/>
    <w:basedOn w:val="1"/>
    <w:qFormat/>
    <w:uiPriority w:val="0"/>
    <w:pPr>
      <w:tabs>
        <w:tab w:val="left" w:pos="360"/>
      </w:tabs>
    </w:pPr>
    <w:rPr>
      <w:sz w:val="24"/>
      <w:szCs w:val="24"/>
    </w:rPr>
  </w:style>
  <w:style w:type="paragraph" w:customStyle="1" w:styleId="247">
    <w:name w:val="正文 + 黑色"/>
    <w:basedOn w:val="1"/>
    <w:qFormat/>
    <w:uiPriority w:val="0"/>
    <w:pPr>
      <w:widowControl/>
      <w:jc w:val="left"/>
    </w:pPr>
    <w:rPr>
      <w:rFonts w:ascii="宋体" w:hAnsi="宋体"/>
      <w:kern w:val="0"/>
    </w:rPr>
  </w:style>
  <w:style w:type="paragraph" w:customStyle="1" w:styleId="24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9">
    <w:name w:val=" Char Char1"/>
    <w:basedOn w:val="1"/>
    <w:qFormat/>
    <w:uiPriority w:val="0"/>
    <w:pPr>
      <w:adjustRightInd w:val="0"/>
      <w:spacing w:line="360" w:lineRule="auto"/>
    </w:pPr>
  </w:style>
  <w:style w:type="paragraph" w:customStyle="1" w:styleId="250">
    <w:name w:val="正文文本缩进 31"/>
    <w:basedOn w:val="1"/>
    <w:qFormat/>
    <w:uiPriority w:val="0"/>
    <w:pPr>
      <w:spacing w:after="120"/>
      <w:ind w:left="420" w:leftChars="200"/>
    </w:pPr>
    <w:rPr>
      <w:rFonts w:ascii="Calibri" w:hAnsi="Calibri"/>
      <w:kern w:val="0"/>
      <w:sz w:val="16"/>
      <w:szCs w:val="16"/>
    </w:rPr>
  </w:style>
  <w:style w:type="paragraph" w:customStyle="1" w:styleId="251">
    <w:name w:val="table"/>
    <w:basedOn w:val="1"/>
    <w:qFormat/>
    <w:uiPriority w:val="99"/>
    <w:pPr>
      <w:widowControl/>
      <w:overflowPunct w:val="0"/>
      <w:autoSpaceDE w:val="0"/>
      <w:autoSpaceDN w:val="0"/>
      <w:adjustRightInd w:val="0"/>
      <w:spacing w:before="60" w:after="60"/>
      <w:jc w:val="center"/>
      <w:textAlignment w:val="baseline"/>
    </w:pPr>
    <w:rPr>
      <w:rFonts w:ascii="仿宋体" w:eastAsia="仿宋体" w:cs="仿宋体"/>
      <w:kern w:val="0"/>
      <w:sz w:val="24"/>
      <w:szCs w:val="24"/>
    </w:rPr>
  </w:style>
  <w:style w:type="paragraph" w:customStyle="1" w:styleId="252">
    <w:name w:val="Char Char Char Char Char2"/>
    <w:basedOn w:val="1"/>
    <w:qFormat/>
    <w:uiPriority w:val="0"/>
    <w:pPr>
      <w:snapToGrid w:val="0"/>
      <w:spacing w:line="440" w:lineRule="atLeast"/>
    </w:pPr>
    <w:rPr>
      <w:rFonts w:ascii="宋体"/>
      <w:sz w:val="24"/>
      <w:szCs w:val="24"/>
    </w:rPr>
  </w:style>
  <w:style w:type="paragraph" w:customStyle="1" w:styleId="253">
    <w:name w:val="WPSOffice手动目录 1"/>
    <w:qFormat/>
    <w:uiPriority w:val="0"/>
    <w:rPr>
      <w:rFonts w:ascii="Times New Roman" w:hAnsi="Times New Roman" w:eastAsia="宋体" w:cs="Times New Roman"/>
      <w:lang w:val="en-US" w:eastAsia="zh-CN" w:bidi="ar-SA"/>
    </w:rPr>
  </w:style>
  <w:style w:type="paragraph" w:customStyle="1" w:styleId="254">
    <w:name w:val="s54"/>
    <w:basedOn w:val="1"/>
    <w:qFormat/>
    <w:uiPriority w:val="0"/>
    <w:pPr>
      <w:widowControl/>
      <w:spacing w:before="100" w:beforeAutospacing="1" w:after="100" w:afterAutospacing="1"/>
      <w:jc w:val="left"/>
    </w:pPr>
    <w:rPr>
      <w:rFonts w:ascii="宋体" w:hAnsi="宋体" w:cs="宋体"/>
      <w:kern w:val="0"/>
    </w:rPr>
  </w:style>
  <w:style w:type="paragraph" w:customStyle="1" w:styleId="255">
    <w:name w:val="样式1"/>
    <w:basedOn w:val="1"/>
    <w:next w:val="14"/>
    <w:qFormat/>
    <w:uiPriority w:val="99"/>
    <w:rPr>
      <w:rFonts w:ascii="宋体" w:hAnsi="Arial Unicode MS" w:cs="宋体"/>
      <w:color w:val="000000"/>
      <w:kern w:val="0"/>
      <w:sz w:val="24"/>
      <w:szCs w:val="24"/>
    </w:rPr>
  </w:style>
  <w:style w:type="paragraph" w:customStyle="1" w:styleId="256">
    <w:name w:val="正文缩进1"/>
    <w:basedOn w:val="1"/>
    <w:qFormat/>
    <w:uiPriority w:val="0"/>
    <w:pPr>
      <w:ind w:firstLine="420"/>
    </w:pPr>
    <w:rPr>
      <w:sz w:val="24"/>
    </w:rPr>
  </w:style>
  <w:style w:type="paragraph" w:customStyle="1" w:styleId="257">
    <w:name w:val="retrait3"/>
    <w:basedOn w:val="1"/>
    <w:qFormat/>
    <w:uiPriority w:val="99"/>
    <w:pPr>
      <w:widowControl/>
      <w:spacing w:before="20" w:after="20"/>
      <w:ind w:left="851"/>
      <w:jc w:val="left"/>
    </w:pPr>
    <w:rPr>
      <w:rFonts w:ascii="Arial" w:hAnsi="Arial" w:cs="Arial"/>
      <w:kern w:val="0"/>
      <w:sz w:val="24"/>
      <w:szCs w:val="24"/>
      <w:lang w:val="en-GB"/>
    </w:rPr>
  </w:style>
  <w:style w:type="paragraph" w:customStyle="1" w:styleId="258">
    <w:name w:val="_Style 1"/>
    <w:basedOn w:val="1"/>
    <w:qFormat/>
    <w:uiPriority w:val="0"/>
    <w:pPr>
      <w:widowControl w:val="0"/>
      <w:tabs>
        <w:tab w:val="left" w:pos="360"/>
      </w:tabs>
      <w:jc w:val="both"/>
    </w:pPr>
    <w:rPr>
      <w:kern w:val="2"/>
      <w:sz w:val="24"/>
      <w:szCs w:val="24"/>
    </w:rPr>
  </w:style>
  <w:style w:type="paragraph" w:customStyle="1" w:styleId="259">
    <w:name w:val="标题 81"/>
    <w:basedOn w:val="1"/>
    <w:next w:val="1"/>
    <w:qFormat/>
    <w:uiPriority w:val="0"/>
    <w:pPr>
      <w:keepNext/>
      <w:keepLines/>
      <w:tabs>
        <w:tab w:val="left" w:pos="5429"/>
      </w:tabs>
      <w:spacing w:before="240" w:line="320" w:lineRule="atLeast"/>
      <w:ind w:left="3840"/>
      <w:outlineLvl w:val="7"/>
    </w:pPr>
    <w:rPr>
      <w:rFonts w:ascii="Arial" w:hAnsi="Arial" w:eastAsia="黑体"/>
      <w:kern w:val="0"/>
      <w:sz w:val="24"/>
      <w:szCs w:val="24"/>
    </w:rPr>
  </w:style>
  <w:style w:type="paragraph" w:customStyle="1" w:styleId="260">
    <w:name w:val="目录"/>
    <w:basedOn w:val="1"/>
    <w:qFormat/>
    <w:uiPriority w:val="0"/>
    <w:pPr>
      <w:widowControl/>
      <w:spacing w:line="480" w:lineRule="auto"/>
      <w:jc w:val="center"/>
    </w:pPr>
    <w:rPr>
      <w:rFonts w:ascii="宋体"/>
      <w:b/>
      <w:kern w:val="0"/>
      <w:sz w:val="24"/>
    </w:rPr>
  </w:style>
  <w:style w:type="paragraph" w:customStyle="1" w:styleId="261">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262">
    <w:name w:val="标题 71"/>
    <w:basedOn w:val="1"/>
    <w:next w:val="1"/>
    <w:qFormat/>
    <w:uiPriority w:val="0"/>
    <w:pPr>
      <w:keepNext/>
      <w:keepLines/>
      <w:tabs>
        <w:tab w:val="left" w:pos="5009"/>
      </w:tabs>
      <w:spacing w:before="240" w:line="320" w:lineRule="atLeast"/>
      <w:ind w:left="3420"/>
      <w:outlineLvl w:val="6"/>
    </w:pPr>
    <w:rPr>
      <w:b/>
      <w:bCs/>
      <w:kern w:val="0"/>
      <w:sz w:val="24"/>
      <w:szCs w:val="24"/>
    </w:rPr>
  </w:style>
  <w:style w:type="paragraph" w:customStyle="1" w:styleId="263">
    <w:name w:val="Char Char Char Char Char Char Char Char Char Char"/>
    <w:basedOn w:val="1"/>
    <w:qFormat/>
    <w:uiPriority w:val="0"/>
    <w:rPr>
      <w:rFonts w:ascii="Verdana" w:hAnsi="Verdana"/>
      <w:kern w:val="0"/>
      <w:lang w:eastAsia="en-US"/>
    </w:rPr>
  </w:style>
  <w:style w:type="paragraph" w:customStyle="1" w:styleId="264">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5">
    <w:name w:val="tableau"/>
    <w:basedOn w:val="1"/>
    <w:qFormat/>
    <w:uiPriority w:val="99"/>
    <w:pPr>
      <w:widowControl/>
      <w:spacing w:before="20" w:after="20"/>
      <w:jc w:val="center"/>
    </w:pPr>
    <w:rPr>
      <w:rFonts w:ascii="Arial" w:hAnsi="Arial" w:cs="Arial"/>
      <w:kern w:val="0"/>
      <w:sz w:val="16"/>
      <w:szCs w:val="16"/>
      <w:lang w:val="en-GB" w:eastAsia="en-US"/>
    </w:rPr>
  </w:style>
  <w:style w:type="paragraph" w:customStyle="1" w:styleId="266">
    <w:name w:val="_Style 5"/>
    <w:basedOn w:val="2"/>
    <w:next w:val="1"/>
    <w:qFormat/>
    <w:uiPriority w:val="39"/>
    <w:pPr>
      <w:pageBreakBefore w:val="0"/>
      <w:widowControl/>
      <w:numPr>
        <w:ilvl w:val="0"/>
        <w:numId w:val="0"/>
      </w:numPr>
      <w:spacing w:before="480" w:after="0" w:afterLines="0" w:line="276" w:lineRule="auto"/>
      <w:jc w:val="left"/>
      <w:outlineLvl w:val="9"/>
    </w:pPr>
    <w:rPr>
      <w:rFonts w:ascii="Cambria" w:hAnsi="Cambria" w:eastAsia="宋体" w:cs="Times New Roman"/>
      <w:color w:val="365F91"/>
      <w:spacing w:val="0"/>
      <w:kern w:val="0"/>
      <w:sz w:val="28"/>
      <w:szCs w:val="28"/>
    </w:rPr>
  </w:style>
  <w:style w:type="paragraph" w:customStyle="1" w:styleId="267">
    <w:name w:val="Char Char Char Char Char Char"/>
    <w:basedOn w:val="16"/>
    <w:qFormat/>
    <w:uiPriority w:val="99"/>
    <w:pPr>
      <w:adjustRightInd w:val="0"/>
      <w:spacing w:line="436" w:lineRule="exact"/>
      <w:ind w:left="357"/>
      <w:jc w:val="left"/>
      <w:outlineLvl w:val="3"/>
    </w:pPr>
    <w:rPr>
      <w:rFonts w:ascii="Tahoma" w:hAnsi="Tahoma" w:cs="Tahoma"/>
      <w:b/>
      <w:bCs/>
      <w:sz w:val="24"/>
      <w:szCs w:val="24"/>
    </w:rPr>
  </w:style>
  <w:style w:type="paragraph" w:customStyle="1" w:styleId="268">
    <w:name w:val="列出段落1"/>
    <w:basedOn w:val="1"/>
    <w:qFormat/>
    <w:uiPriority w:val="34"/>
    <w:pPr>
      <w:spacing w:line="360" w:lineRule="auto"/>
      <w:ind w:firstLine="420" w:firstLineChars="200"/>
    </w:pPr>
    <w:rPr>
      <w:rFonts w:ascii="Calibri" w:hAnsi="Calibri"/>
      <w:sz w:val="24"/>
      <w:szCs w:val="22"/>
    </w:rPr>
  </w:style>
  <w:style w:type="paragraph" w:customStyle="1" w:styleId="269">
    <w:name w:val="1"/>
    <w:basedOn w:val="1"/>
    <w:qFormat/>
    <w:uiPriority w:val="0"/>
    <w:pPr>
      <w:tabs>
        <w:tab w:val="left" w:pos="425"/>
      </w:tabs>
      <w:spacing w:line="360" w:lineRule="auto"/>
    </w:pPr>
    <w:rPr>
      <w:rFonts w:ascii="宋体"/>
      <w:sz w:val="24"/>
    </w:rPr>
  </w:style>
  <w:style w:type="paragraph" w:customStyle="1" w:styleId="270">
    <w:name w:val="TOC 标题1"/>
    <w:basedOn w:val="2"/>
    <w:next w:val="1"/>
    <w:qFormat/>
    <w:uiPriority w:val="0"/>
    <w:pPr>
      <w:widowControl/>
      <w:spacing w:before="480" w:after="0" w:line="276" w:lineRule="auto"/>
      <w:jc w:val="left"/>
      <w:outlineLvl w:val="9"/>
    </w:pPr>
    <w:rPr>
      <w:rFonts w:ascii="Cambria" w:hAnsi="Cambria"/>
      <w:color w:val="527D55"/>
      <w:kern w:val="0"/>
      <w:sz w:val="28"/>
      <w:szCs w:val="28"/>
    </w:rPr>
  </w:style>
  <w:style w:type="paragraph" w:customStyle="1" w:styleId="271">
    <w:name w:val="无间隔1"/>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272">
    <w:name w:val="标题 91"/>
    <w:basedOn w:val="1"/>
    <w:next w:val="1"/>
    <w:qFormat/>
    <w:uiPriority w:val="0"/>
    <w:pPr>
      <w:keepNext/>
      <w:keepLines/>
      <w:tabs>
        <w:tab w:val="left" w:pos="5849"/>
      </w:tabs>
      <w:spacing w:before="240" w:line="320" w:lineRule="atLeast"/>
      <w:ind w:left="4260"/>
      <w:outlineLvl w:val="8"/>
    </w:pPr>
    <w:rPr>
      <w:rFonts w:ascii="Arial" w:hAnsi="Arial" w:eastAsia="黑体"/>
      <w:kern w:val="0"/>
      <w:szCs w:val="21"/>
    </w:rPr>
  </w:style>
  <w:style w:type="paragraph" w:customStyle="1" w:styleId="273">
    <w:name w:val="默认段落字体 Para Char Char Char Char Char Char Char"/>
    <w:basedOn w:val="1"/>
    <w:qFormat/>
    <w:uiPriority w:val="0"/>
    <w:rPr>
      <w:rFonts w:eastAsia="仿宋_GB2312"/>
      <w:sz w:val="28"/>
      <w:szCs w:val="24"/>
    </w:rPr>
  </w:style>
  <w:style w:type="paragraph" w:customStyle="1" w:styleId="274">
    <w:name w:val="7"/>
    <w:basedOn w:val="1"/>
    <w:next w:val="41"/>
    <w:qFormat/>
    <w:uiPriority w:val="99"/>
    <w:pPr>
      <w:widowControl/>
      <w:spacing w:line="360" w:lineRule="auto"/>
      <w:ind w:left="784"/>
    </w:pPr>
    <w:rPr>
      <w:kern w:val="0"/>
      <w:szCs w:val="21"/>
    </w:rPr>
  </w:style>
  <w:style w:type="paragraph" w:customStyle="1" w:styleId="275">
    <w:name w:val="标题1"/>
    <w:basedOn w:val="1"/>
    <w:next w:val="1"/>
    <w:qFormat/>
    <w:uiPriority w:val="99"/>
    <w:pPr>
      <w:jc w:val="center"/>
    </w:pPr>
    <w:rPr>
      <w:b/>
      <w:bCs/>
      <w:sz w:val="44"/>
      <w:szCs w:val="44"/>
    </w:rPr>
  </w:style>
  <w:style w:type="paragraph" w:customStyle="1" w:styleId="276">
    <w:name w:val="列出段落2"/>
    <w:basedOn w:val="1"/>
    <w:qFormat/>
    <w:uiPriority w:val="34"/>
    <w:pPr>
      <w:ind w:firstLine="420" w:firstLineChars="200"/>
    </w:pPr>
    <w:rPr>
      <w:rFonts w:ascii="Calibri" w:hAnsi="Calibri"/>
      <w:szCs w:val="22"/>
    </w:rPr>
  </w:style>
  <w:style w:type="paragraph" w:customStyle="1" w:styleId="277">
    <w:name w:val="Char Char Char Char Char1"/>
    <w:basedOn w:val="1"/>
    <w:qFormat/>
    <w:uiPriority w:val="0"/>
    <w:pPr>
      <w:snapToGrid w:val="0"/>
      <w:spacing w:line="440" w:lineRule="atLeast"/>
    </w:pPr>
    <w:rPr>
      <w:rFonts w:ascii="宋体"/>
      <w:sz w:val="24"/>
      <w:szCs w:val="24"/>
    </w:rPr>
  </w:style>
  <w:style w:type="paragraph" w:styleId="278">
    <w:name w:val="No Spacing"/>
    <w:qFormat/>
    <w:uiPriority w:val="0"/>
    <w:rPr>
      <w:rFonts w:ascii="Times New Roman" w:hAnsi="Times New Roman" w:eastAsia="Calibri" w:cs="Times New Roman"/>
      <w:sz w:val="22"/>
      <w:szCs w:val="22"/>
      <w:lang w:val="en-US" w:eastAsia="en-US" w:bidi="ar-SA"/>
    </w:rPr>
  </w:style>
  <w:style w:type="paragraph" w:customStyle="1" w:styleId="279">
    <w:name w:val="_Style 278"/>
    <w:semiHidden/>
    <w:qFormat/>
    <w:uiPriority w:val="99"/>
    <w:rPr>
      <w:rFonts w:ascii="Times New Roman" w:hAnsi="Times New Roman" w:eastAsia="宋体" w:cs="Times New Roman"/>
      <w:kern w:val="2"/>
      <w:sz w:val="21"/>
      <w:szCs w:val="21"/>
      <w:lang w:val="en-US" w:eastAsia="zh-CN" w:bidi="ar-SA"/>
    </w:rPr>
  </w:style>
  <w:style w:type="paragraph" w:customStyle="1" w:styleId="280">
    <w:name w:val="标题 41"/>
    <w:basedOn w:val="1"/>
    <w:next w:val="1"/>
    <w:qFormat/>
    <w:uiPriority w:val="0"/>
    <w:pPr>
      <w:tabs>
        <w:tab w:val="left" w:pos="720"/>
        <w:tab w:val="left" w:pos="3749"/>
      </w:tabs>
      <w:spacing w:line="400" w:lineRule="exact"/>
      <w:ind w:left="566" w:hanging="566" w:hangingChars="236"/>
      <w:outlineLvl w:val="3"/>
    </w:pPr>
    <w:rPr>
      <w:bCs/>
      <w:kern w:val="0"/>
      <w:sz w:val="24"/>
      <w:szCs w:val="28"/>
    </w:rPr>
  </w:style>
  <w:style w:type="paragraph" w:customStyle="1" w:styleId="281">
    <w:name w:val="标题3"/>
    <w:basedOn w:val="3"/>
    <w:qFormat/>
    <w:uiPriority w:val="0"/>
    <w:pPr>
      <w:numPr>
        <w:ilvl w:val="1"/>
        <w:numId w:val="0"/>
      </w:numPr>
      <w:tabs>
        <w:tab w:val="clear" w:pos="425"/>
      </w:tabs>
      <w:adjustRightInd/>
      <w:snapToGrid/>
      <w:ind w:firstLine="561"/>
      <w:outlineLvl w:val="2"/>
    </w:pPr>
    <w:rPr>
      <w:rFonts w:ascii="Arial"/>
      <w:bCs/>
      <w:kern w:val="0"/>
      <w:szCs w:val="32"/>
    </w:rPr>
  </w:style>
  <w:style w:type="paragraph" w:customStyle="1" w:styleId="282">
    <w:name w:val="List Paragraph11"/>
    <w:basedOn w:val="1"/>
    <w:qFormat/>
    <w:uiPriority w:val="34"/>
    <w:pPr>
      <w:ind w:firstLine="420" w:firstLineChars="200"/>
    </w:pPr>
    <w:rPr>
      <w:szCs w:val="21"/>
    </w:rPr>
  </w:style>
  <w:style w:type="paragraph" w:customStyle="1" w:styleId="283">
    <w:name w:val="正文_0"/>
    <w:basedOn w:val="1"/>
    <w:qFormat/>
    <w:uiPriority w:val="0"/>
    <w:pPr>
      <w:spacing w:line="360" w:lineRule="auto"/>
    </w:pPr>
    <w:rPr>
      <w:rFonts w:eastAsia="仿宋_GB2312"/>
      <w:sz w:val="32"/>
      <w:szCs w:val="32"/>
    </w:rPr>
  </w:style>
  <w:style w:type="paragraph" w:customStyle="1" w:styleId="284">
    <w:name w:val="Char Char Char Char Char"/>
    <w:basedOn w:val="1"/>
    <w:qFormat/>
    <w:uiPriority w:val="0"/>
    <w:pPr>
      <w:snapToGrid w:val="0"/>
      <w:spacing w:line="440" w:lineRule="atLeast"/>
    </w:pPr>
    <w:rPr>
      <w:rFonts w:ascii="宋体"/>
      <w:sz w:val="24"/>
      <w:szCs w:val="24"/>
    </w:rPr>
  </w:style>
  <w:style w:type="paragraph" w:customStyle="1" w:styleId="285">
    <w:name w:val="Table Heading"/>
    <w:basedOn w:val="207"/>
    <w:qFormat/>
    <w:uiPriority w:val="0"/>
    <w:pPr>
      <w:jc w:val="center"/>
    </w:pPr>
    <w:rPr>
      <w:b/>
      <w:bCs/>
    </w:rPr>
  </w:style>
  <w:style w:type="paragraph" w:customStyle="1" w:styleId="286">
    <w:name w:val="投标文件3"/>
    <w:basedOn w:val="1"/>
    <w:qFormat/>
    <w:uiPriority w:val="0"/>
    <w:pPr>
      <w:widowControl/>
      <w:spacing w:line="360" w:lineRule="auto"/>
    </w:pPr>
    <w:rPr>
      <w:rFonts w:ascii="宋体" w:hAnsi="Courier New" w:eastAsia="黑体"/>
      <w:b/>
      <w:sz w:val="30"/>
    </w:rPr>
  </w:style>
  <w:style w:type="paragraph" w:customStyle="1" w:styleId="287">
    <w:name w:val="_Style 3"/>
    <w:basedOn w:val="1"/>
    <w:next w:val="41"/>
    <w:qFormat/>
    <w:uiPriority w:val="0"/>
    <w:pPr>
      <w:ind w:firstLine="420" w:firstLineChars="200"/>
    </w:pPr>
    <w:rPr>
      <w:sz w:val="20"/>
    </w:rPr>
  </w:style>
  <w:style w:type="paragraph" w:customStyle="1" w:styleId="28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_Style 9"/>
    <w:basedOn w:val="213"/>
    <w:qFormat/>
    <w:uiPriority w:val="0"/>
    <w:rPr>
      <w:rFonts w:ascii="黑体" w:hAnsi="黑体" w:eastAsia="黑体"/>
      <w:b/>
      <w:spacing w:val="10"/>
      <w:kern w:val="44"/>
      <w:sz w:val="30"/>
    </w:rPr>
  </w:style>
  <w:style w:type="paragraph" w:customStyle="1" w:styleId="290">
    <w:name w:val="_Style 7"/>
    <w:basedOn w:val="2"/>
    <w:next w:val="1"/>
    <w:qFormat/>
    <w:uiPriority w:val="0"/>
    <w:pPr>
      <w:widowControl/>
      <w:spacing w:before="480" w:after="0" w:line="276" w:lineRule="auto"/>
      <w:jc w:val="left"/>
      <w:outlineLvl w:val="9"/>
    </w:pPr>
    <w:rPr>
      <w:rFonts w:ascii="Cambria" w:hAnsi="Cambria"/>
      <w:b w:val="0"/>
      <w:bCs w:val="0"/>
      <w:color w:val="365F91"/>
      <w:kern w:val="0"/>
      <w:sz w:val="28"/>
      <w:szCs w:val="28"/>
    </w:rPr>
  </w:style>
  <w:style w:type="paragraph" w:customStyle="1" w:styleId="291">
    <w:name w:val="_Style 6"/>
    <w:basedOn w:val="1"/>
    <w:qFormat/>
    <w:uiPriority w:val="0"/>
    <w:pPr>
      <w:tabs>
        <w:tab w:val="left" w:pos="360"/>
      </w:tabs>
    </w:pPr>
    <w:rPr>
      <w:sz w:val="24"/>
      <w:szCs w:val="24"/>
    </w:rPr>
  </w:style>
  <w:style w:type="paragraph" w:customStyle="1" w:styleId="292">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93">
    <w:name w:val="表正文"/>
    <w:basedOn w:val="1"/>
    <w:next w:val="1"/>
    <w:qFormat/>
    <w:uiPriority w:val="0"/>
    <w:rPr>
      <w:rFonts w:ascii="宋体" w:hAnsi="Courier New"/>
    </w:rPr>
  </w:style>
  <w:style w:type="paragraph" w:customStyle="1" w:styleId="294">
    <w:name w:val="List Paragraph1"/>
    <w:basedOn w:val="1"/>
    <w:qFormat/>
    <w:uiPriority w:val="0"/>
    <w:pPr>
      <w:ind w:firstLine="420" w:firstLineChars="200"/>
    </w:pPr>
    <w:rPr>
      <w:rFonts w:cs="Tahoma"/>
      <w:kern w:val="0"/>
      <w:sz w:val="20"/>
      <w:szCs w:val="20"/>
    </w:rPr>
  </w:style>
  <w:style w:type="table" w:customStyle="1" w:styleId="295">
    <w:name w:val="Table Normal"/>
    <w:unhideWhenUsed/>
    <w:qFormat/>
    <w:uiPriority w:val="0"/>
    <w:rPr>
      <w:lang w:val="en-US" w:eastAsia="zh-CN" w:bidi="ar-SA"/>
    </w:rPr>
    <w:tblPr>
      <w:tblCellMar>
        <w:top w:w="0" w:type="dxa"/>
        <w:left w:w="0" w:type="dxa"/>
        <w:bottom w:w="0" w:type="dxa"/>
        <w:right w:w="0" w:type="dxa"/>
      </w:tblCellMar>
    </w:tblPr>
  </w:style>
  <w:style w:type="table" w:customStyle="1" w:styleId="296">
    <w:name w:val="网格型1"/>
    <w:basedOn w:val="53"/>
    <w:qFormat/>
    <w:uiPriority w:val="0"/>
    <w:pPr>
      <w:widowControl w:val="0"/>
    </w:pPr>
    <w:rPr>
      <w:rFonts w:ascii="Calibri" w:hAnsi="Calibri" w:eastAsia="宋体"/>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97">
    <w:name w:val="Table Text"/>
    <w:basedOn w:val="1"/>
    <w:semiHidden/>
    <w:qFormat/>
    <w:uiPriority w:val="0"/>
    <w:rPr>
      <w:rFonts w:ascii="宋体" w:hAnsi="宋体" w:eastAsia="宋体" w:cs="宋体"/>
      <w:sz w:val="21"/>
      <w:szCs w:val="21"/>
      <w:lang w:val="en-US" w:eastAsia="en-US" w:bidi="ar-SA"/>
    </w:rPr>
  </w:style>
  <w:style w:type="paragraph" w:customStyle="1" w:styleId="298">
    <w:name w:val="p18"/>
    <w:basedOn w:val="1"/>
    <w:qFormat/>
    <w:uiPriority w:val="0"/>
    <w:pPr>
      <w:widowControl/>
    </w:pPr>
    <w:rPr>
      <w:rFonts w:ascii="宋体" w:hAnsi="宋体" w:cs="宋体"/>
      <w:kern w:val="0"/>
      <w:szCs w:val="21"/>
    </w:rPr>
  </w:style>
  <w:style w:type="paragraph" w:customStyle="1" w:styleId="299">
    <w:name w:val="p20"/>
    <w:basedOn w:val="1"/>
    <w:qFormat/>
    <w:uiPriority w:val="0"/>
    <w:pPr>
      <w:widowControl/>
      <w:spacing w:after="120" w:line="480" w:lineRule="auto"/>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88</Pages>
  <Words>39395</Words>
  <Characters>41940</Characters>
  <Lines>329</Lines>
  <Paragraphs>92</Paragraphs>
  <TotalTime>3</TotalTime>
  <ScaleCrop>false</ScaleCrop>
  <LinksUpToDate>false</LinksUpToDate>
  <CharactersWithSpaces>43697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2023-03-16T23:12:00Z</dcterms:created>
  <dc:creator>lgy</dc:creator>
  <cp:lastModifiedBy>胡美欢</cp:lastModifiedBy>
  <cp:lastPrinted>2023-02-18T18:21:00Z</cp:lastPrinted>
  <dcterms:modified xsi:type="dcterms:W3CDTF">2024-11-21T08:34:32Z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A82C38A2C4EB4E7CB0B21D2B6FEB8400_13</vt:lpwstr>
  </property>
</Properties>
</file>