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lang w:eastAsia="zh-CN"/>
        </w:rPr>
      </w:pPr>
      <w:r>
        <w:rPr>
          <w:rFonts w:hint="eastAsia" w:ascii="仿宋" w:hAnsi="仿宋" w:eastAsia="仿宋" w:cs="仿宋"/>
          <w:b/>
          <w:bCs/>
          <w:sz w:val="44"/>
          <w:szCs w:val="44"/>
          <w:highlight w:val="none"/>
          <w:shd w:val="clear" w:color="auto" w:fill="FFFFFF"/>
          <w:lang w:eastAsia="zh-CN"/>
        </w:rPr>
        <w:t>第三届（佛山）预制菜大会蓝皮书服务项目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bookmarkStart w:id="5" w:name="_GoBack"/>
      <w:bookmarkEnd w:id="5"/>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第三届（佛山）预制菜大会蓝皮书服务项目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4"/>
        <w:tblW w:w="10062" w:type="dxa"/>
        <w:jc w:val="center"/>
        <w:tblLayout w:type="fixed"/>
        <w:tblCellMar>
          <w:top w:w="0" w:type="dxa"/>
          <w:left w:w="108" w:type="dxa"/>
          <w:bottom w:w="0" w:type="dxa"/>
          <w:right w:w="108" w:type="dxa"/>
        </w:tblCellMar>
      </w:tblPr>
      <w:tblGrid>
        <w:gridCol w:w="758"/>
        <w:gridCol w:w="1222"/>
        <w:gridCol w:w="4557"/>
        <w:gridCol w:w="675"/>
        <w:gridCol w:w="735"/>
        <w:gridCol w:w="1020"/>
        <w:gridCol w:w="1095"/>
      </w:tblGrid>
      <w:tr>
        <w:tblPrEx>
          <w:tblCellMar>
            <w:top w:w="0" w:type="dxa"/>
            <w:left w:w="108" w:type="dxa"/>
            <w:bottom w:w="0" w:type="dxa"/>
            <w:right w:w="108" w:type="dxa"/>
          </w:tblCellMar>
        </w:tblPrEx>
        <w:trPr>
          <w:trHeight w:val="90" w:hRule="atLeast"/>
          <w:jc w:val="center"/>
        </w:trPr>
        <w:tc>
          <w:tcPr>
            <w:tcW w:w="7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序号</w:t>
            </w:r>
          </w:p>
        </w:tc>
        <w:tc>
          <w:tcPr>
            <w:tcW w:w="12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项目</w:t>
            </w:r>
            <w:r>
              <w:rPr>
                <w:rFonts w:hint="eastAsia" w:ascii="宋体" w:hAnsi="宋体" w:cs="宋体"/>
                <w:color w:val="000000"/>
                <w:kern w:val="0"/>
                <w:sz w:val="22"/>
                <w:szCs w:val="22"/>
                <w:highlight w:val="none"/>
              </w:rPr>
              <w:t>类别</w:t>
            </w:r>
          </w:p>
        </w:tc>
        <w:tc>
          <w:tcPr>
            <w:tcW w:w="45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cs="宋体" w:eastAsiaTheme="minorEastAsia"/>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具体内容</w:t>
            </w:r>
          </w:p>
        </w:tc>
        <w:tc>
          <w:tcPr>
            <w:tcW w:w="6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数量</w:t>
            </w:r>
          </w:p>
        </w:tc>
        <w:tc>
          <w:tcPr>
            <w:tcW w:w="7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单位</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单价</w:t>
            </w:r>
          </w:p>
        </w:tc>
        <w:tc>
          <w:tcPr>
            <w:tcW w:w="10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总价</w:t>
            </w: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产业全景研究</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组建10人以上专业研究团队，采用系统文献分析法，对2020-2025年预制菜产业政策环境、核心技术（涵盖冷链物流、加工工艺、智能仓储等）、宏观经济（金融支持、消费市场等）及社会影响等维度进行多源数据采集与结构化整理。</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2</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产业数据分析</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利用大数据系统对政府部门、商业/行业协会、电商平台公开的预制菜生产、销售各个环节数据进行采集与梳理，基础数据不少于5000组。</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3</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kern w:val="2"/>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行业深度洞察</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采用半结构化深度访谈法，对预制菜产业链核心环节的企业决策者、技术专家及行业顾问进行一对一访谈，覆盖原料供应、生产加工、冷链物流、渠道分销等关键领域。通过质性内容分析法对访谈文本进行编码与主题提炼，揭示行业技术演进趋势、市场竞争格局及潜在颠覆性因素，为研究提供第一手行业洞见。</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10</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家</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4</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消费者行为研究</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采用分层随机抽样法，通过商超拦截访问+社区地推+问卷系统+融媒体平台投放等方式，获取具有统计显著性的消费者偏好数据，确保样本覆盖全国主要消费区域。（基础样本量1500个，灵活使用线上线下相结合的形式向消费者群体发放调查问卷，收集信息）。</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1500</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份</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5</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榜单制作</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深入剖析全国各省市在预制菜产业领域的政策扶持力度，精准量化政策对预制菜产业的助力程度。同时，全面梳理各地预制菜产业园区的数量、规模、配套设施完善度以及产业集聚效应，结合园区内企业的入驻率、产值、创新能力等关键指标，深度挖掘产业园区对预制菜产业发展的支撑作用。在此基础上，基于行业标准、企业规模、产品质量和市场声誉等核心维度，构建预制菜企业综合评价指标体系，制定出《中国预制菜产业百强榜（暨广东特色食材名录）》。</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6</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蓝皮书结构研究与撰写</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依托大数据系统，对政府部门、行业协会及电商平台公开的预制菜行业生产、销售全链路数据进行系统性采集与清洗。基于数据流相关权威核心数据平台，构建多维分析模型，对行业现状及消费者行为趋势进行深度挖掘。通过严谨的数据分析及模型验证，结合对全国典型预制菜产业园的调研分析，客观评估佛山预制菜产业园在品牌影响力、市场地位及消费者认知等维度的竞争优势，出具一份产业蓝皮书，助力其建立预制菜行业公信力与社会美誉度，同时为投资决策与消费者选择提供科学依据。</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7</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分享嘉宾邀请</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邀请资深分析师（指持有数据发布平台官方开具的《资深分析师》工作证明，且已在权威媒体公开发表专业观点的新经济研究领域分析师）在第三届中国国际（佛山）预制菜产业大会开幕式上发布预制菜产业蓝皮书。</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位</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5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8</w:t>
            </w:r>
          </w:p>
        </w:tc>
        <w:tc>
          <w:tcPr>
            <w:tcW w:w="122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媒体推广</w:t>
            </w:r>
          </w:p>
        </w:tc>
        <w:tc>
          <w:tcPr>
            <w:tcW w:w="45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撰写1份产业蓝皮书解读（不少于2000字），通过新媒体矩阵（数据平台官网/行业公众号/资讯或头条号等）进行多平台分发，促进学术价值与市场影响力的双重转化。分发不少于10个平台，总曝光量不低于5万人次。</w:t>
            </w:r>
          </w:p>
        </w:tc>
        <w:tc>
          <w:tcPr>
            <w:tcW w:w="6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7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0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9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94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宋体" w:hAnsi="宋体" w:cs="宋体"/>
                <w:color w:val="000000"/>
                <w:kern w:val="0"/>
                <w:sz w:val="22"/>
                <w:szCs w:val="22"/>
                <w:highlight w:val="none"/>
              </w:rPr>
              <w:t>合计</w:t>
            </w:r>
          </w:p>
        </w:tc>
        <w:tc>
          <w:tcPr>
            <w:tcW w:w="2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bl>
    <w:p>
      <w:pPr>
        <w:pStyle w:val="8"/>
        <w:spacing w:line="570" w:lineRule="exact"/>
        <w:ind w:firstLine="562" w:firstLineChars="200"/>
        <w:jc w:val="left"/>
        <w:rPr>
          <w:rFonts w:hint="eastAsia" w:ascii="仿宋" w:hAnsi="仿宋" w:eastAsia="仿宋" w:cs="仿宋"/>
          <w:b/>
          <w:color w:val="000000"/>
          <w:kern w:val="0"/>
          <w:sz w:val="28"/>
          <w:szCs w:val="28"/>
          <w:highlight w:val="none"/>
        </w:rPr>
      </w:pPr>
    </w:p>
    <w:p>
      <w:pPr>
        <w:pStyle w:val="8"/>
        <w:spacing w:line="570" w:lineRule="exact"/>
        <w:ind w:firstLine="562" w:firstLineChars="200"/>
        <w:jc w:val="left"/>
        <w:rPr>
          <w:rFonts w:ascii="仿宋" w:hAnsi="仿宋" w:eastAsia="仿宋" w:cs="仿宋"/>
          <w:b/>
          <w:color w:val="000000"/>
          <w:kern w:val="0"/>
          <w:sz w:val="28"/>
          <w:szCs w:val="28"/>
          <w:highlight w:val="none"/>
        </w:rPr>
      </w:pPr>
      <w:bookmarkStart w:id="2" w:name="_Toc34146941"/>
      <w:bookmarkStart w:id="3" w:name="_Toc475472676"/>
      <w:bookmarkStart w:id="4" w:name="_Toc1651903"/>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4、提供自2022年以来同类项目（数据调研或数据分析）业绩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11"/>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10"/>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兹授权【***先生/女士，身份证号码***，职务为我单位***】为我方委托代理人，全权代表我单位办理【第三届（佛山）预制菜大会蓝皮书服务项目】的【洽谈、签约、项目服务联络等】事宜。</w:t>
      </w:r>
    </w:p>
    <w:p>
      <w:pPr>
        <w:pStyle w:val="10"/>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0"/>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0"/>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0"/>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0"/>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0"/>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5"/>
        <w:rPr>
          <w:highlight w:val="none"/>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bl>
    <w:p>
      <w:pPr>
        <w:pStyle w:val="12"/>
        <w:spacing w:after="200" w:line="276" w:lineRule="auto"/>
        <w:ind w:firstLine="0" w:firstLineChars="0"/>
        <w:jc w:val="left"/>
        <w:rPr>
          <w:rFonts w:ascii="仿宋" w:hAnsi="仿宋" w:eastAsia="仿宋" w:cs="仿宋"/>
          <w:b/>
          <w:kern w:val="0"/>
          <w:sz w:val="28"/>
          <w:szCs w:val="28"/>
          <w:highlight w:val="none"/>
        </w:rPr>
      </w:pPr>
    </w:p>
    <w:p>
      <w:pPr>
        <w:rPr>
          <w:rFonts w:ascii="宋体" w:hAnsi="宋体" w:cs="宋体"/>
          <w:b/>
          <w:bCs/>
          <w:sz w:val="24"/>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宋体" w:hAnsi="宋体" w:cs="宋体"/>
          <w:b/>
          <w:bCs/>
          <w:sz w:val="24"/>
          <w:highlight w:val="none"/>
        </w:rPr>
        <w:br w:type="page"/>
      </w:r>
    </w:p>
    <w:p>
      <w:pPr>
        <w:pStyle w:val="12"/>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5"/>
        <w:rPr>
          <w:highlight w:val="none"/>
        </w:rPr>
        <w:sectPr>
          <w:pgSz w:w="11906" w:h="16838"/>
          <w:pgMar w:top="1240" w:right="1486" w:bottom="1440" w:left="1800" w:header="851" w:footer="992" w:gutter="0"/>
          <w:cols w:space="720" w:num="1"/>
          <w:docGrid w:type="lines" w:linePitch="312" w:charSpace="0"/>
        </w:sectPr>
      </w:pPr>
    </w:p>
    <w:p>
      <w:pPr>
        <w:pStyle w:val="12"/>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pPr>
        <w:rPr>
          <w:highlight w:val="none"/>
        </w:rPr>
      </w:pPr>
    </w:p>
    <w:p>
      <w:pPr>
        <w:rPr>
          <w:rFonts w:hint="default" w:ascii="仿宋" w:hAnsi="仿宋" w:eastAsia="仿宋" w:cs="仿宋"/>
          <w:b w:val="0"/>
          <w:bCs w:val="0"/>
          <w:color w:val="auto"/>
          <w:kern w:val="2"/>
          <w:sz w:val="32"/>
          <w:szCs w:val="32"/>
          <w:highlight w:val="none"/>
          <w:lang w:val="en-US" w:eastAsia="zh-CN" w:bidi="ar-SA"/>
        </w:rPr>
      </w:pPr>
    </w:p>
    <w:sectPr>
      <w:pgSz w:w="11906" w:h="16838"/>
      <w:pgMar w:top="12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01a510bb-2420-4a19-8db7-1400802ba816"/>
  </w:docVars>
  <w:rsids>
    <w:rsidRoot w:val="02A40B03"/>
    <w:rsid w:val="02A40B03"/>
    <w:rsid w:val="02E81CE7"/>
    <w:rsid w:val="04336985"/>
    <w:rsid w:val="06E048BA"/>
    <w:rsid w:val="096710F2"/>
    <w:rsid w:val="09C212A0"/>
    <w:rsid w:val="0ABA2D7D"/>
    <w:rsid w:val="0AE60E81"/>
    <w:rsid w:val="0E1924B1"/>
    <w:rsid w:val="0F5B0CC1"/>
    <w:rsid w:val="10AB7079"/>
    <w:rsid w:val="10C256B5"/>
    <w:rsid w:val="11370766"/>
    <w:rsid w:val="11A51171"/>
    <w:rsid w:val="123D63F3"/>
    <w:rsid w:val="12C86D4A"/>
    <w:rsid w:val="17CE1BA5"/>
    <w:rsid w:val="182E6B59"/>
    <w:rsid w:val="28C11323"/>
    <w:rsid w:val="29503DD9"/>
    <w:rsid w:val="29812A44"/>
    <w:rsid w:val="2CA07839"/>
    <w:rsid w:val="308634CE"/>
    <w:rsid w:val="31C75BFC"/>
    <w:rsid w:val="32E936D4"/>
    <w:rsid w:val="36724AB3"/>
    <w:rsid w:val="36D45F68"/>
    <w:rsid w:val="37EA43F2"/>
    <w:rsid w:val="3A054FBB"/>
    <w:rsid w:val="4453677C"/>
    <w:rsid w:val="47A22A13"/>
    <w:rsid w:val="49A132C7"/>
    <w:rsid w:val="4D5A3E81"/>
    <w:rsid w:val="50997066"/>
    <w:rsid w:val="53C07551"/>
    <w:rsid w:val="55587F6D"/>
    <w:rsid w:val="5AB06A03"/>
    <w:rsid w:val="5EF13946"/>
    <w:rsid w:val="64B330A9"/>
    <w:rsid w:val="698F6016"/>
    <w:rsid w:val="6E270E2E"/>
    <w:rsid w:val="709C7DE3"/>
    <w:rsid w:val="7139002C"/>
    <w:rsid w:val="71B00DCD"/>
    <w:rsid w:val="72822209"/>
    <w:rsid w:val="72976F13"/>
    <w:rsid w:val="76791DE8"/>
    <w:rsid w:val="76E32DA7"/>
    <w:rsid w:val="7AFB3BDC"/>
    <w:rsid w:val="7B197242"/>
    <w:rsid w:val="7E351C1B"/>
    <w:rsid w:val="7EC31FF2"/>
    <w:rsid w:val="DCDF0396"/>
    <w:rsid w:val="FCF99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line="360" w:lineRule="auto"/>
      <w:outlineLvl w:val="0"/>
    </w:pPr>
    <w:rPr>
      <w:rFonts w:ascii="Calibri" w:hAnsi="Calibri" w:eastAsia="仿宋" w:cs="Times New Roman"/>
      <w:b/>
      <w:bCs/>
      <w:kern w:val="44"/>
      <w:sz w:val="44"/>
      <w:szCs w:val="44"/>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rPr>
      <w:rFonts w:ascii="Times New Roman" w:hAnsi="Times New Roman" w:eastAsia="宋体" w:cs="Times New Roman"/>
      <w:sz w:val="33"/>
      <w:szCs w:val="33"/>
    </w:rPr>
  </w:style>
  <w:style w:type="paragraph" w:styleId="5">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6">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7">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2">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6"/>
    <w:next w:val="1"/>
    <w:qFormat/>
    <w:uiPriority w:val="0"/>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文本首行缩进 21"/>
    <w:basedOn w:val="18"/>
    <w:next w:val="1"/>
    <w:qFormat/>
    <w:uiPriority w:val="0"/>
  </w:style>
  <w:style w:type="paragraph" w:customStyle="1" w:styleId="18">
    <w:name w:val="正文文本缩进1"/>
    <w:basedOn w:val="1"/>
    <w:qFormat/>
    <w:uiPriority w:val="0"/>
    <w:pPr>
      <w:autoSpaceDE w:val="0"/>
      <w:autoSpaceDN w:val="0"/>
      <w:spacing w:line="360" w:lineRule="auto"/>
      <w:ind w:firstLine="420" w:firstLineChars="200"/>
    </w:pPr>
    <w:rPr>
      <w:rFonts w:ascii="宋体" w:hAnsi="宋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2568</Words>
  <Characters>2661</Characters>
  <Lines>0</Lines>
  <Paragraphs>0</Paragraphs>
  <TotalTime>5</TotalTime>
  <ScaleCrop>false</ScaleCrop>
  <LinksUpToDate>false</LinksUpToDate>
  <CharactersWithSpaces>2868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2023-06-09T14:46:00Z</dcterms:created>
  <dc:creator>Rainnie</dc:creator>
  <cp:lastModifiedBy>玉婷</cp:lastModifiedBy>
  <cp:lastPrinted>2024-04-23T16:22:00Z</cp:lastPrinted>
  <dcterms:modified xsi:type="dcterms:W3CDTF">2025-07-04T06:22:29Z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23DD7E2619EC42B59957AE39F9ACB449_13</vt:lpwstr>
  </property>
</Properties>
</file>