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D9D3">
      <w:pPr>
        <w:jc w:val="both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/>
        </w:rPr>
        <w:t>附件2</w:t>
      </w:r>
    </w:p>
    <w:p w14:paraId="29F5CF6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评审标准</w:t>
      </w:r>
    </w:p>
    <w:p w14:paraId="0BABB5C7">
      <w:pPr>
        <w:pStyle w:val="5"/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3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73"/>
        <w:gridCol w:w="5303"/>
        <w:gridCol w:w="1233"/>
      </w:tblGrid>
      <w:tr w14:paraId="4B0AA892">
        <w:trPr>
          <w:trHeight w:val="20" w:hRule="atLeast"/>
          <w:jc w:val="center"/>
        </w:trPr>
        <w:tc>
          <w:tcPr>
            <w:tcW w:w="1086" w:type="dxa"/>
            <w:noWrap w:val="0"/>
            <w:vAlign w:val="center"/>
          </w:tcPr>
          <w:p w14:paraId="3E4D2B30">
            <w:pPr>
              <w:spacing w:line="380" w:lineRule="exact"/>
              <w:jc w:val="center"/>
              <w:rPr>
                <w:rFonts w:hint="eastAsia" w:eastAsia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center"/>
          </w:tcPr>
          <w:p w14:paraId="286B48C9">
            <w:pPr>
              <w:spacing w:line="38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评分内容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4CB066E2">
            <w:pPr>
              <w:spacing w:line="38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1233" w:type="dxa"/>
            <w:noWrap w:val="0"/>
            <w:vAlign w:val="center"/>
          </w:tcPr>
          <w:p w14:paraId="4BD285BF">
            <w:pPr>
              <w:spacing w:line="340" w:lineRule="exact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满分值（分）</w:t>
            </w:r>
          </w:p>
        </w:tc>
      </w:tr>
      <w:tr w14:paraId="01909158">
        <w:trPr>
          <w:trHeight w:val="845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183F1B0B">
            <w:pPr>
              <w:spacing w:line="3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商务部分</w:t>
            </w:r>
          </w:p>
        </w:tc>
        <w:tc>
          <w:tcPr>
            <w:tcW w:w="1573" w:type="dxa"/>
            <w:noWrap w:val="0"/>
            <w:vAlign w:val="center"/>
          </w:tcPr>
          <w:p w14:paraId="144CF424">
            <w:pPr>
              <w:spacing w:line="340" w:lineRule="exact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同行业类型项目案例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2C5962CB">
            <w:pPr>
              <w:spacing w:line="340" w:lineRule="exact"/>
              <w:jc w:val="left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视频拍摄制作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服务能力，在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承接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过人物纪录片，或与本次案例形式相似性较高的视频及视频时长5分钟内，提供1个得4分，最高得16分，每条视频需附链接或视频二维码。</w:t>
            </w:r>
          </w:p>
          <w:p w14:paraId="25D0EFEE">
            <w:pPr>
              <w:spacing w:line="340" w:lineRule="exact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【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需要合同或委托协议关键页复印件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eastAsia="zh-CN"/>
              </w:rPr>
              <w:t>，不提供不得分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】</w:t>
            </w:r>
          </w:p>
        </w:tc>
        <w:tc>
          <w:tcPr>
            <w:tcW w:w="1233" w:type="dxa"/>
            <w:noWrap w:val="0"/>
            <w:vAlign w:val="center"/>
          </w:tcPr>
          <w:p w14:paraId="7FA5677D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</w:tr>
      <w:tr w14:paraId="54F7671E">
        <w:trPr>
          <w:trHeight w:val="845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46FFDDDA">
            <w:pPr>
              <w:spacing w:line="340" w:lineRule="exact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6B96010B">
            <w:pPr>
              <w:spacing w:line="340" w:lineRule="exact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境外拍摄经验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6FA609D1">
            <w:pPr>
              <w:spacing w:line="340" w:lineRule="exact"/>
              <w:jc w:val="left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供应商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应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境外视频拍摄制作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服务能力，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承接过境外拍摄视频项目，提供1个得5分，最高得10分。每条视频需附链接或视频二维码。</w:t>
            </w:r>
            <w:bookmarkStart w:id="0" w:name="_GoBack"/>
            <w:bookmarkEnd w:id="0"/>
          </w:p>
          <w:p w14:paraId="0241DB5A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【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</w:rPr>
              <w:t>需要合同或委托协议关键页复印件</w:t>
            </w: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eastAsia="zh-CN"/>
              </w:rPr>
              <w:t>，不提供不得分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】</w:t>
            </w:r>
          </w:p>
        </w:tc>
        <w:tc>
          <w:tcPr>
            <w:tcW w:w="1233" w:type="dxa"/>
            <w:noWrap w:val="0"/>
            <w:vAlign w:val="center"/>
          </w:tcPr>
          <w:p w14:paraId="27C9B175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68FA5B14">
        <w:trPr>
          <w:trHeight w:val="1056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 w14:paraId="52CDCC09"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技术部分</w:t>
            </w:r>
          </w:p>
        </w:tc>
        <w:tc>
          <w:tcPr>
            <w:tcW w:w="1573" w:type="dxa"/>
            <w:noWrap w:val="0"/>
            <w:vAlign w:val="center"/>
          </w:tcPr>
          <w:p w14:paraId="149AEDC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主题内涵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2A374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符合项目主旨理念，紧扣拍摄内容需求，所阐述故事新颖、意义鲜明，逻辑清晰完整，得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2分。</w:t>
            </w:r>
          </w:p>
          <w:p w14:paraId="1751FB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基本符合项目主旨理念，与拍摄内容需求存在部分偏差，阐述的故事常规化，逻辑基本完整，得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5373F5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完全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符合项目主旨理念或拍摄内容需求，阐述的故事缺乏合理性，逻辑不清晰、不完整，得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404CA7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未提供方案，得0分。</w:t>
            </w:r>
          </w:p>
        </w:tc>
        <w:tc>
          <w:tcPr>
            <w:tcW w:w="1233" w:type="dxa"/>
            <w:noWrap w:val="0"/>
            <w:vAlign w:val="center"/>
          </w:tcPr>
          <w:p w14:paraId="5471C4A2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</w:tr>
      <w:tr w14:paraId="2DB60DAA">
        <w:trPr>
          <w:trHeight w:val="1056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3563CC1D"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0D8DCBB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脚本创意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1750BB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所提供的脚本精细度高，可精准、全面描绘出视频成片效果，情节设计、文案、拍摄手法等体现明显创意及内容质量，得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3365CD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可提供较为详细的脚本，完整、较直观地呈现视频成片效果，情节设计、文案、拍摄手法等合理且具有记忆点，符合常规，得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9-17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026F3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所提供脚本相对粗略，无法完整、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直观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呈现视频成片效果，存在较多不确定细节；情节设计、文案等基本合理，与同类视频雷同性高，得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76D20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无法提供脚本方案或所提供的脚本存在明显缺漏错误，得0分。</w:t>
            </w:r>
          </w:p>
        </w:tc>
        <w:tc>
          <w:tcPr>
            <w:tcW w:w="1233" w:type="dxa"/>
            <w:noWrap w:val="0"/>
            <w:vAlign w:val="center"/>
          </w:tcPr>
          <w:p w14:paraId="390CA794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</w:p>
        </w:tc>
      </w:tr>
      <w:tr w14:paraId="10A0BE23">
        <w:trPr>
          <w:trHeight w:val="1056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 w14:paraId="49A1D318"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7F76FA3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拍摄执行性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736FC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拍摄方案具有较高可执行性，拍摄规划合理高效，为现场不可控因素留有额外应对空间，得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13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17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7D969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拍摄方案基本具有可执行性，有较为合理的拍摄规划，可基本满足现场拍摄，得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61675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拍摄方案在调度、人员等方面存在纰漏或无法提供充分说明，基本无法按规划推进拍摄，得1-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分。</w:t>
            </w:r>
          </w:p>
          <w:p w14:paraId="1C628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420" w:leftChars="0" w:hanging="420" w:firstLineChars="0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拍摄方案明显不具备可执行性，如调度无法实现、拍摄周期过短等，得0分。</w:t>
            </w:r>
          </w:p>
        </w:tc>
        <w:tc>
          <w:tcPr>
            <w:tcW w:w="1233" w:type="dxa"/>
            <w:noWrap w:val="0"/>
            <w:vAlign w:val="center"/>
          </w:tcPr>
          <w:p w14:paraId="344A20B1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</w:p>
        </w:tc>
      </w:tr>
      <w:tr w14:paraId="7B3E3733">
        <w:trPr>
          <w:trHeight w:val="413" w:hRule="atLeast"/>
          <w:jc w:val="center"/>
        </w:trPr>
        <w:tc>
          <w:tcPr>
            <w:tcW w:w="1086" w:type="dxa"/>
            <w:noWrap w:val="0"/>
            <w:vAlign w:val="center"/>
          </w:tcPr>
          <w:p w14:paraId="6EEBE66F"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价格部分</w:t>
            </w:r>
          </w:p>
        </w:tc>
        <w:tc>
          <w:tcPr>
            <w:tcW w:w="1573" w:type="dxa"/>
            <w:tcBorders>
              <w:bottom w:val="single" w:color="auto" w:sz="4" w:space="0"/>
            </w:tcBorders>
            <w:noWrap w:val="0"/>
            <w:vAlign w:val="center"/>
          </w:tcPr>
          <w:p w14:paraId="170A1C4F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报价</w:t>
            </w:r>
          </w:p>
        </w:tc>
        <w:tc>
          <w:tcPr>
            <w:tcW w:w="5303" w:type="dxa"/>
            <w:tcBorders>
              <w:bottom w:val="single" w:color="auto" w:sz="4" w:space="0"/>
            </w:tcBorders>
            <w:noWrap w:val="0"/>
            <w:vAlign w:val="center"/>
          </w:tcPr>
          <w:p w14:paraId="663430F6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报价得分＝（基准价/报价）×价格分值【注：满足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文件要求且价格最低的报价为基准价。】</w:t>
            </w:r>
          </w:p>
        </w:tc>
        <w:tc>
          <w:tcPr>
            <w:tcW w:w="1233" w:type="dxa"/>
            <w:noWrap w:val="0"/>
            <w:vAlign w:val="center"/>
          </w:tcPr>
          <w:p w14:paraId="361B6019">
            <w:pPr>
              <w:spacing w:line="34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</w:tr>
      <w:tr w14:paraId="03528240">
        <w:trPr>
          <w:trHeight w:val="519" w:hRule="atLeast"/>
          <w:jc w:val="center"/>
        </w:trPr>
        <w:tc>
          <w:tcPr>
            <w:tcW w:w="7962" w:type="dxa"/>
            <w:gridSpan w:val="3"/>
            <w:noWrap w:val="0"/>
            <w:vAlign w:val="center"/>
          </w:tcPr>
          <w:p w14:paraId="5F912354">
            <w:pPr>
              <w:spacing w:line="360" w:lineRule="auto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233" w:type="dxa"/>
            <w:noWrap w:val="0"/>
            <w:vAlign w:val="center"/>
          </w:tcPr>
          <w:p w14:paraId="7469EAF5">
            <w:pPr>
              <w:spacing w:line="360" w:lineRule="auto"/>
              <w:jc w:val="center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b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</w:tbl>
    <w:p w14:paraId="5C5B2A1D">
      <w:pPr>
        <w:pStyle w:val="5"/>
        <w:ind w:left="0" w:leftChars="0" w:firstLine="0" w:firstLineChars="0"/>
        <w:jc w:val="both"/>
        <w:rPr>
          <w:rFonts w:hint="default" w:ascii="宋体" w:hAnsi="宋体" w:eastAsia="宋体" w:cs="宋体"/>
          <w:b/>
          <w:bCs w:val="0"/>
          <w:color w:val="auto"/>
          <w:kern w:val="2"/>
          <w:sz w:val="40"/>
          <w:szCs w:val="24"/>
          <w:highlight w:val="none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swiss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57F8F"/>
    <w:multiLevelType w:val="singleLevel"/>
    <w:tmpl w:val="23057F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2Y1YzQ1YmRjMzEyZTE4MmM5NzExNzg0YWMxNzgifQ=="/>
  </w:docVars>
  <w:rsids>
    <w:rsidRoot w:val="7AC3359E"/>
    <w:rsid w:val="00536B98"/>
    <w:rsid w:val="08492130"/>
    <w:rsid w:val="091A640F"/>
    <w:rsid w:val="09532A47"/>
    <w:rsid w:val="09864BCA"/>
    <w:rsid w:val="0A6C2012"/>
    <w:rsid w:val="0AB4467F"/>
    <w:rsid w:val="0B7348E4"/>
    <w:rsid w:val="0C14470F"/>
    <w:rsid w:val="0C34090D"/>
    <w:rsid w:val="0C9D4705"/>
    <w:rsid w:val="0D162E3D"/>
    <w:rsid w:val="0F5B2655"/>
    <w:rsid w:val="110A000F"/>
    <w:rsid w:val="11E626AA"/>
    <w:rsid w:val="11E91791"/>
    <w:rsid w:val="11FD1874"/>
    <w:rsid w:val="139558FD"/>
    <w:rsid w:val="156A1844"/>
    <w:rsid w:val="15B05C5E"/>
    <w:rsid w:val="162B2D81"/>
    <w:rsid w:val="16A56DF3"/>
    <w:rsid w:val="17A233DE"/>
    <w:rsid w:val="185D5354"/>
    <w:rsid w:val="18AC30F3"/>
    <w:rsid w:val="18FA4C8D"/>
    <w:rsid w:val="19E6A3AE"/>
    <w:rsid w:val="1A514D80"/>
    <w:rsid w:val="1B5263F4"/>
    <w:rsid w:val="1C805D1C"/>
    <w:rsid w:val="1E4566A4"/>
    <w:rsid w:val="1E63933F"/>
    <w:rsid w:val="1F903C55"/>
    <w:rsid w:val="20943C19"/>
    <w:rsid w:val="21B7FF35"/>
    <w:rsid w:val="22E03FC4"/>
    <w:rsid w:val="24C3687B"/>
    <w:rsid w:val="24CE4CEA"/>
    <w:rsid w:val="26D5554C"/>
    <w:rsid w:val="2701028C"/>
    <w:rsid w:val="291C4301"/>
    <w:rsid w:val="2B3D7387"/>
    <w:rsid w:val="2C973861"/>
    <w:rsid w:val="2E114AFB"/>
    <w:rsid w:val="2E277E7A"/>
    <w:rsid w:val="2E9BED5F"/>
    <w:rsid w:val="2EC456C9"/>
    <w:rsid w:val="2F843E47"/>
    <w:rsid w:val="303C6E89"/>
    <w:rsid w:val="317E47D7"/>
    <w:rsid w:val="336B1FEE"/>
    <w:rsid w:val="3498562E"/>
    <w:rsid w:val="363EB51B"/>
    <w:rsid w:val="37272C99"/>
    <w:rsid w:val="37A83DDA"/>
    <w:rsid w:val="39F33B1C"/>
    <w:rsid w:val="3BD96FD5"/>
    <w:rsid w:val="3BE9108B"/>
    <w:rsid w:val="3CCE6E89"/>
    <w:rsid w:val="3CFB8CA7"/>
    <w:rsid w:val="3D3178F2"/>
    <w:rsid w:val="3D962926"/>
    <w:rsid w:val="3DBF3961"/>
    <w:rsid w:val="3DFF8C26"/>
    <w:rsid w:val="3F9115F7"/>
    <w:rsid w:val="3F9D7F9C"/>
    <w:rsid w:val="41F320F5"/>
    <w:rsid w:val="42948BA6"/>
    <w:rsid w:val="45B222C8"/>
    <w:rsid w:val="468D16E4"/>
    <w:rsid w:val="46E5D459"/>
    <w:rsid w:val="47B4DEF3"/>
    <w:rsid w:val="4981092F"/>
    <w:rsid w:val="49A773FE"/>
    <w:rsid w:val="49D24CE6"/>
    <w:rsid w:val="49F308E0"/>
    <w:rsid w:val="4B2D2829"/>
    <w:rsid w:val="4F0B3174"/>
    <w:rsid w:val="4F133DD7"/>
    <w:rsid w:val="4F456FA8"/>
    <w:rsid w:val="4FCF51CE"/>
    <w:rsid w:val="505E72D4"/>
    <w:rsid w:val="53AA6453"/>
    <w:rsid w:val="53EE7D08"/>
    <w:rsid w:val="54386F93"/>
    <w:rsid w:val="56F7EF99"/>
    <w:rsid w:val="57757EC2"/>
    <w:rsid w:val="59101DED"/>
    <w:rsid w:val="5AE77128"/>
    <w:rsid w:val="5B042454"/>
    <w:rsid w:val="5B923E74"/>
    <w:rsid w:val="5CBA7F88"/>
    <w:rsid w:val="5E0771FD"/>
    <w:rsid w:val="5E583BD3"/>
    <w:rsid w:val="5E7E35D1"/>
    <w:rsid w:val="5E9465B6"/>
    <w:rsid w:val="62206ADF"/>
    <w:rsid w:val="631D4DCC"/>
    <w:rsid w:val="647318FE"/>
    <w:rsid w:val="64992B79"/>
    <w:rsid w:val="656FEE3B"/>
    <w:rsid w:val="667C4500"/>
    <w:rsid w:val="66A9202B"/>
    <w:rsid w:val="67566AFF"/>
    <w:rsid w:val="698F00A6"/>
    <w:rsid w:val="6C3C2767"/>
    <w:rsid w:val="6DF6DAF5"/>
    <w:rsid w:val="6EAF0ECF"/>
    <w:rsid w:val="6EBC17D2"/>
    <w:rsid w:val="6EDEDDC6"/>
    <w:rsid w:val="6FEF7817"/>
    <w:rsid w:val="6FF39ED7"/>
    <w:rsid w:val="721B4BCD"/>
    <w:rsid w:val="72F76CE2"/>
    <w:rsid w:val="73102258"/>
    <w:rsid w:val="73BF3716"/>
    <w:rsid w:val="74923DD8"/>
    <w:rsid w:val="79110AD8"/>
    <w:rsid w:val="7A441C1C"/>
    <w:rsid w:val="7A4E2141"/>
    <w:rsid w:val="7A6348AC"/>
    <w:rsid w:val="7AC3359E"/>
    <w:rsid w:val="7BF7D03C"/>
    <w:rsid w:val="7E1C5F55"/>
    <w:rsid w:val="7E3037AE"/>
    <w:rsid w:val="7ECABCF4"/>
    <w:rsid w:val="7F3FC5C5"/>
    <w:rsid w:val="7F9A05DE"/>
    <w:rsid w:val="A7FFD4C8"/>
    <w:rsid w:val="BFAECAB6"/>
    <w:rsid w:val="BFF73DC2"/>
    <w:rsid w:val="CF7B6832"/>
    <w:rsid w:val="D55ACDD2"/>
    <w:rsid w:val="DBFF2DA0"/>
    <w:rsid w:val="DBFFC243"/>
    <w:rsid w:val="E1FF0726"/>
    <w:rsid w:val="EFDBDB7D"/>
    <w:rsid w:val="F5E6E8C9"/>
    <w:rsid w:val="F5F9FFF2"/>
    <w:rsid w:val="F5FF55DA"/>
    <w:rsid w:val="F6DF805E"/>
    <w:rsid w:val="F7FFEFE5"/>
    <w:rsid w:val="F9FF7067"/>
    <w:rsid w:val="FC89BEF9"/>
    <w:rsid w:val="FCE7E112"/>
    <w:rsid w:val="FEEEEB7B"/>
    <w:rsid w:val="FF7D70E8"/>
    <w:rsid w:val="FFB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customStyle="1" w:styleId="5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6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617</Characters>
  <Lines>0</Lines>
  <Paragraphs>0</Paragraphs>
  <TotalTime>0</TotalTime>
  <ScaleCrop>false</ScaleCrop>
  <LinksUpToDate>false</LinksUpToDate>
  <CharactersWithSpaces>617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2022-08-31T02:50:00Z</dcterms:created>
  <dc:creator>Rainnie</dc:creator>
  <cp:lastModifiedBy>胡焕</cp:lastModifiedBy>
  <cp:lastPrinted>2024-07-19T20:51:00Z</cp:lastPrinted>
  <dcterms:modified xsi:type="dcterms:W3CDTF">2025-06-27T14:35:08Z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AE1FBD66C82A4429BAE4BEBAA704AA30</vt:lpwstr>
  </property>
</Properties>
</file>